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CBFE20D0489448A2A1569ED1488D4B25"/>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553FC039" w14:textId="77777777" w:rsidTr="003A6A66">
            <w:trPr>
              <w:cantSplit/>
            </w:trPr>
            <w:tc>
              <w:tcPr>
                <w:tcW w:w="5954" w:type="dxa"/>
                <w:tcMar>
                  <w:left w:w="0" w:type="dxa"/>
                  <w:right w:w="0" w:type="dxa"/>
                </w:tcMar>
              </w:tcPr>
              <w:p w14:paraId="5DF94E0F" w14:textId="77777777" w:rsidR="006F2BA6" w:rsidRPr="00BA4BC3" w:rsidRDefault="000D47CA" w:rsidP="000E7DFF">
                <w:pPr>
                  <w:pStyle w:val="Titelrubrik"/>
                </w:pPr>
                <w:fldSimple w:instr=" DOCPROPERTY  Typrubrik  \* MERGEFORMAT ">
                  <w:r w:rsidR="00D43E27">
                    <w:t>Framställning till riksdagen</w:t>
                  </w:r>
                </w:fldSimple>
              </w:p>
              <w:p w14:paraId="40347A3B" w14:textId="77777777" w:rsidR="006F2BA6" w:rsidRPr="00BA4BC3" w:rsidRDefault="000D47CA" w:rsidP="0039664C">
                <w:pPr>
                  <w:pStyle w:val="Titelrubrik"/>
                </w:pPr>
                <w:fldSimple w:instr=" DOCPROPERTY  Dokbeteckning  \* MERGEFORMAT ">
                  <w:r w:rsidR="00D43E27">
                    <w:t>2015/16:RB2</w:t>
                  </w:r>
                </w:fldSimple>
              </w:p>
            </w:tc>
            <w:tc>
              <w:tcPr>
                <w:tcW w:w="1134" w:type="dxa"/>
                <w:tcMar>
                  <w:left w:w="0" w:type="dxa"/>
                  <w:right w:w="0" w:type="dxa"/>
                </w:tcMar>
              </w:tcPr>
              <w:p w14:paraId="3841F423" w14:textId="77777777" w:rsidR="006F2BA6" w:rsidRPr="000E7DFF" w:rsidRDefault="006F2BA6" w:rsidP="000E7DFF">
                <w:pPr>
                  <w:pStyle w:val="Kronor"/>
                </w:pPr>
                <w:r w:rsidRPr="000E7DFF">
                  <w:rPr>
                    <w:lang w:val="sv-SE" w:eastAsia="sv-SE"/>
                  </w:rPr>
                  <w:drawing>
                    <wp:inline distT="0" distB="0" distL="0" distR="0" wp14:anchorId="197476A3" wp14:editId="23F809C8">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7E60344E" w14:textId="77777777" w:rsidTr="006850BF">
            <w:trPr>
              <w:cantSplit/>
              <w:trHeight w:hRule="exact" w:val="1134"/>
            </w:trPr>
            <w:tc>
              <w:tcPr>
                <w:tcW w:w="5954" w:type="dxa"/>
                <w:tcMar>
                  <w:left w:w="0" w:type="dxa"/>
                  <w:right w:w="0" w:type="dxa"/>
                </w:tcMar>
              </w:tcPr>
              <w:p w14:paraId="09BE3EED" w14:textId="77777777" w:rsidR="006F2BA6" w:rsidRPr="00BA4BC3" w:rsidRDefault="006F2BA6" w:rsidP="00853EFB">
                <w:pPr>
                  <w:pStyle w:val="Titelrubrik"/>
                </w:pPr>
              </w:p>
            </w:tc>
            <w:tc>
              <w:tcPr>
                <w:tcW w:w="1134" w:type="dxa"/>
                <w:tcMar>
                  <w:left w:w="0" w:type="dxa"/>
                  <w:right w:w="0" w:type="dxa"/>
                </w:tcMar>
              </w:tcPr>
              <w:p w14:paraId="6280B302" w14:textId="77777777" w:rsidR="006F2BA6" w:rsidRPr="00FA0C03" w:rsidRDefault="006F2BA6" w:rsidP="00FB49C0">
                <w:pPr>
                  <w:pStyle w:val="Dokumentbeteckning"/>
                  <w:rPr>
                    <w:color w:val="FFFFFF" w:themeColor="background1"/>
                    <w:szCs w:val="24"/>
                  </w:rPr>
                </w:pPr>
              </w:p>
            </w:tc>
          </w:tr>
          <w:tr w:rsidR="006F2BA6" w14:paraId="74FE99AE" w14:textId="77777777" w:rsidTr="009D1CD1">
            <w:trPr>
              <w:cantSplit/>
            </w:trPr>
            <w:tc>
              <w:tcPr>
                <w:tcW w:w="5954" w:type="dxa"/>
                <w:tcBorders>
                  <w:bottom w:val="single" w:sz="4" w:space="0" w:color="auto"/>
                </w:tcBorders>
                <w:tcMar>
                  <w:left w:w="0" w:type="dxa"/>
                  <w:right w:w="0" w:type="dxa"/>
                </w:tcMar>
              </w:tcPr>
              <w:p w14:paraId="4BC399B5" w14:textId="77777777" w:rsidR="006F2BA6" w:rsidRPr="00853EFB" w:rsidRDefault="000D47CA" w:rsidP="0039664C">
                <w:pPr>
                  <w:pStyle w:val="Titelrubrik2"/>
                </w:pPr>
                <w:fldSimple w:instr=" DOCPROPERTY  Dokrubrik  \* MERGEFORMAT ">
                  <w:r w:rsidR="00D43E27">
                    <w:t>Förslag till disposition av Riksbankens vinst för räkenskapsåret 2015 samt riksbanksfullmäktiges verksamhetsberättelse för 2015</w:t>
                  </w:r>
                </w:fldSimple>
              </w:p>
            </w:tc>
            <w:tc>
              <w:tcPr>
                <w:tcW w:w="1134" w:type="dxa"/>
                <w:tcMar>
                  <w:left w:w="0" w:type="dxa"/>
                  <w:right w:w="0" w:type="dxa"/>
                </w:tcMar>
              </w:tcPr>
              <w:p w14:paraId="29EC9AE2" w14:textId="77777777" w:rsidR="006F2BA6" w:rsidRPr="00BA4BC3" w:rsidRDefault="006F2BA6" w:rsidP="0039664C">
                <w:pPr>
                  <w:pStyle w:val="Titelrubrik2"/>
                </w:pPr>
              </w:p>
            </w:tc>
          </w:tr>
          <w:tr w:rsidR="006F2BA6" w14:paraId="25E0B92E" w14:textId="77777777" w:rsidTr="009D1CD1">
            <w:trPr>
              <w:cantSplit/>
            </w:trPr>
            <w:tc>
              <w:tcPr>
                <w:tcW w:w="5954" w:type="dxa"/>
                <w:tcBorders>
                  <w:top w:val="single" w:sz="4" w:space="0" w:color="auto"/>
                </w:tcBorders>
                <w:tcMar>
                  <w:left w:w="0" w:type="dxa"/>
                  <w:right w:w="0" w:type="dxa"/>
                </w:tcMar>
              </w:tcPr>
              <w:p w14:paraId="665A9049" w14:textId="77777777" w:rsidR="006F2BA6" w:rsidRPr="00853EFB" w:rsidRDefault="006F2BA6" w:rsidP="00853EFB">
                <w:pPr>
                  <w:pStyle w:val="Titelrubrik"/>
                </w:pPr>
              </w:p>
            </w:tc>
            <w:tc>
              <w:tcPr>
                <w:tcW w:w="1134" w:type="dxa"/>
                <w:tcMar>
                  <w:left w:w="0" w:type="dxa"/>
                  <w:right w:w="0" w:type="dxa"/>
                </w:tcMar>
              </w:tcPr>
              <w:p w14:paraId="3B5E25E6" w14:textId="77777777" w:rsidR="006F2BA6" w:rsidRPr="00BA4BC3" w:rsidRDefault="006F2BA6" w:rsidP="000E7DFF">
                <w:pPr>
                  <w:pStyle w:val="Titelrubrik"/>
                </w:pPr>
              </w:p>
            </w:tc>
          </w:tr>
        </w:tbl>
        <w:p w14:paraId="392CDE45" w14:textId="77777777" w:rsidR="00DC511B" w:rsidRPr="006F2BA6" w:rsidRDefault="00330A04" w:rsidP="00440DE9">
          <w:pPr>
            <w:pStyle w:val="Tabell-Radrubrik"/>
          </w:pPr>
        </w:p>
        <w:bookmarkStart w:id="0" w:name="_GoBack" w:displacedByCustomXml="next"/>
        <w:bookmarkEnd w:id="0" w:displacedByCustomXml="next"/>
      </w:sdtContent>
    </w:sdt>
    <w:p w14:paraId="0957DEA0" w14:textId="77777777" w:rsidR="00FB5EC9" w:rsidRPr="00FB5EC9" w:rsidRDefault="00FB5EC9" w:rsidP="004D5492">
      <w:pPr>
        <w:pStyle w:val="Rubrik1"/>
        <w:rPr>
          <w:rStyle w:val="Kapitelrubrik"/>
          <w:color w:val="FF0000"/>
          <w:sz w:val="16"/>
          <w:szCs w:val="16"/>
        </w:rPr>
        <w:sectPr w:rsidR="00FB5EC9" w:rsidRPr="00FB5EC9" w:rsidSect="008236DA">
          <w:headerReference w:type="even" r:id="rId12"/>
          <w:headerReference w:type="default" r:id="rId13"/>
          <w:footerReference w:type="even" r:id="rId14"/>
          <w:footerReference w:type="default" r:id="rId15"/>
          <w:footerReference w:type="first" r:id="rId16"/>
          <w:pgSz w:w="9356" w:h="13721" w:code="9"/>
          <w:pgMar w:top="907" w:right="2041" w:bottom="1474" w:left="1418" w:header="397" w:footer="624" w:gutter="0"/>
          <w:cols w:space="708"/>
          <w:titlePg/>
          <w:docGrid w:linePitch="360"/>
        </w:sectPr>
      </w:pPr>
    </w:p>
    <w:p w14:paraId="0B0466A3" w14:textId="7A6E8978" w:rsidR="004D5492" w:rsidRPr="00B7395D" w:rsidRDefault="004D5492" w:rsidP="00FB5EC9">
      <w:pPr>
        <w:pStyle w:val="Rubrik1"/>
      </w:pPr>
      <w:bookmarkStart w:id="1" w:name="_Toc433875864"/>
      <w:r w:rsidRPr="00B7395D">
        <w:rPr>
          <w:rStyle w:val="Kapitelrubrik"/>
        </w:rPr>
        <w:lastRenderedPageBreak/>
        <w:t>Sammanfattning</w:t>
      </w:r>
      <w:bookmarkEnd w:id="1"/>
    </w:p>
    <w:p w14:paraId="42E22BC5" w14:textId="77777777" w:rsidR="00417ACB" w:rsidRDefault="00D43E27" w:rsidP="00417ACB">
      <w:r>
        <w:t>Enligt 10 kap. 3 § lagen (</w:t>
      </w:r>
      <w:proofErr w:type="gramStart"/>
      <w:r>
        <w:t>1988:1385</w:t>
      </w:r>
      <w:proofErr w:type="gramEnd"/>
      <w:r>
        <w:t>) om Sveriges riksbank ska riksbanksfullmäktige lämna förslag till riksdagen och Riksrevisionen om hur Riksbankens vinst ska disponeras.</w:t>
      </w:r>
    </w:p>
    <w:p w14:paraId="79B5F303" w14:textId="722C1300" w:rsidR="00D43E27" w:rsidRDefault="00D43E27" w:rsidP="00FB6E0E">
      <w:pPr>
        <w:pStyle w:val="Normaltindrag"/>
      </w:pPr>
      <w:r>
        <w:t xml:space="preserve">Fullmäktige tillämpar sedan flera år en </w:t>
      </w:r>
      <w:r w:rsidR="000F4A6A">
        <w:t>vinstutdelnings</w:t>
      </w:r>
      <w:r>
        <w:t xml:space="preserve">princip som i korthet innebär att 80 procent av Riksbankens genomsnittliga resultat för de senaste fem åren ska levereras in till statskassan. Resultatet beräknas exklusive valutakurs- och guldvärdeeffekter men inklusive de priseffekter som redovisas på värderegleringskontot i balansräkningen. För 2015 föreslår fullmäktige därmed en inleverans om </w:t>
      </w:r>
      <w:r w:rsidR="00674676">
        <w:t>2</w:t>
      </w:r>
      <w:r w:rsidR="00AB3B83">
        <w:t> </w:t>
      </w:r>
      <w:r w:rsidR="00674676">
        <w:t>800</w:t>
      </w:r>
      <w:r w:rsidR="00AB3B83">
        <w:t xml:space="preserve"> </w:t>
      </w:r>
      <w:proofErr w:type="gramStart"/>
      <w:r w:rsidR="00AB3B83">
        <w:t xml:space="preserve">miljoner </w:t>
      </w:r>
      <w:r>
        <w:t xml:space="preserve"> kronor</w:t>
      </w:r>
      <w:proofErr w:type="gramEnd"/>
      <w:r>
        <w:t>.</w:t>
      </w:r>
    </w:p>
    <w:p w14:paraId="5438C11C" w14:textId="1FE1E69B" w:rsidR="00FB6E0E" w:rsidRPr="00D43E27" w:rsidRDefault="00FB6E0E" w:rsidP="00FB6E0E">
      <w:pPr>
        <w:pStyle w:val="Normaltindrag"/>
      </w:pPr>
      <w:r>
        <w:t>Fullmäktiges verksamhetsberättelse för 2015 redovisar övergripande vilka ärenden som har behandlats vid fullmäktiges sammanträden</w:t>
      </w:r>
      <w:r w:rsidR="000F4A6A">
        <w:t xml:space="preserve"> (</w:t>
      </w:r>
      <w:r w:rsidR="00592188">
        <w:t>nio</w:t>
      </w:r>
      <w:r w:rsidR="000F4A6A">
        <w:t xml:space="preserve"> </w:t>
      </w:r>
      <w:r w:rsidRPr="00666113">
        <w:t>tillfällen</w:t>
      </w:r>
      <w:r w:rsidR="000F4A6A">
        <w:t xml:space="preserve">) </w:t>
      </w:r>
      <w:r>
        <w:t>under året och vilken information som fullmäktige har fått vid sammanträdena. Verksamhetsberättelsen beskriver även hur fullmäktige har bedrivit sin kontrollerande funktion.</w:t>
      </w:r>
    </w:p>
    <w:p w14:paraId="20553527" w14:textId="77777777" w:rsidR="00417ACB" w:rsidRDefault="00417ACB" w:rsidP="00417ACB"/>
    <w:p w14:paraId="7FE4D4CF" w14:textId="77777777" w:rsidR="000F149C" w:rsidRDefault="000F149C" w:rsidP="000F149C"/>
    <w:p w14:paraId="08C4F985" w14:textId="77777777" w:rsidR="009B0A28" w:rsidRPr="00F60288" w:rsidRDefault="009B0A28" w:rsidP="009B0A28"/>
    <w:p w14:paraId="07A52196"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650628CB" w14:textId="77777777" w:rsidR="005D44E2" w:rsidRPr="00A37486" w:rsidRDefault="00545856" w:rsidP="00A37486">
          <w:pPr>
            <w:pStyle w:val="Rubrik1TOC"/>
          </w:pPr>
          <w:r w:rsidRPr="00A37486">
            <w:rPr>
              <w:rStyle w:val="Kapitelrubrik"/>
            </w:rPr>
            <w:t>Innehållsförteckning</w:t>
          </w:r>
        </w:p>
        <w:p w14:paraId="3857E184" w14:textId="77777777" w:rsidR="001D5DC9"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33875864" w:history="1">
            <w:r w:rsidR="001D5DC9" w:rsidRPr="007E3B0C">
              <w:rPr>
                <w:rStyle w:val="Hyperlnk"/>
                <w:noProof/>
              </w:rPr>
              <w:t>Sammanfattning</w:t>
            </w:r>
            <w:r w:rsidR="001D5DC9">
              <w:rPr>
                <w:noProof/>
                <w:webHidden/>
              </w:rPr>
              <w:tab/>
            </w:r>
            <w:r w:rsidR="001D5DC9">
              <w:rPr>
                <w:noProof/>
                <w:webHidden/>
              </w:rPr>
              <w:fldChar w:fldCharType="begin"/>
            </w:r>
            <w:r w:rsidR="001D5DC9">
              <w:rPr>
                <w:noProof/>
                <w:webHidden/>
              </w:rPr>
              <w:instrText xml:space="preserve"> PAGEREF _Toc433875864 \h </w:instrText>
            </w:r>
            <w:r w:rsidR="001D5DC9">
              <w:rPr>
                <w:noProof/>
                <w:webHidden/>
              </w:rPr>
            </w:r>
            <w:r w:rsidR="001D5DC9">
              <w:rPr>
                <w:noProof/>
                <w:webHidden/>
              </w:rPr>
              <w:fldChar w:fldCharType="separate"/>
            </w:r>
            <w:r w:rsidR="00755DBD">
              <w:rPr>
                <w:noProof/>
                <w:webHidden/>
              </w:rPr>
              <w:t>1</w:t>
            </w:r>
            <w:r w:rsidR="001D5DC9">
              <w:rPr>
                <w:noProof/>
                <w:webHidden/>
              </w:rPr>
              <w:fldChar w:fldCharType="end"/>
            </w:r>
          </w:hyperlink>
        </w:p>
        <w:p w14:paraId="1E7362C4" w14:textId="77777777" w:rsidR="001D5DC9" w:rsidRDefault="00330A04">
          <w:pPr>
            <w:pStyle w:val="Innehll1"/>
            <w:rPr>
              <w:rFonts w:asciiTheme="minorHAnsi" w:eastAsiaTheme="minorEastAsia" w:hAnsiTheme="minorHAnsi" w:cstheme="minorBidi"/>
              <w:noProof/>
              <w:sz w:val="22"/>
              <w:szCs w:val="22"/>
              <w:lang w:eastAsia="sv-SE"/>
            </w:rPr>
          </w:pPr>
          <w:hyperlink w:anchor="_Toc433875865" w:history="1">
            <w:r w:rsidR="001D5DC9" w:rsidRPr="007E3B0C">
              <w:rPr>
                <w:rStyle w:val="Hyperlnk"/>
                <w:noProof/>
              </w:rPr>
              <w:t>Förslag till riksdagsbeslut</w:t>
            </w:r>
            <w:r w:rsidR="001D5DC9">
              <w:rPr>
                <w:noProof/>
                <w:webHidden/>
              </w:rPr>
              <w:tab/>
            </w:r>
            <w:r w:rsidR="001D5DC9">
              <w:rPr>
                <w:noProof/>
                <w:webHidden/>
              </w:rPr>
              <w:fldChar w:fldCharType="begin"/>
            </w:r>
            <w:r w:rsidR="001D5DC9">
              <w:rPr>
                <w:noProof/>
                <w:webHidden/>
              </w:rPr>
              <w:instrText xml:space="preserve"> PAGEREF _Toc433875865 \h </w:instrText>
            </w:r>
            <w:r w:rsidR="001D5DC9">
              <w:rPr>
                <w:noProof/>
                <w:webHidden/>
              </w:rPr>
            </w:r>
            <w:r w:rsidR="001D5DC9">
              <w:rPr>
                <w:noProof/>
                <w:webHidden/>
              </w:rPr>
              <w:fldChar w:fldCharType="separate"/>
            </w:r>
            <w:r w:rsidR="00755DBD">
              <w:rPr>
                <w:noProof/>
                <w:webHidden/>
              </w:rPr>
              <w:t>3</w:t>
            </w:r>
            <w:r w:rsidR="001D5DC9">
              <w:rPr>
                <w:noProof/>
                <w:webHidden/>
              </w:rPr>
              <w:fldChar w:fldCharType="end"/>
            </w:r>
          </w:hyperlink>
        </w:p>
        <w:p w14:paraId="4BA0BC90" w14:textId="77777777" w:rsidR="001D5DC9" w:rsidRDefault="00330A04">
          <w:pPr>
            <w:pStyle w:val="Innehll1"/>
            <w:rPr>
              <w:rFonts w:asciiTheme="minorHAnsi" w:eastAsiaTheme="minorEastAsia" w:hAnsiTheme="minorHAnsi" w:cstheme="minorBidi"/>
              <w:noProof/>
              <w:sz w:val="22"/>
              <w:szCs w:val="22"/>
              <w:lang w:eastAsia="sv-SE"/>
            </w:rPr>
          </w:pPr>
          <w:hyperlink w:anchor="_Toc433875866" w:history="1">
            <w:r w:rsidR="001D5DC9" w:rsidRPr="007E3B0C">
              <w:rPr>
                <w:rStyle w:val="Hyperlnk"/>
                <w:noProof/>
              </w:rPr>
              <w:t>Förslag till vinstdisposition för 2015</w:t>
            </w:r>
            <w:r w:rsidR="001D5DC9">
              <w:rPr>
                <w:noProof/>
                <w:webHidden/>
              </w:rPr>
              <w:tab/>
            </w:r>
            <w:r w:rsidR="001D5DC9">
              <w:rPr>
                <w:noProof/>
                <w:webHidden/>
              </w:rPr>
              <w:fldChar w:fldCharType="begin"/>
            </w:r>
            <w:r w:rsidR="001D5DC9">
              <w:rPr>
                <w:noProof/>
                <w:webHidden/>
              </w:rPr>
              <w:instrText xml:space="preserve"> PAGEREF _Toc433875866 \h </w:instrText>
            </w:r>
            <w:r w:rsidR="001D5DC9">
              <w:rPr>
                <w:noProof/>
                <w:webHidden/>
              </w:rPr>
            </w:r>
            <w:r w:rsidR="001D5DC9">
              <w:rPr>
                <w:noProof/>
                <w:webHidden/>
              </w:rPr>
              <w:fldChar w:fldCharType="separate"/>
            </w:r>
            <w:r w:rsidR="00755DBD">
              <w:rPr>
                <w:noProof/>
                <w:webHidden/>
              </w:rPr>
              <w:t>4</w:t>
            </w:r>
            <w:r w:rsidR="001D5DC9">
              <w:rPr>
                <w:noProof/>
                <w:webHidden/>
              </w:rPr>
              <w:fldChar w:fldCharType="end"/>
            </w:r>
          </w:hyperlink>
        </w:p>
        <w:p w14:paraId="706EC577" w14:textId="77777777" w:rsidR="001D5DC9" w:rsidRDefault="00330A04">
          <w:pPr>
            <w:pStyle w:val="Innehll1"/>
            <w:rPr>
              <w:rFonts w:asciiTheme="minorHAnsi" w:eastAsiaTheme="minorEastAsia" w:hAnsiTheme="minorHAnsi" w:cstheme="minorBidi"/>
              <w:noProof/>
              <w:sz w:val="22"/>
              <w:szCs w:val="22"/>
              <w:lang w:eastAsia="sv-SE"/>
            </w:rPr>
          </w:pPr>
          <w:hyperlink w:anchor="_Toc433875867" w:history="1">
            <w:r w:rsidR="001D5DC9" w:rsidRPr="007E3B0C">
              <w:rPr>
                <w:rStyle w:val="Hyperlnk"/>
                <w:noProof/>
              </w:rPr>
              <w:t>Fullmäktiges verksamhetsberättelse</w:t>
            </w:r>
            <w:r w:rsidR="001D5DC9">
              <w:rPr>
                <w:noProof/>
                <w:webHidden/>
              </w:rPr>
              <w:tab/>
            </w:r>
            <w:r w:rsidR="001D5DC9">
              <w:rPr>
                <w:noProof/>
                <w:webHidden/>
              </w:rPr>
              <w:fldChar w:fldCharType="begin"/>
            </w:r>
            <w:r w:rsidR="001D5DC9">
              <w:rPr>
                <w:noProof/>
                <w:webHidden/>
              </w:rPr>
              <w:instrText xml:space="preserve"> PAGEREF _Toc433875867 \h </w:instrText>
            </w:r>
            <w:r w:rsidR="001D5DC9">
              <w:rPr>
                <w:noProof/>
                <w:webHidden/>
              </w:rPr>
            </w:r>
            <w:r w:rsidR="001D5DC9">
              <w:rPr>
                <w:noProof/>
                <w:webHidden/>
              </w:rPr>
              <w:fldChar w:fldCharType="separate"/>
            </w:r>
            <w:r w:rsidR="00755DBD">
              <w:rPr>
                <w:noProof/>
                <w:webHidden/>
              </w:rPr>
              <w:t>6</w:t>
            </w:r>
            <w:r w:rsidR="001D5DC9">
              <w:rPr>
                <w:noProof/>
                <w:webHidden/>
              </w:rPr>
              <w:fldChar w:fldCharType="end"/>
            </w:r>
          </w:hyperlink>
        </w:p>
        <w:p w14:paraId="649A484F" w14:textId="77777777" w:rsidR="001D5DC9" w:rsidRPr="001D5DC9" w:rsidRDefault="001D5DC9">
          <w:pPr>
            <w:pStyle w:val="Innehll1"/>
            <w:rPr>
              <w:rStyle w:val="Hyperlnk"/>
              <w:i/>
              <w:noProof/>
            </w:rPr>
          </w:pPr>
          <w:r>
            <w:rPr>
              <w:rStyle w:val="Hyperlnk"/>
              <w:i/>
              <w:noProof/>
            </w:rPr>
            <w:t>Bilaga</w:t>
          </w:r>
        </w:p>
        <w:p w14:paraId="0DD4F610" w14:textId="77777777" w:rsidR="001D5DC9" w:rsidRDefault="00330A04">
          <w:pPr>
            <w:pStyle w:val="Innehll1"/>
            <w:rPr>
              <w:rFonts w:asciiTheme="minorHAnsi" w:eastAsiaTheme="minorEastAsia" w:hAnsiTheme="minorHAnsi" w:cstheme="minorBidi"/>
              <w:noProof/>
              <w:sz w:val="22"/>
              <w:szCs w:val="22"/>
              <w:lang w:eastAsia="sv-SE"/>
            </w:rPr>
          </w:pPr>
          <w:hyperlink w:anchor="_Toc433875868" w:history="1">
            <w:r w:rsidR="001D5DC9" w:rsidRPr="007E3B0C">
              <w:rPr>
                <w:rStyle w:val="Hyperlnk"/>
                <w:noProof/>
              </w:rPr>
              <w:t>Beräkning av Riksbankens vinstdisposition 2015</w:t>
            </w:r>
            <w:r w:rsidR="001D5DC9">
              <w:rPr>
                <w:noProof/>
                <w:webHidden/>
              </w:rPr>
              <w:tab/>
            </w:r>
            <w:r w:rsidR="001D5DC9">
              <w:rPr>
                <w:noProof/>
                <w:webHidden/>
              </w:rPr>
              <w:fldChar w:fldCharType="begin"/>
            </w:r>
            <w:r w:rsidR="001D5DC9">
              <w:rPr>
                <w:noProof/>
                <w:webHidden/>
              </w:rPr>
              <w:instrText xml:space="preserve"> PAGEREF _Toc433875868 \h </w:instrText>
            </w:r>
            <w:r w:rsidR="001D5DC9">
              <w:rPr>
                <w:noProof/>
                <w:webHidden/>
              </w:rPr>
            </w:r>
            <w:r w:rsidR="001D5DC9">
              <w:rPr>
                <w:noProof/>
                <w:webHidden/>
              </w:rPr>
              <w:fldChar w:fldCharType="separate"/>
            </w:r>
            <w:r w:rsidR="00755DBD">
              <w:rPr>
                <w:noProof/>
                <w:webHidden/>
              </w:rPr>
              <w:t>10</w:t>
            </w:r>
            <w:r w:rsidR="001D5DC9">
              <w:rPr>
                <w:noProof/>
                <w:webHidden/>
              </w:rPr>
              <w:fldChar w:fldCharType="end"/>
            </w:r>
          </w:hyperlink>
        </w:p>
        <w:p w14:paraId="3DF084DA" w14:textId="77777777" w:rsidR="00545856" w:rsidRDefault="00545856">
          <w:pPr>
            <w:rPr>
              <w:b/>
            </w:rPr>
          </w:pPr>
          <w:r>
            <w:rPr>
              <w:b/>
              <w:bCs/>
            </w:rPr>
            <w:fldChar w:fldCharType="end"/>
          </w:r>
        </w:p>
      </w:sdtContent>
    </w:sdt>
    <w:p w14:paraId="4F256C25" w14:textId="77777777" w:rsidR="00FB5EC9" w:rsidRPr="00FB5EC9" w:rsidRDefault="00FB5EC9" w:rsidP="00FB5EC9">
      <w:pPr>
        <w:pStyle w:val="Normaltindrag"/>
      </w:pPr>
    </w:p>
    <w:p w14:paraId="69B2B62F" w14:textId="77777777" w:rsidR="00792FF8" w:rsidRDefault="00FB6E0E" w:rsidP="00743812">
      <w:pPr>
        <w:pStyle w:val="Rubrik1"/>
        <w:pageBreakBefore/>
      </w:pPr>
      <w:bookmarkStart w:id="2" w:name="_Toc433875865"/>
      <w:r>
        <w:rPr>
          <w:rStyle w:val="Kapitelrubrik"/>
        </w:rPr>
        <w:lastRenderedPageBreak/>
        <w:t>Förslag till riksdagsbeslut</w:t>
      </w:r>
      <w:bookmarkEnd w:id="2"/>
    </w:p>
    <w:p w14:paraId="080414C0" w14:textId="77777777" w:rsidR="001B3535" w:rsidRDefault="00FB6E0E" w:rsidP="001B3535">
      <w:r>
        <w:t>Fullmäktige föreslår att riksdagen fastställer förslaget till disposition av Riksbankens vinst för räkenskapsåret 2015.</w:t>
      </w:r>
    </w:p>
    <w:p w14:paraId="1F9CBDE7" w14:textId="715C82D2" w:rsidR="00FB6E0E" w:rsidRPr="00674676" w:rsidRDefault="00FB6E0E" w:rsidP="00FB6E0E">
      <w:pPr>
        <w:pStyle w:val="Normaltindrag"/>
      </w:pPr>
      <w:r w:rsidRPr="00674676">
        <w:t xml:space="preserve">Resultatet för 2015 uppgår till </w:t>
      </w:r>
      <w:r w:rsidR="00674676" w:rsidRPr="00674676">
        <w:t>1</w:t>
      </w:r>
      <w:r w:rsidR="00AB3B83">
        <w:t> </w:t>
      </w:r>
      <w:r w:rsidR="00674676" w:rsidRPr="00674676">
        <w:t>954</w:t>
      </w:r>
      <w:r w:rsidR="00AB3B83">
        <w:t xml:space="preserve"> miljoner</w:t>
      </w:r>
      <w:r w:rsidRPr="00674676">
        <w:t xml:space="preserve"> kronor. Fullmäktige föreslår följande disposition av Riksbankens vinst:</w:t>
      </w:r>
    </w:p>
    <w:p w14:paraId="1058AA6F" w14:textId="05139DD1" w:rsidR="00FB6E0E" w:rsidRPr="00674676" w:rsidRDefault="00674676" w:rsidP="00F60288">
      <w:pPr>
        <w:pStyle w:val="Punktlistabomb"/>
      </w:pPr>
      <w:r w:rsidRPr="00674676">
        <w:t>2</w:t>
      </w:r>
      <w:r w:rsidR="00AB3B83">
        <w:t> </w:t>
      </w:r>
      <w:r w:rsidRPr="00674676">
        <w:t>800</w:t>
      </w:r>
      <w:r w:rsidR="00AB3B83">
        <w:t xml:space="preserve"> miljoner</w:t>
      </w:r>
      <w:r w:rsidR="00FB6E0E" w:rsidRPr="00674676">
        <w:t xml:space="preserve"> kronor levereras in till statskassan.</w:t>
      </w:r>
    </w:p>
    <w:p w14:paraId="348F0F8F" w14:textId="3BE18141" w:rsidR="00FB6E0E" w:rsidRPr="00674676" w:rsidRDefault="00674676" w:rsidP="00F60288">
      <w:pPr>
        <w:pStyle w:val="Punktlistabomb"/>
      </w:pPr>
      <w:r w:rsidRPr="00674676">
        <w:t>1</w:t>
      </w:r>
      <w:r w:rsidR="00AB3B83">
        <w:t> </w:t>
      </w:r>
      <w:r w:rsidRPr="00674676">
        <w:t>170</w:t>
      </w:r>
      <w:r w:rsidR="00AB3B83">
        <w:t xml:space="preserve"> m</w:t>
      </w:r>
      <w:r w:rsidR="00313B7D">
        <w:t>ilj</w:t>
      </w:r>
      <w:r w:rsidR="00AB3B83">
        <w:t>oner</w:t>
      </w:r>
      <w:r w:rsidR="00FB6E0E" w:rsidRPr="00674676">
        <w:t xml:space="preserve"> kronor förs </w:t>
      </w:r>
      <w:r w:rsidRPr="00674676">
        <w:t>till</w:t>
      </w:r>
      <w:r w:rsidR="00FB6E0E" w:rsidRPr="00674676">
        <w:t xml:space="preserve"> Riksbankens dispositionsfond.</w:t>
      </w:r>
    </w:p>
    <w:p w14:paraId="6F54B35E" w14:textId="1B2D6DDB" w:rsidR="00FB6E0E" w:rsidRDefault="00674676" w:rsidP="00F60288">
      <w:pPr>
        <w:pStyle w:val="Punktlistabomb"/>
      </w:pPr>
      <w:r w:rsidRPr="00674676">
        <w:t>2</w:t>
      </w:r>
      <w:r w:rsidR="00AB3B83">
        <w:t> </w:t>
      </w:r>
      <w:r w:rsidRPr="00674676">
        <w:t>016</w:t>
      </w:r>
      <w:r w:rsidR="00AB3B83">
        <w:t xml:space="preserve"> miljoner</w:t>
      </w:r>
      <w:r w:rsidR="00FB6E0E" w:rsidRPr="00674676">
        <w:t xml:space="preserve"> kronor förs </w:t>
      </w:r>
      <w:r w:rsidRPr="00674676">
        <w:t>från</w:t>
      </w:r>
      <w:r w:rsidR="00FB6E0E" w:rsidRPr="00674676">
        <w:t xml:space="preserve"> Riksbankens</w:t>
      </w:r>
      <w:r w:rsidR="00FB6E0E">
        <w:t xml:space="preserve"> resultatutjämningsfond.</w:t>
      </w:r>
    </w:p>
    <w:p w14:paraId="76BD645F" w14:textId="77777777" w:rsidR="00FB6E0E" w:rsidRDefault="00FB6E0E" w:rsidP="00FB6E0E">
      <w:r>
        <w:t>Fullmäktige föreslår även att inleveransen sker senast en vecka efter riksdagens beslut, lämpligen i samband med att Riksbanken genomför den veckovisa öppna marknadsoperationen.</w:t>
      </w:r>
    </w:p>
    <w:p w14:paraId="6B05AA7A" w14:textId="27B7A94E" w:rsidR="00380DEC" w:rsidRDefault="00380DEC" w:rsidP="00F60288">
      <w:pPr>
        <w:spacing w:before="250"/>
      </w:pPr>
      <w:r>
        <w:t xml:space="preserve">Stockholm den </w:t>
      </w:r>
      <w:r w:rsidR="00246EFB">
        <w:t>5 februari</w:t>
      </w:r>
      <w:r>
        <w:t xml:space="preserve"> 2016</w:t>
      </w:r>
    </w:p>
    <w:p w14:paraId="21DE3993" w14:textId="77777777" w:rsidR="00380DEC" w:rsidRDefault="00380DEC" w:rsidP="00F60288">
      <w:pPr>
        <w:spacing w:before="250"/>
      </w:pPr>
      <w:r>
        <w:t>På fullmäktiges vägnar</w:t>
      </w:r>
    </w:p>
    <w:p w14:paraId="322BA1FB" w14:textId="0316F19F" w:rsidR="00380DEC" w:rsidRPr="00F60288" w:rsidRDefault="00F60288" w:rsidP="00F60288">
      <w:pPr>
        <w:spacing w:before="840"/>
        <w:rPr>
          <w:i/>
          <w:iCs/>
        </w:rPr>
      </w:pPr>
      <w:r w:rsidRPr="00F60288">
        <w:rPr>
          <w:i/>
          <w:iCs/>
        </w:rPr>
        <w:t>S</w:t>
      </w:r>
      <w:r>
        <w:rPr>
          <w:i/>
          <w:iCs/>
        </w:rPr>
        <w:t>usanne E</w:t>
      </w:r>
      <w:r w:rsidRPr="00F60288">
        <w:rPr>
          <w:i/>
          <w:iCs/>
        </w:rPr>
        <w:t>berstein</w:t>
      </w:r>
    </w:p>
    <w:p w14:paraId="4EF1F78B" w14:textId="40662DF1" w:rsidR="00380DEC" w:rsidRPr="00F60288" w:rsidRDefault="00380DEC" w:rsidP="00F60288">
      <w:pPr>
        <w:pStyle w:val="Normaltindrag"/>
        <w:tabs>
          <w:tab w:val="left" w:pos="3402"/>
        </w:tabs>
        <w:spacing w:before="720"/>
        <w:rPr>
          <w:i/>
          <w:iCs/>
        </w:rPr>
      </w:pPr>
      <w:r w:rsidRPr="00F60288">
        <w:rPr>
          <w:i/>
          <w:iCs/>
        </w:rPr>
        <w:tab/>
        <w:t>/</w:t>
      </w:r>
      <w:r w:rsidR="002940D0" w:rsidRPr="00F60288">
        <w:rPr>
          <w:i/>
          <w:iCs/>
        </w:rPr>
        <w:t>Emelie Nilsson</w:t>
      </w:r>
    </w:p>
    <w:p w14:paraId="4F698F29" w14:textId="35AB4B43" w:rsidR="00380DEC" w:rsidRDefault="00380DEC" w:rsidP="00AF5870">
      <w:pPr>
        <w:spacing w:before="480" w:line="200" w:lineRule="exact"/>
      </w:pPr>
      <w:r>
        <w:t>Susanne Eberstein (ordförande), Michael Lundho</w:t>
      </w:r>
      <w:r w:rsidR="003C56C0">
        <w:t>lm (vice ordförande),</w:t>
      </w:r>
      <w:r>
        <w:t xml:space="preserve"> Peter Egardt, Caroline He</w:t>
      </w:r>
      <w:r w:rsidR="00782164">
        <w:t xml:space="preserve">lmersson Olsson, </w:t>
      </w:r>
      <w:r>
        <w:t>Hans Birger Ekström, Anders Karlsson, Ro</w:t>
      </w:r>
      <w:r w:rsidR="00782164">
        <w:t xml:space="preserve">ger Tiefensee, Agneta Börjesson, </w:t>
      </w:r>
      <w:r w:rsidR="003C56C0">
        <w:t xml:space="preserve">Chris Heister, Tommy Waidelich </w:t>
      </w:r>
      <w:r w:rsidR="00782164">
        <w:t xml:space="preserve">och Olle Felten </w:t>
      </w:r>
      <w:r>
        <w:t>har deltagit i beslutet.</w:t>
      </w:r>
    </w:p>
    <w:p w14:paraId="3EF7CB49" w14:textId="77777777" w:rsidR="00380DEC" w:rsidRPr="00380DEC" w:rsidRDefault="00380DEC" w:rsidP="00AF5870">
      <w:pPr>
        <w:spacing w:before="240"/>
      </w:pPr>
      <w:r>
        <w:t>Eva Julin och Henrik Gardholm har varit föredragande.</w:t>
      </w:r>
    </w:p>
    <w:p w14:paraId="433E7CB2" w14:textId="77777777" w:rsidR="00314FC2" w:rsidRPr="00314FC2" w:rsidRDefault="00314FC2" w:rsidP="00314FC2"/>
    <w:p w14:paraId="4F4295F3" w14:textId="77777777" w:rsidR="00792FF8" w:rsidRPr="001B3535" w:rsidRDefault="00380DEC" w:rsidP="00FB5EC9">
      <w:pPr>
        <w:pStyle w:val="Rubrik1"/>
        <w:pageBreakBefore/>
      </w:pPr>
      <w:bookmarkStart w:id="3" w:name="_Toc433875866"/>
      <w:r>
        <w:rPr>
          <w:rStyle w:val="Kapitelrubrik"/>
        </w:rPr>
        <w:lastRenderedPageBreak/>
        <w:t>Förslag till vinstdisposition för 2015</w:t>
      </w:r>
      <w:bookmarkEnd w:id="3"/>
    </w:p>
    <w:p w14:paraId="22FD672C" w14:textId="178F04DD" w:rsidR="008145DF" w:rsidRPr="006C0F6D" w:rsidRDefault="008145DF" w:rsidP="008145DF">
      <w:pPr>
        <w:suppressAutoHyphens/>
      </w:pPr>
      <w:r w:rsidRPr="006C0F6D">
        <w:t>Riksdagen godkände i anslutning till sin behandling av R</w:t>
      </w:r>
      <w:r w:rsidR="006C0F6D" w:rsidRPr="006C0F6D">
        <w:t>iksbankens förvalt</w:t>
      </w:r>
      <w:r w:rsidR="006C0F6D" w:rsidRPr="006C0F6D">
        <w:softHyphen/>
        <w:t>ning för 2014</w:t>
      </w:r>
      <w:proofErr w:type="gramStart"/>
      <w:r w:rsidR="006C0F6D" w:rsidRPr="006C0F6D">
        <w:t xml:space="preserve"> (bet.</w:t>
      </w:r>
      <w:proofErr w:type="gramEnd"/>
      <w:r w:rsidR="006C0F6D" w:rsidRPr="006C0F6D">
        <w:t xml:space="preserve"> 2014/</w:t>
      </w:r>
      <w:proofErr w:type="gramStart"/>
      <w:r w:rsidR="006C0F6D" w:rsidRPr="006C0F6D">
        <w:t>15</w:t>
      </w:r>
      <w:r w:rsidRPr="006C0F6D">
        <w:t>:</w:t>
      </w:r>
      <w:r w:rsidRPr="00134177">
        <w:t>FiU</w:t>
      </w:r>
      <w:proofErr w:type="gramEnd"/>
      <w:r w:rsidRPr="00134177">
        <w:t>23</w:t>
      </w:r>
      <w:r w:rsidRPr="006C0F6D">
        <w:t>)</w:t>
      </w:r>
      <w:r w:rsidR="006C0F6D" w:rsidRPr="006C0F6D">
        <w:t xml:space="preserve"> att vinstdispositionen för </w:t>
      </w:r>
      <w:r w:rsidR="001A683E">
        <w:t xml:space="preserve">året </w:t>
      </w:r>
      <w:r w:rsidRPr="006C0F6D">
        <w:t>baserades på 1988 års vinstutdelningsprincip med de kompletteringar av principen som har genomförts sedan dess, vilket också var fullmäktiges förslag. Principen inne</w:t>
      </w:r>
      <w:r w:rsidRPr="006C0F6D">
        <w:softHyphen/>
        <w:t>bär i korthet att 80 procent av de fem senaste årens genomsnittliga resultat, exklusive valutakurs- och guldvärdeeffekter men inklusive de priseffekter som redovisas på värderegleringskontot i balansräkningen, ska levereras in till statskassan. Valutakurs- och guldvärdeef</w:t>
      </w:r>
      <w:r w:rsidR="006C0F6D">
        <w:t xml:space="preserve">fekterna samt, i normalfallet, </w:t>
      </w:r>
      <w:r w:rsidRPr="006C0F6D">
        <w:t>10 pro</w:t>
      </w:r>
      <w:r w:rsidRPr="006C0F6D">
        <w:softHyphen/>
        <w:t>cent av det justerade genomsnittliga resultatet ska föras till eller från dispo</w:t>
      </w:r>
      <w:r w:rsidRPr="006C0F6D">
        <w:softHyphen/>
        <w:t>sitionsfonden. Det belopp som återstår efter detta förs till eller från res</w:t>
      </w:r>
      <w:r w:rsidR="006C0F6D" w:rsidRPr="006C0F6D">
        <w:t>ultatut</w:t>
      </w:r>
      <w:r w:rsidR="006C0F6D" w:rsidRPr="006C0F6D">
        <w:softHyphen/>
        <w:t>jämningsfonden. För 2015</w:t>
      </w:r>
      <w:r w:rsidRPr="006C0F6D">
        <w:t xml:space="preserve"> tillämpar fullmäktige samma beräkningsgrund.</w:t>
      </w:r>
    </w:p>
    <w:p w14:paraId="6E6BD04F" w14:textId="43CA729A" w:rsidR="008145DF" w:rsidRPr="006C0F6D" w:rsidRDefault="008145DF" w:rsidP="008145DF">
      <w:pPr>
        <w:pStyle w:val="Normaltindrag"/>
        <w:suppressAutoHyphens/>
      </w:pPr>
      <w:r w:rsidRPr="006C0F6D">
        <w:t>Fullmäktige har i enlighet med 10 kap. 3 § lagen (</w:t>
      </w:r>
      <w:proofErr w:type="gramStart"/>
      <w:r w:rsidRPr="006C0F6D">
        <w:t>1988:1385</w:t>
      </w:r>
      <w:proofErr w:type="gramEnd"/>
      <w:r w:rsidRPr="006C0F6D">
        <w:t>) om Sveriges riksbank fått en red</w:t>
      </w:r>
      <w:r w:rsidR="006C0F6D" w:rsidRPr="006C0F6D">
        <w:t>ovisning för räkenskapsåret 2015</w:t>
      </w:r>
      <w:r w:rsidRPr="006C0F6D">
        <w:t xml:space="preserve"> från direktionen. Fullmäktige konstaterar att Riksbanken </w:t>
      </w:r>
      <w:r w:rsidR="006C0F6D" w:rsidRPr="006C0F6D">
        <w:t>redovisar en vinst för 2015</w:t>
      </w:r>
      <w:r w:rsidRPr="006C0F6D">
        <w:t xml:space="preserve"> på </w:t>
      </w:r>
      <w:r w:rsidR="00D74BD1">
        <w:t>1 954</w:t>
      </w:r>
      <w:r w:rsidRPr="006C0F6D">
        <w:t xml:space="preserve"> miljo</w:t>
      </w:r>
      <w:r w:rsidRPr="006C0F6D">
        <w:softHyphen/>
        <w:t>ner kronor. I enlighet med 1988 års vinstutdelningsprincip och kom</w:t>
      </w:r>
      <w:r w:rsidRPr="006C0F6D">
        <w:softHyphen/>
        <w:t>plette</w:t>
      </w:r>
      <w:r w:rsidRPr="006C0F6D">
        <w:softHyphen/>
        <w:t>ringar</w:t>
      </w:r>
      <w:r w:rsidR="001A683E">
        <w:t>na</w:t>
      </w:r>
      <w:r w:rsidRPr="006C0F6D">
        <w:t xml:space="preserve"> av </w:t>
      </w:r>
      <w:r w:rsidR="001A683E">
        <w:t>denna görs</w:t>
      </w:r>
      <w:r w:rsidRPr="006C0F6D">
        <w:t xml:space="preserve"> följande justeringar av det redovisade resultatet vid beräkningen av det inleveransgrundande resul</w:t>
      </w:r>
      <w:r w:rsidRPr="006C0F6D">
        <w:softHyphen/>
        <w:t>tatet:</w:t>
      </w:r>
    </w:p>
    <w:p w14:paraId="1B0AA1E1" w14:textId="640FF043" w:rsidR="008145DF" w:rsidRPr="00674676" w:rsidRDefault="008145DF" w:rsidP="00FD2A3B">
      <w:pPr>
        <w:pStyle w:val="Punktlistabomb"/>
      </w:pPr>
      <w:r w:rsidRPr="006C0F6D">
        <w:t xml:space="preserve">Det redovisade resultatet har påverkats </w:t>
      </w:r>
      <w:r w:rsidRPr="00674676">
        <w:t>positivt av en valutakursvinst</w:t>
      </w:r>
      <w:r w:rsidR="006C0F6D" w:rsidRPr="00674676">
        <w:t xml:space="preserve"> om </w:t>
      </w:r>
      <w:r w:rsidR="00D74BD1" w:rsidRPr="00674676">
        <w:t>822</w:t>
      </w:r>
      <w:r w:rsidRPr="00674676">
        <w:t xml:space="preserve"> miljoner kronor. Denna vinst exkluderas vid beräkningen</w:t>
      </w:r>
      <w:r w:rsidR="00B66CD5">
        <w:t>.</w:t>
      </w:r>
      <w:r w:rsidRPr="00674676">
        <w:t xml:space="preserve"> </w:t>
      </w:r>
    </w:p>
    <w:p w14:paraId="01F0F1BC" w14:textId="062E256B" w:rsidR="008145DF" w:rsidRPr="00674676" w:rsidRDefault="008145DF" w:rsidP="00FD2A3B">
      <w:pPr>
        <w:pStyle w:val="Punktlistabomb"/>
      </w:pPr>
      <w:r w:rsidRPr="00674676">
        <w:t>Det redovisade resultatet har inte påverkats av någon guldvärdeeffekt och därför görs</w:t>
      </w:r>
      <w:r w:rsidR="001A683E">
        <w:t xml:space="preserve"> heller</w:t>
      </w:r>
      <w:r w:rsidRPr="00674676">
        <w:t xml:space="preserve"> ingen justering för någon sådan effekt.</w:t>
      </w:r>
    </w:p>
    <w:p w14:paraId="1376673B" w14:textId="7B6D0061" w:rsidR="008145DF" w:rsidRPr="006C0F6D" w:rsidRDefault="008145DF" w:rsidP="00FD2A3B">
      <w:pPr>
        <w:pStyle w:val="Punktlistabomb"/>
      </w:pPr>
      <w:r w:rsidRPr="00674676">
        <w:t>En pris</w:t>
      </w:r>
      <w:r w:rsidR="006C0F6D" w:rsidRPr="00674676">
        <w:t>förlust</w:t>
      </w:r>
      <w:r w:rsidRPr="00674676">
        <w:t xml:space="preserve"> om </w:t>
      </w:r>
      <w:r w:rsidR="00674676" w:rsidRPr="00674676">
        <w:t>2 720</w:t>
      </w:r>
      <w:r w:rsidRPr="00674676">
        <w:t xml:space="preserve"> miljoner kronor har bokförts som</w:t>
      </w:r>
      <w:r w:rsidR="00B66CD5">
        <w:t xml:space="preserve"> en</w:t>
      </w:r>
      <w:r w:rsidRPr="00674676">
        <w:t xml:space="preserve"> priseffekt</w:t>
      </w:r>
      <w:r w:rsidR="006C0F6D" w:rsidRPr="00674676">
        <w:t>minskning</w:t>
      </w:r>
      <w:r w:rsidRPr="00674676">
        <w:t xml:space="preserve"> på värdereglerings</w:t>
      </w:r>
      <w:r w:rsidRPr="00674676">
        <w:softHyphen/>
        <w:t xml:space="preserve">kontot i balansräkningen. Fullmäktige har inkluderat denna </w:t>
      </w:r>
      <w:r w:rsidR="006C0F6D" w:rsidRPr="00674676">
        <w:t>förlust</w:t>
      </w:r>
      <w:r w:rsidRPr="006C0F6D">
        <w:t xml:space="preserve"> vid beräkningen av vinstdispositionen.</w:t>
      </w:r>
    </w:p>
    <w:p w14:paraId="317D9D6E" w14:textId="63754384" w:rsidR="008145DF" w:rsidRPr="006C0F6D" w:rsidRDefault="008145DF" w:rsidP="008145DF">
      <w:pPr>
        <w:pStyle w:val="Normaltindrag"/>
        <w:suppressAutoHyphens/>
        <w:ind w:firstLine="0"/>
      </w:pPr>
      <w:r w:rsidRPr="006C0F6D">
        <w:t>Fullmäktige föreslår enligt redovisningen nedan en inleverans till statskassan o</w:t>
      </w:r>
      <w:r w:rsidR="006C0F6D" w:rsidRPr="006C0F6D">
        <w:t xml:space="preserve">m </w:t>
      </w:r>
      <w:r w:rsidR="00674676">
        <w:t xml:space="preserve">2 800 </w:t>
      </w:r>
      <w:r w:rsidRPr="006C0F6D">
        <w:t>miljoner kronor.</w:t>
      </w:r>
    </w:p>
    <w:p w14:paraId="3B0D54C3" w14:textId="309C7F14" w:rsidR="008145DF" w:rsidRPr="006C0F6D" w:rsidRDefault="008145DF" w:rsidP="008145DF">
      <w:pPr>
        <w:pStyle w:val="Normaltindrag"/>
      </w:pPr>
      <w:r w:rsidRPr="00674676">
        <w:t>Valutakursvinsten förs till dispositions</w:t>
      </w:r>
      <w:r w:rsidRPr="00674676">
        <w:softHyphen/>
        <w:t>fonden. Dit förs även 10 procent av det genomsnittliga justerade resultatet. Eftersom den föreslagna inleveransen och överföringen till disposi</w:t>
      </w:r>
      <w:r w:rsidRPr="00674676">
        <w:softHyphen/>
        <w:t>tionsfonden är högre än årets redo</w:t>
      </w:r>
      <w:r w:rsidRPr="00674676">
        <w:softHyphen/>
        <w:t xml:space="preserve">visade resultat föreslår fullmäktige att resterande </w:t>
      </w:r>
      <w:r w:rsidR="00674676" w:rsidRPr="00674676">
        <w:t>2 016</w:t>
      </w:r>
      <w:r w:rsidRPr="00674676">
        <w:t xml:space="preserve"> miljoner kronor förs från resultat</w:t>
      </w:r>
      <w:r w:rsidRPr="00674676">
        <w:softHyphen/>
        <w:t>utjämningsfonden. Beräkningsunderlaget för vinstdispositionsförslaget</w:t>
      </w:r>
      <w:r w:rsidRPr="006C0F6D">
        <w:t xml:space="preserve"> framgår av bilagan.</w:t>
      </w:r>
    </w:p>
    <w:p w14:paraId="0979817A" w14:textId="37E84BB5" w:rsidR="008145DF" w:rsidRPr="002443E4" w:rsidRDefault="008145DF" w:rsidP="008145DF">
      <w:pPr>
        <w:pStyle w:val="Normaltindrag"/>
        <w:suppressAutoHyphens/>
      </w:pPr>
      <w:r w:rsidRPr="002443E4">
        <w:t xml:space="preserve">Riksrevisionen har i samband med den årliga granskningen </w:t>
      </w:r>
      <w:proofErr w:type="gramStart"/>
      <w:r w:rsidRPr="002443E4">
        <w:t>av             Riks</w:t>
      </w:r>
      <w:r w:rsidRPr="002443E4">
        <w:softHyphen/>
        <w:t>bankens</w:t>
      </w:r>
      <w:proofErr w:type="gramEnd"/>
      <w:r w:rsidRPr="002443E4">
        <w:t xml:space="preserve"> årsredovisning också granskat vinstdispositionsförslaget</w:t>
      </w:r>
      <w:r w:rsidR="00A847F1">
        <w:t xml:space="preserve"> även om Riksrevisionen inte har någon skyldighet att uttala sig om förslaget i sig.</w:t>
      </w:r>
      <w:r w:rsidRPr="002443E4">
        <w:t xml:space="preserve">    Riksrevisionen har inte</w:t>
      </w:r>
      <w:r w:rsidR="00A847F1">
        <w:t xml:space="preserve"> noterat några avvikelser från tidigare använd vinstutdelningsprincip. </w:t>
      </w:r>
      <w:r w:rsidRPr="002443E4">
        <w:t xml:space="preserve"> </w:t>
      </w:r>
    </w:p>
    <w:p w14:paraId="1568E77C" w14:textId="315C5618" w:rsidR="008145DF" w:rsidRPr="002443E4" w:rsidRDefault="002443E4" w:rsidP="008145DF">
      <w:pPr>
        <w:pStyle w:val="Normaltindrag"/>
        <w:suppressAutoHyphens/>
      </w:pPr>
      <w:r w:rsidRPr="002443E4">
        <w:lastRenderedPageBreak/>
        <w:t xml:space="preserve">Resultatet för 2015 uppgår till </w:t>
      </w:r>
      <w:r w:rsidR="00D74BD1">
        <w:t>1 954</w:t>
      </w:r>
      <w:r w:rsidR="008145DF" w:rsidRPr="002443E4">
        <w:t xml:space="preserve"> miljoner kro</w:t>
      </w:r>
      <w:r w:rsidRPr="002443E4">
        <w:t>nor. Fullmäktige beslutade den 5 februari 2016</w:t>
      </w:r>
      <w:r w:rsidR="008145DF" w:rsidRPr="002443E4">
        <w:t xml:space="preserve"> att lämna följande förslag till disposition </w:t>
      </w:r>
      <w:proofErr w:type="gramStart"/>
      <w:r w:rsidR="008145DF" w:rsidRPr="002443E4">
        <w:t>av       Riksbankens</w:t>
      </w:r>
      <w:proofErr w:type="gramEnd"/>
      <w:r w:rsidR="008145DF" w:rsidRPr="002443E4">
        <w:t xml:space="preserve"> vinst:</w:t>
      </w:r>
    </w:p>
    <w:p w14:paraId="3752739E" w14:textId="03D14179" w:rsidR="008145DF" w:rsidRPr="002443E4" w:rsidRDefault="00D74BD1" w:rsidP="00FD2A3B">
      <w:pPr>
        <w:pStyle w:val="Punktlistabomb"/>
      </w:pPr>
      <w:r>
        <w:t>2 800</w:t>
      </w:r>
      <w:r w:rsidR="008145DF" w:rsidRPr="002443E4">
        <w:t xml:space="preserve"> miljoner kronor levereras in till statskassan.</w:t>
      </w:r>
    </w:p>
    <w:p w14:paraId="712A3F66" w14:textId="713774B7" w:rsidR="008145DF" w:rsidRPr="00D74BD1" w:rsidRDefault="00D74BD1" w:rsidP="00FD2A3B">
      <w:pPr>
        <w:pStyle w:val="Punktlistabomb"/>
      </w:pPr>
      <w:r>
        <w:t>1 170</w:t>
      </w:r>
      <w:r w:rsidR="008145DF" w:rsidRPr="002443E4">
        <w:t xml:space="preserve"> miljoner kronor </w:t>
      </w:r>
      <w:r w:rsidR="008145DF" w:rsidRPr="00D74BD1">
        <w:t xml:space="preserve">förs </w:t>
      </w:r>
      <w:r w:rsidRPr="00D74BD1">
        <w:t>till</w:t>
      </w:r>
      <w:r w:rsidR="008145DF" w:rsidRPr="00D74BD1">
        <w:t xml:space="preserve"> Riksbankens dispositionsfond.</w:t>
      </w:r>
    </w:p>
    <w:p w14:paraId="7CCF256F" w14:textId="795E36A5" w:rsidR="008145DF" w:rsidRPr="002443E4" w:rsidRDefault="00D74BD1" w:rsidP="00FD2A3B">
      <w:pPr>
        <w:pStyle w:val="Punktlistabomb"/>
      </w:pPr>
      <w:r w:rsidRPr="00D74BD1">
        <w:t>2 016</w:t>
      </w:r>
      <w:r w:rsidR="008145DF" w:rsidRPr="00D74BD1">
        <w:t xml:space="preserve"> miljoner kronor förs från</w:t>
      </w:r>
      <w:r w:rsidR="008145DF" w:rsidRPr="002443E4">
        <w:t xml:space="preserve"> Riksbankens resultatutjämningsfond.</w:t>
      </w:r>
    </w:p>
    <w:p w14:paraId="5B28D821" w14:textId="78CE5C3F" w:rsidR="00816291" w:rsidRDefault="008145DF" w:rsidP="00FD2A3B">
      <w:pPr>
        <w:spacing w:before="125"/>
      </w:pPr>
      <w:r w:rsidRPr="002443E4">
        <w:t>Fullmäktige föreslår även att inleveransen sker senast en vecka efter riksdagens beslut, lämpligen i samband me</w:t>
      </w:r>
      <w:r w:rsidR="002443E4" w:rsidRPr="002443E4">
        <w:t xml:space="preserve">d att Riksbanken genomför den </w:t>
      </w:r>
      <w:r w:rsidRPr="002443E4">
        <w:t>veckovisa öppna marknadsoperationen.</w:t>
      </w:r>
    </w:p>
    <w:p w14:paraId="48F84972" w14:textId="77777777" w:rsidR="00B747CD" w:rsidRDefault="00B747CD" w:rsidP="00314FC2"/>
    <w:p w14:paraId="782683FC" w14:textId="77777777" w:rsidR="001B3535" w:rsidRDefault="001B3535" w:rsidP="00314FC2"/>
    <w:p w14:paraId="78A25820" w14:textId="77777777" w:rsidR="001B3535" w:rsidRDefault="001B3535" w:rsidP="00314FC2"/>
    <w:p w14:paraId="071BADF4" w14:textId="77777777" w:rsidR="00380DEC" w:rsidRDefault="00380DEC" w:rsidP="00314FC2">
      <w:pPr>
        <w:sectPr w:rsidR="00380DEC" w:rsidSect="0039664C">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p w14:paraId="4BED1386" w14:textId="77777777" w:rsidR="00380DEC" w:rsidRPr="001B3535" w:rsidRDefault="00380DEC" w:rsidP="00380DEC">
      <w:pPr>
        <w:pStyle w:val="Rubrik1"/>
        <w:pageBreakBefore/>
      </w:pPr>
      <w:bookmarkStart w:id="4" w:name="_Toc433875867"/>
      <w:r>
        <w:rPr>
          <w:rStyle w:val="Kapitelrubrik"/>
        </w:rPr>
        <w:lastRenderedPageBreak/>
        <w:t>Fullmäktiges verksamhetsberättelse</w:t>
      </w:r>
      <w:bookmarkEnd w:id="4"/>
    </w:p>
    <w:p w14:paraId="6112EA1F" w14:textId="77777777" w:rsidR="006E4F1C" w:rsidRDefault="006E4F1C" w:rsidP="006E4F1C">
      <w:r>
        <w:t>Riksbanksfullmäktige har elva ledamöter och lika många suppleanter. Ledamöterna utses av riksdagen efter allmänna val för en mandatperiod på fyra år. Fullmäktige väljer inom sig ordförande och vice ordförande.</w:t>
      </w:r>
    </w:p>
    <w:p w14:paraId="2DAC9D6D" w14:textId="7EE63EBD" w:rsidR="006E4F1C" w:rsidRPr="007018EE" w:rsidRDefault="006E4F1C" w:rsidP="006E4F1C">
      <w:pPr>
        <w:pStyle w:val="Normaltindrag"/>
        <w:suppressAutoHyphens/>
        <w:rPr>
          <w:rFonts w:eastAsia="Times New Roman"/>
          <w:szCs w:val="20"/>
          <w:lang w:eastAsia="sv-SE"/>
        </w:rPr>
      </w:pPr>
      <w:r>
        <w:rPr>
          <w:rFonts w:eastAsia="Times New Roman"/>
          <w:szCs w:val="20"/>
          <w:lang w:eastAsia="sv-SE"/>
        </w:rPr>
        <w:t>Sedan den 14 oktober 2014</w:t>
      </w:r>
      <w:r w:rsidRPr="007018EE">
        <w:rPr>
          <w:rFonts w:eastAsia="Times New Roman"/>
          <w:szCs w:val="20"/>
          <w:lang w:eastAsia="sv-SE"/>
        </w:rPr>
        <w:t xml:space="preserve"> best</w:t>
      </w:r>
      <w:r>
        <w:rPr>
          <w:rFonts w:eastAsia="Times New Roman"/>
          <w:szCs w:val="20"/>
          <w:lang w:eastAsia="sv-SE"/>
        </w:rPr>
        <w:t>år</w:t>
      </w:r>
      <w:r w:rsidRPr="007018EE">
        <w:rPr>
          <w:rFonts w:eastAsia="Times New Roman"/>
          <w:szCs w:val="20"/>
          <w:lang w:eastAsia="sv-SE"/>
        </w:rPr>
        <w:t xml:space="preserve"> fullmäktige av följande ledamöter: </w:t>
      </w:r>
      <w:r w:rsidRPr="00666113">
        <w:rPr>
          <w:rFonts w:eastAsia="Times New Roman"/>
          <w:szCs w:val="20"/>
          <w:lang w:eastAsia="sv-SE"/>
        </w:rPr>
        <w:t xml:space="preserve">Susanne Eberstein (ordförande), Michael Lundholm (vice ordförande), Hans Hoff, Peter Egardt, Caroline Helmersson Olsson, Martin Kinnunen (sedan den 23 oktober 2014), Hans Birger Ekström, Anders Karlsson, Roger Tiefensee, Agneta Börjesson </w:t>
      </w:r>
      <w:r w:rsidR="00663EBD">
        <w:rPr>
          <w:rFonts w:eastAsia="Times New Roman"/>
          <w:szCs w:val="20"/>
          <w:lang w:eastAsia="sv-SE"/>
        </w:rPr>
        <w:t xml:space="preserve">och </w:t>
      </w:r>
      <w:r w:rsidRPr="00666113">
        <w:rPr>
          <w:rFonts w:eastAsia="Times New Roman"/>
          <w:szCs w:val="20"/>
          <w:lang w:eastAsia="sv-SE"/>
        </w:rPr>
        <w:t xml:space="preserve">Chris Heister. Suppleanter </w:t>
      </w:r>
      <w:r w:rsidR="009D6BDE" w:rsidRPr="00666113">
        <w:rPr>
          <w:rFonts w:eastAsia="Times New Roman"/>
          <w:szCs w:val="20"/>
          <w:lang w:eastAsia="sv-SE"/>
        </w:rPr>
        <w:t>är</w:t>
      </w:r>
      <w:r w:rsidRPr="00666113">
        <w:rPr>
          <w:rFonts w:eastAsia="Times New Roman"/>
          <w:szCs w:val="20"/>
          <w:lang w:eastAsia="sv-SE"/>
        </w:rPr>
        <w:t xml:space="preserve"> Catharina Bråkenhielm, Elisabeth Björnsdotter Rahm, Tommy Waidelich, Oskar Öholm, Ann</w:t>
      </w:r>
      <w:r w:rsidRPr="00666113">
        <w:noBreakHyphen/>
      </w:r>
      <w:r w:rsidRPr="00666113">
        <w:rPr>
          <w:rFonts w:eastAsia="Times New Roman"/>
          <w:szCs w:val="20"/>
          <w:lang w:eastAsia="sv-SE"/>
        </w:rPr>
        <w:t xml:space="preserve">Kristine Johansson, Olle Felten (sedan den 23 oktober 2014), Carl B Hamilton, ClasGöran Carlsson, Karin Nilsson, Esabelle Dingizian (sedan den 2 december 2014) </w:t>
      </w:r>
      <w:r w:rsidR="00663EBD">
        <w:rPr>
          <w:rFonts w:eastAsia="Times New Roman"/>
          <w:szCs w:val="20"/>
          <w:lang w:eastAsia="sv-SE"/>
        </w:rPr>
        <w:t xml:space="preserve">och </w:t>
      </w:r>
      <w:r w:rsidRPr="00666113">
        <w:rPr>
          <w:rFonts w:eastAsia="Times New Roman"/>
          <w:szCs w:val="20"/>
          <w:lang w:eastAsia="sv-SE"/>
        </w:rPr>
        <w:t>Stefan Attefall.</w:t>
      </w:r>
    </w:p>
    <w:p w14:paraId="5220233B" w14:textId="77777777" w:rsidR="006E4F1C" w:rsidRDefault="00006859" w:rsidP="00006859">
      <w:pPr>
        <w:pStyle w:val="R2"/>
      </w:pPr>
      <w:r>
        <w:t>F</w:t>
      </w:r>
      <w:r w:rsidR="006E4F1C">
        <w:t>ullmäktiges uppgifter</w:t>
      </w:r>
    </w:p>
    <w:p w14:paraId="35F476F6" w14:textId="2200D3A5" w:rsidR="00502586" w:rsidRPr="00EB796B" w:rsidRDefault="00502586" w:rsidP="00502586">
      <w:r w:rsidRPr="00EB796B">
        <w:t xml:space="preserve">Fullmäktige utser ledamöterna i Riksbankens direktion och beslutar om deras löne- och anställningsvillkor. Fullmäktige fastställer Riksbankens arbetsordning </w:t>
      </w:r>
      <w:r w:rsidR="00C37407">
        <w:t>där Riksbankens övergripande organisation och reglering</w:t>
      </w:r>
      <w:r w:rsidR="00A0231D">
        <w:t>en av</w:t>
      </w:r>
      <w:r w:rsidR="00C37407">
        <w:t xml:space="preserve"> vissa lednings- och beslutsfrågor anges. Fullmäktige</w:t>
      </w:r>
      <w:r w:rsidRPr="00EB796B">
        <w:t xml:space="preserve"> beslutar </w:t>
      </w:r>
      <w:r w:rsidR="00C37407">
        <w:t xml:space="preserve">också </w:t>
      </w:r>
      <w:r w:rsidRPr="00EB796B">
        <w:t>om utformningen av sedlar och mynt.</w:t>
      </w:r>
    </w:p>
    <w:p w14:paraId="7E847DC0" w14:textId="6201E17A" w:rsidR="00502586" w:rsidRPr="00EB796B" w:rsidRDefault="00502586" w:rsidP="00502586">
      <w:pPr>
        <w:pStyle w:val="Normaltindrag"/>
        <w:suppressAutoHyphens/>
      </w:pPr>
      <w:r w:rsidRPr="00EB796B">
        <w:t xml:space="preserve">Vidare lämnar fullmäktige förslag till riksdagen om hur Riksbankens </w:t>
      </w:r>
      <w:r w:rsidR="00663EBD">
        <w:t xml:space="preserve">vinst </w:t>
      </w:r>
      <w:r w:rsidRPr="00EB796B">
        <w:t>ska disponeras samt yttrar sig till riksdagen i frågan om direktions</w:t>
      </w:r>
      <w:r>
        <w:softHyphen/>
      </w:r>
      <w:r w:rsidRPr="00EB796B">
        <w:t xml:space="preserve">ledamöternas ansvarsfrihet. </w:t>
      </w:r>
    </w:p>
    <w:p w14:paraId="3BD92C68" w14:textId="1B334614" w:rsidR="006E4F1C" w:rsidRDefault="006E4F1C" w:rsidP="00502586">
      <w:pPr>
        <w:pStyle w:val="Normaltindrag"/>
      </w:pPr>
      <w:r w:rsidRPr="00003452">
        <w:t xml:space="preserve">Fullmäktige har </w:t>
      </w:r>
      <w:r w:rsidR="00502586">
        <w:t xml:space="preserve">dessutom, enligt förarbetena </w:t>
      </w:r>
      <w:r w:rsidR="001F7F45">
        <w:t>1997/98 till ändringa</w:t>
      </w:r>
      <w:r w:rsidR="003B4199">
        <w:t xml:space="preserve">r </w:t>
      </w:r>
      <w:r w:rsidR="001F7F45">
        <w:t xml:space="preserve">i </w:t>
      </w:r>
      <w:r w:rsidR="003B4199">
        <w:t>lagen (</w:t>
      </w:r>
      <w:proofErr w:type="gramStart"/>
      <w:r w:rsidR="003B4199">
        <w:t>1988:1385</w:t>
      </w:r>
      <w:proofErr w:type="gramEnd"/>
      <w:r w:rsidR="003B4199">
        <w:t>) om Sveriges riksbank</w:t>
      </w:r>
      <w:r w:rsidR="00502586">
        <w:t xml:space="preserve">, </w:t>
      </w:r>
      <w:r w:rsidRPr="00003452">
        <w:t>till uppgift att följa och kontrollera hur Riksbanken bedriver sin verksamhet och hur direktions</w:t>
      </w:r>
      <w:r>
        <w:softHyphen/>
      </w:r>
      <w:r w:rsidRPr="00003452">
        <w:t>ledamöterna leder verksamheten. Fullmäktige utövar sin kontroll bland annat genom att fullmäktiges ordförande och vice ordförande närvarar vid direktionens sammanträden. Ordföranden och vice ordföranden har också rätt att yttra sig under direktionens sammanträden, men de har inte förslags- eller rösträtt. Fullmäktige har även en revi</w:t>
      </w:r>
      <w:r>
        <w:softHyphen/>
        <w:t>sionsfunk</w:t>
      </w:r>
      <w:r w:rsidRPr="00003452">
        <w:t xml:space="preserve">tion vars </w:t>
      </w:r>
      <w:r>
        <w:t>arbete utförs av en extern revi</w:t>
      </w:r>
      <w:r w:rsidRPr="00003452">
        <w:t>sionsbyrå under led</w:t>
      </w:r>
      <w:r>
        <w:t>ning av en auktoriserad revisor.</w:t>
      </w:r>
    </w:p>
    <w:p w14:paraId="15895CCA" w14:textId="77777777" w:rsidR="006E4F1C" w:rsidRPr="00EB796B" w:rsidRDefault="006E4F1C" w:rsidP="006E4F1C">
      <w:pPr>
        <w:pStyle w:val="Normaltindrag"/>
        <w:suppressAutoHyphens/>
      </w:pPr>
      <w:r w:rsidRPr="00EB796B">
        <w:t>Fullmäktige lämnar remissyttranden inom sitt verksamhetsområde</w:t>
      </w:r>
      <w:r>
        <w:t>,</w:t>
      </w:r>
      <w:r w:rsidRPr="00EB796B">
        <w:t xml:space="preserve"> </w:t>
      </w:r>
      <w:r>
        <w:t>och d</w:t>
      </w:r>
      <w:r w:rsidRPr="00EB796B">
        <w:t>i</w:t>
      </w:r>
      <w:r>
        <w:t>rek</w:t>
      </w:r>
      <w:r w:rsidRPr="00EB796B">
        <w:t xml:space="preserve">tionen samråder med fullmäktige om </w:t>
      </w:r>
      <w:r w:rsidR="00502586">
        <w:t xml:space="preserve">framställningar och formella skrivelser med </w:t>
      </w:r>
      <w:r w:rsidRPr="00EB796B">
        <w:t>förslag till riksdagen och rege</w:t>
      </w:r>
      <w:r>
        <w:softHyphen/>
      </w:r>
      <w:r w:rsidRPr="00EB796B">
        <w:t>ringen som avser ändringar i författningar eller andra åtgärder från statens sida.</w:t>
      </w:r>
    </w:p>
    <w:p w14:paraId="51B95E0A" w14:textId="77777777" w:rsidR="006E4F1C" w:rsidRDefault="006E4F1C" w:rsidP="006E4F1C">
      <w:pPr>
        <w:pStyle w:val="Normaltindrag"/>
      </w:pPr>
      <w:r w:rsidRPr="00EB796B">
        <w:t>Ordföranden och vice ordföranden lämnar en redovisning om fullmäktiges arbete inför riksdagens finansutskott. Detta sker vanligtvis två gånger om året.</w:t>
      </w:r>
    </w:p>
    <w:p w14:paraId="4F59895D" w14:textId="77777777" w:rsidR="001B3535" w:rsidRDefault="00006859" w:rsidP="00006859">
      <w:pPr>
        <w:pStyle w:val="R2"/>
      </w:pPr>
      <w:r>
        <w:lastRenderedPageBreak/>
        <w:t>Fullmäktiges verksamhet under 2015</w:t>
      </w:r>
    </w:p>
    <w:p w14:paraId="38F7858F" w14:textId="4C455318" w:rsidR="00002912" w:rsidRDefault="00002912" w:rsidP="00002912">
      <w:r>
        <w:t xml:space="preserve">Under året sammanträdde fullmäktige vid </w:t>
      </w:r>
      <w:r w:rsidR="00B66CD5">
        <w:t>nio</w:t>
      </w:r>
      <w:r>
        <w:t xml:space="preserve"> tillfällen.</w:t>
      </w:r>
    </w:p>
    <w:p w14:paraId="0ACB9173" w14:textId="77777777" w:rsidR="00002912" w:rsidRDefault="00002912" w:rsidP="00002912">
      <w:pPr>
        <w:pStyle w:val="Normaltindrag"/>
      </w:pPr>
      <w:r>
        <w:t>Fullmäktige beslutade under året om direktionsledamöternas anställningsvillkor och tog även ställning till deras sidouppdrag.</w:t>
      </w:r>
    </w:p>
    <w:p w14:paraId="3E979BBB" w14:textId="77777777" w:rsidR="00002912" w:rsidRDefault="00002912" w:rsidP="00002912">
      <w:pPr>
        <w:pStyle w:val="R3"/>
      </w:pPr>
      <w:r>
        <w:t>Sedlar och mynt</w:t>
      </w:r>
    </w:p>
    <w:p w14:paraId="593E1C30" w14:textId="4DE78CD2" w:rsidR="00002912" w:rsidRDefault="00002912" w:rsidP="00002912">
      <w:r>
        <w:t xml:space="preserve">Fullmäktige fick under året löpande information om det fortsatta arbetet med den nya svenska sedel- och myntserien och inlösen av ogiltiga sedlar. Fullmäktiges ordförande medverkade vid en presskonferens om de nya sedlarna i februari samt vid </w:t>
      </w:r>
      <w:r w:rsidR="00C37407">
        <w:t>en utställning</w:t>
      </w:r>
      <w:r>
        <w:t xml:space="preserve"> för att presentera en av de nya sedlarna i Stockholm i september.</w:t>
      </w:r>
      <w:r w:rsidR="00502586">
        <w:t xml:space="preserve"> Fullmäktige och direktionen anordnade dessutom en middag i anslutning till lanseringen av de nya sedlarna där </w:t>
      </w:r>
      <w:r w:rsidR="00663EBD">
        <w:t xml:space="preserve">personer </w:t>
      </w:r>
      <w:r w:rsidR="00502586">
        <w:t>och organisationer med anknytning till de nya sedlarna deltog.</w:t>
      </w:r>
    </w:p>
    <w:p w14:paraId="260E6AB3" w14:textId="23FB1917" w:rsidR="001F7F45" w:rsidRPr="001F7F45" w:rsidRDefault="001F7F45" w:rsidP="001F7F45">
      <w:pPr>
        <w:pStyle w:val="Normaltindrag"/>
      </w:pPr>
      <w:r>
        <w:t>I anslutning till frågor knutna till sedel- och myntutbytet har även frågan om bankernas ansvar för kontanter och allmänhetens möjligheter att sätta in kontanter berörts vid ett flertal tillfällen</w:t>
      </w:r>
      <w:r w:rsidR="00273437">
        <w:t xml:space="preserve"> med anledning av allmänhetens oro att kunna avhända sig sina kontanter</w:t>
      </w:r>
      <w:r>
        <w:t>.</w:t>
      </w:r>
    </w:p>
    <w:p w14:paraId="4E6C3D28" w14:textId="42CB5D08" w:rsidR="001F7F45" w:rsidRDefault="00002912" w:rsidP="001F7F45">
      <w:pPr>
        <w:pStyle w:val="Normaltindrag"/>
      </w:pPr>
      <w:r w:rsidRPr="00C37407">
        <w:t xml:space="preserve">Vid sitt sammanträde i augusti beslutade fullmäktige </w:t>
      </w:r>
      <w:r w:rsidR="00C37407" w:rsidRPr="00C37407">
        <w:t>att utöka</w:t>
      </w:r>
      <w:r w:rsidRPr="00C37407">
        <w:t xml:space="preserve"> antalet ledamöter i Beredningsgruppen för utformning av sedlar och mynt. Gruppen ska </w:t>
      </w:r>
      <w:r w:rsidR="00663EBD">
        <w:t xml:space="preserve">hädanefter </w:t>
      </w:r>
      <w:r w:rsidRPr="00C37407">
        <w:t>bestå av sex ledamöter från fullmäktige. Dessutom ska fortsatt statsheraldikern, chefen för Kungl. Myntkabinettet samt en företrädare</w:t>
      </w:r>
      <w:r w:rsidR="00663EBD">
        <w:t xml:space="preserve"> för</w:t>
      </w:r>
      <w:r w:rsidRPr="00C37407">
        <w:t xml:space="preserve"> vardera Nationalmuseum och </w:t>
      </w:r>
      <w:proofErr w:type="gramStart"/>
      <w:r w:rsidRPr="00C37407">
        <w:t>Konstakademien</w:t>
      </w:r>
      <w:proofErr w:type="gramEnd"/>
      <w:r w:rsidRPr="00C37407">
        <w:t xml:space="preserve"> erbjudas att delta som experter i gruppen. Gruppen ska ledas av fullmäktigeledamoten Peter Egardt.</w:t>
      </w:r>
    </w:p>
    <w:p w14:paraId="60D984D5" w14:textId="77777777" w:rsidR="00002912" w:rsidRDefault="00002912" w:rsidP="00002912">
      <w:pPr>
        <w:pStyle w:val="R3"/>
      </w:pPr>
      <w:r>
        <w:t>Uppföljning av direktionens arbete</w:t>
      </w:r>
    </w:p>
    <w:p w14:paraId="13C9D984" w14:textId="77777777" w:rsidR="00002912" w:rsidRDefault="00002912" w:rsidP="00002912">
      <w:r>
        <w:t xml:space="preserve">En del av fullmäktiges kontroll utövades genom att fullmäktiges ordförande och vice ordförande följde direktionens arbete under året, bland annat genom att utnyttja sin rätt att delta i </w:t>
      </w:r>
      <w:r w:rsidR="00C37407">
        <w:t xml:space="preserve">alla </w:t>
      </w:r>
      <w:r>
        <w:t>direktionens sammanträden och i en del informella möten.</w:t>
      </w:r>
    </w:p>
    <w:p w14:paraId="41AA5347" w14:textId="77777777" w:rsidR="001D5DC9" w:rsidRDefault="00002912" w:rsidP="00002912">
      <w:pPr>
        <w:pStyle w:val="Normaltindrag"/>
      </w:pPr>
      <w:r>
        <w:t xml:space="preserve">Direktionens ledamöter deltog normalt i fullmäktiges sammanträden och lämnade då regelbundna redogörelser för viktigare beslut och händelser i Riksbankens verksamhet. De redogjorde exempelvis för den aktuella penningpolitiken och arbetet med att övervaka stabiliteten i det finansiella systemet. </w:t>
      </w:r>
      <w:r w:rsidR="00AB7D79">
        <w:t xml:space="preserve">Ett särskilt fokus har legat på information om direktionens åtgärder för att nå inflationsmålet. </w:t>
      </w:r>
      <w:r>
        <w:t>D</w:t>
      </w:r>
      <w:r w:rsidR="00AB7D79">
        <w:t>irektionen</w:t>
      </w:r>
      <w:r>
        <w:t xml:space="preserve"> informerade också om läget på de finansiella marknaderna, i såväl Sverige och Europa som globalt. </w:t>
      </w:r>
      <w:r w:rsidR="00C37407">
        <w:t>Fullmäktige har särskilt efterfrågat och fått information om Grekland, Kina och Ukraina.</w:t>
      </w:r>
    </w:p>
    <w:p w14:paraId="3E4998B8" w14:textId="77777777" w:rsidR="00002912" w:rsidRDefault="00002912" w:rsidP="00002912">
      <w:pPr>
        <w:pStyle w:val="Normaltindrag"/>
      </w:pPr>
      <w:r>
        <w:t xml:space="preserve">Direktionen informerade även om </w:t>
      </w:r>
      <w:r w:rsidR="001D5DC9">
        <w:t xml:space="preserve">inrättandet av två nya statistikdatabaser liksom om ett </w:t>
      </w:r>
      <w:r>
        <w:t>utökat samarbete med SCB.</w:t>
      </w:r>
    </w:p>
    <w:p w14:paraId="2874A117" w14:textId="77777777" w:rsidR="00002912" w:rsidRDefault="00002912" w:rsidP="00002912">
      <w:pPr>
        <w:pStyle w:val="Normaltindrag"/>
      </w:pPr>
      <w:r>
        <w:t xml:space="preserve">Vidare fick fullmäktige löpande information om uppföljningen av budgeten och verksamhetsplanen, om uppföljningen av finansiella och operativa </w:t>
      </w:r>
      <w:r>
        <w:lastRenderedPageBreak/>
        <w:t>risker samt resultatet i kapitalförvaltningen, om utfallet i övrigt av verksamheten och om internrevisionens verksamhet.</w:t>
      </w:r>
    </w:p>
    <w:p w14:paraId="1D54A575" w14:textId="16481D21" w:rsidR="00002912" w:rsidRDefault="00002912" w:rsidP="00002912">
      <w:pPr>
        <w:pStyle w:val="Normaltindrag"/>
      </w:pPr>
      <w:r>
        <w:t xml:space="preserve">Fullmäktige fick dessutom information om de remissyttranden som </w:t>
      </w:r>
      <w:proofErr w:type="spellStart"/>
      <w:r>
        <w:t>d</w:t>
      </w:r>
      <w:r w:rsidR="00663EBD">
        <w:t>i</w:t>
      </w:r>
      <w:r w:rsidR="004B6442">
        <w:t>rek</w:t>
      </w:r>
      <w:r w:rsidR="00B66CD5">
        <w:t>-</w:t>
      </w:r>
      <w:r w:rsidR="004B6442">
        <w:t>t</w:t>
      </w:r>
      <w:r>
        <w:t>ionen</w:t>
      </w:r>
      <w:proofErr w:type="spellEnd"/>
      <w:r>
        <w:t xml:space="preserve"> beslutade om under året.</w:t>
      </w:r>
    </w:p>
    <w:p w14:paraId="535C3286" w14:textId="2CCDA8AD" w:rsidR="00002912" w:rsidRDefault="00002912" w:rsidP="00002912">
      <w:pPr>
        <w:pStyle w:val="Normaltindrag"/>
      </w:pPr>
      <w:r>
        <w:t>Direktionen informerade löpande om viktiga internationella möten och om viktiga diskussioner inom olika internationella organ. Fullmäktige fick också fördjupad information om en del av de internationella uppdrag som riksbankschefen Stefan Ingves har. Vidare fick fullmäktige löpande infor</w:t>
      </w:r>
      <w:r w:rsidR="00B66CD5">
        <w:t>-</w:t>
      </w:r>
      <w:proofErr w:type="spellStart"/>
      <w:r>
        <w:t>mation</w:t>
      </w:r>
      <w:proofErr w:type="spellEnd"/>
      <w:r>
        <w:t xml:space="preserve"> om Riksbankens åtaganden gentemot Internationella valutafonden (IMF).</w:t>
      </w:r>
    </w:p>
    <w:p w14:paraId="130B214A" w14:textId="058E43CB" w:rsidR="00002912" w:rsidRDefault="00002912" w:rsidP="00002912">
      <w:pPr>
        <w:pStyle w:val="Normaltindrag"/>
      </w:pPr>
      <w:r>
        <w:t>För att</w:t>
      </w:r>
      <w:r w:rsidR="00663EBD">
        <w:t xml:space="preserve"> få</w:t>
      </w:r>
      <w:r>
        <w:t xml:space="preserve"> komplettera</w:t>
      </w:r>
      <w:r w:rsidR="00663EBD">
        <w:t>nde</w:t>
      </w:r>
      <w:r>
        <w:t xml:space="preserve"> information</w:t>
      </w:r>
      <w:r w:rsidR="00663EBD">
        <w:t xml:space="preserve"> deltog</w:t>
      </w:r>
      <w:r>
        <w:t xml:space="preserve"> fullmäktige i </w:t>
      </w:r>
      <w:proofErr w:type="gramStart"/>
      <w:r>
        <w:t xml:space="preserve">temaluncher </w:t>
      </w:r>
      <w:r w:rsidR="00663EBD">
        <w:t xml:space="preserve"> där</w:t>
      </w:r>
      <w:proofErr w:type="gramEnd"/>
      <w:r w:rsidR="00663EBD">
        <w:t xml:space="preserve"> direktionen gav</w:t>
      </w:r>
      <w:r>
        <w:t xml:space="preserve"> fördjupad information i olika aktuella verksamhetsfrågor</w:t>
      </w:r>
      <w:r w:rsidR="004B6442">
        <w:t>.</w:t>
      </w:r>
      <w:r>
        <w:t xml:space="preserve"> </w:t>
      </w:r>
      <w:r w:rsidR="00C3776A">
        <w:t xml:space="preserve"> De teman som behandlades var betalningssystemet RIX, metodik</w:t>
      </w:r>
      <w:r w:rsidR="00663EBD">
        <w:t>en</w:t>
      </w:r>
      <w:r w:rsidR="00C3776A">
        <w:t xml:space="preserve"> och utvärdering</w:t>
      </w:r>
      <w:r w:rsidR="00663EBD">
        <w:t>en av</w:t>
      </w:r>
      <w:r w:rsidR="00C3776A">
        <w:t xml:space="preserve"> Riksbankens inflationsprognoser, kommunikationsinsatser i samband med sedel- och myntutbytet, förberedelser inför studieresa, ny grafisk profil, forskningsvistelse i Grekland samt debatten om hushållens skuldsättning och amorteringskrav.</w:t>
      </w:r>
    </w:p>
    <w:p w14:paraId="2D08C8DC" w14:textId="77777777" w:rsidR="00002912" w:rsidRDefault="00002912" w:rsidP="00002912">
      <w:pPr>
        <w:pStyle w:val="R3"/>
      </w:pPr>
      <w:r>
        <w:t>Övrigt</w:t>
      </w:r>
    </w:p>
    <w:p w14:paraId="450E6382" w14:textId="77777777" w:rsidR="00002912" w:rsidRDefault="00002912" w:rsidP="00002912">
      <w:r>
        <w:t>Under våren gjorde fullmäktige ett besök vid Riksbankens sedelhanteringskontor i Sigtuna kommun.</w:t>
      </w:r>
    </w:p>
    <w:p w14:paraId="540C45EC" w14:textId="0E24DF06" w:rsidR="00002912" w:rsidRDefault="00002912" w:rsidP="00002912">
      <w:pPr>
        <w:pStyle w:val="Normaltindrag"/>
      </w:pPr>
      <w:r>
        <w:t xml:space="preserve">I september gästades fullmäktige av Norges Banks representantskap under </w:t>
      </w:r>
      <w:r w:rsidRPr="00C37407">
        <w:t xml:space="preserve">en halv dag. </w:t>
      </w:r>
      <w:r w:rsidR="00B66CD5">
        <w:t xml:space="preserve">Ämnen som avhandlades var </w:t>
      </w:r>
      <w:r w:rsidRPr="00C37407">
        <w:t>Riksbankens och Norges</w:t>
      </w:r>
      <w:r w:rsidR="00AB7D79" w:rsidRPr="00C37407">
        <w:t xml:space="preserve"> Banks respektive organisation</w:t>
      </w:r>
      <w:r w:rsidR="00C37407" w:rsidRPr="00C37407">
        <w:t>sstruktur</w:t>
      </w:r>
      <w:r w:rsidRPr="00C37407">
        <w:t>, Riksbankens arbete med styrning och ledning liksom arbetet inom område</w:t>
      </w:r>
      <w:r w:rsidR="00AB7D79" w:rsidRPr="00C37407">
        <w:t>na penningpolitik,</w:t>
      </w:r>
      <w:r w:rsidRPr="00C37407">
        <w:t xml:space="preserve"> finansiell stabilitet och makrotillsyn.</w:t>
      </w:r>
    </w:p>
    <w:p w14:paraId="75E34473" w14:textId="1892A5D4" w:rsidR="00002912" w:rsidRDefault="00002912" w:rsidP="00002912">
      <w:pPr>
        <w:pStyle w:val="Normaltindrag"/>
      </w:pPr>
      <w:r>
        <w:t xml:space="preserve">I september genomförde fullmäktige en studieresa till Frankfurt </w:t>
      </w:r>
      <w:proofErr w:type="spellStart"/>
      <w:r>
        <w:t>am</w:t>
      </w:r>
      <w:proofErr w:type="spellEnd"/>
      <w:r>
        <w:t xml:space="preserve"> Main då Europeiska centralbanken (ECB), Europeiska systemrisknämnden (ESRB), Den gemensamma tillsynsmekanismen (SSM) och Deutsche Bundesbank besöktes. Syftet med resan var att fullmäktige skulle få fördjupad information om </w:t>
      </w:r>
      <w:r w:rsidR="00AB7D79">
        <w:t>institut som är viktiga för Riksbanken liksom om specifika frågor som</w:t>
      </w:r>
      <w:r w:rsidR="00B66CD5">
        <w:t xml:space="preserve"> rör</w:t>
      </w:r>
      <w:r w:rsidR="00AB7D79">
        <w:t xml:space="preserve"> tillsynsarbete</w:t>
      </w:r>
      <w:r w:rsidR="009C4F2E">
        <w:t>t</w:t>
      </w:r>
      <w:r w:rsidR="00AB7D79">
        <w:t xml:space="preserve"> på europeisk nivå</w:t>
      </w:r>
      <w:r>
        <w:t>.</w:t>
      </w:r>
    </w:p>
    <w:p w14:paraId="2AC5E830" w14:textId="77777777" w:rsidR="00002912" w:rsidRDefault="00002912" w:rsidP="00CE0FC5">
      <w:pPr>
        <w:pStyle w:val="R3"/>
      </w:pPr>
      <w:r>
        <w:t>Fullmäktiges granskning av Riksbankens verksamhet</w:t>
      </w:r>
    </w:p>
    <w:p w14:paraId="05694F62" w14:textId="58913B90" w:rsidR="00002912" w:rsidRDefault="00002912" w:rsidP="00CE0FC5">
      <w:r>
        <w:t xml:space="preserve">Fullmäktige granskar Riksbankens verksamhet genom sin revisionsfunktion. KPMG AB innehar uppdraget för fullmäktiges räkning från och med den </w:t>
      </w:r>
      <w:proofErr w:type="gramStart"/>
      <w:r>
        <w:t>1</w:t>
      </w:r>
      <w:r w:rsidR="00334995">
        <w:t xml:space="preserve"> </w:t>
      </w:r>
      <w:r>
        <w:t xml:space="preserve"> april</w:t>
      </w:r>
      <w:proofErr w:type="gramEnd"/>
      <w:r>
        <w:t xml:space="preserve"> 2012 till och med den 31 mars 2016. Avtalet med KPMG AB kan därefter inte förlängas</w:t>
      </w:r>
      <w:r w:rsidR="00C37407">
        <w:t>.</w:t>
      </w:r>
      <w:r>
        <w:t xml:space="preserve"> </w:t>
      </w:r>
      <w:r w:rsidR="00C37407" w:rsidRPr="001F7F45">
        <w:t>En</w:t>
      </w:r>
      <w:r w:rsidRPr="001F7F45">
        <w:t xml:space="preserve"> upphandling av </w:t>
      </w:r>
      <w:r w:rsidR="00C37407" w:rsidRPr="001F7F45">
        <w:t xml:space="preserve">ny </w:t>
      </w:r>
      <w:r w:rsidRPr="001F7F45">
        <w:t>konsult för fullmäktiges revisionsfunktion beslutades under hösten.</w:t>
      </w:r>
    </w:p>
    <w:p w14:paraId="34172331" w14:textId="30F5644E" w:rsidR="00002912" w:rsidRDefault="00002912" w:rsidP="00002912">
      <w:pPr>
        <w:pStyle w:val="Normaltindrag"/>
      </w:pPr>
      <w:r>
        <w:t xml:space="preserve">Fullmäktige fastställer årligen en plan för revisionsfunktionens arbete. Granskningen av direktionens information och rapportering till fullmäktige, Riksbankens arbete med sedlar och mynt liksom direktionsledamöternas </w:t>
      </w:r>
      <w:r w:rsidR="00AB7D79">
        <w:t>utövande av tjänst</w:t>
      </w:r>
      <w:r>
        <w:t xml:space="preserve"> utfördes i slutet av 2014 och avrapporterades i början av </w:t>
      </w:r>
      <w:r w:rsidRPr="00EA1FB1">
        <w:lastRenderedPageBreak/>
        <w:t xml:space="preserve">2015. I enlighet med </w:t>
      </w:r>
      <w:r w:rsidR="00C37407" w:rsidRPr="00EA1FB1">
        <w:t>revisions</w:t>
      </w:r>
      <w:r w:rsidRPr="00EA1FB1">
        <w:t xml:space="preserve">planen gjordes under året en uppföljande granskning av Riksbankens utkontraktering av delar av </w:t>
      </w:r>
      <w:proofErr w:type="spellStart"/>
      <w:r w:rsidRPr="00EA1FB1">
        <w:t>it-</w:t>
      </w:r>
      <w:r w:rsidR="00CE0FC5" w:rsidRPr="00EA1FB1">
        <w:t>driften</w:t>
      </w:r>
      <w:proofErr w:type="spellEnd"/>
      <w:r w:rsidR="00CE0FC5" w:rsidRPr="00EA1FB1">
        <w:t xml:space="preserve"> utifrån styrning och internkontroll. En granskning av intern styrning och kontroll kring utbytet av sedlar och</w:t>
      </w:r>
      <w:r w:rsidR="009C4F2E">
        <w:t xml:space="preserve"> av</w:t>
      </w:r>
      <w:r w:rsidR="00CE0FC5" w:rsidRPr="00EA1FB1">
        <w:t xml:space="preserve"> rutiner för styrning </w:t>
      </w:r>
      <w:r w:rsidR="00AB7D79" w:rsidRPr="00EA1FB1">
        <w:t>av leveranser till och från extern</w:t>
      </w:r>
      <w:r w:rsidR="009C4F2E">
        <w:t>a</w:t>
      </w:r>
      <w:r w:rsidR="00AB7D79" w:rsidRPr="00EA1FB1">
        <w:t xml:space="preserve"> part</w:t>
      </w:r>
      <w:r w:rsidR="009C4F2E">
        <w:t>er</w:t>
      </w:r>
      <w:r w:rsidR="00AB7D79" w:rsidRPr="00EA1FB1">
        <w:t xml:space="preserve"> har också gjorts under året.</w:t>
      </w:r>
      <w:r w:rsidR="00CE0FC5" w:rsidRPr="00EA1FB1">
        <w:t xml:space="preserve"> </w:t>
      </w:r>
      <w:r w:rsidR="00334995">
        <w:t>Årligen granskas dessutom</w:t>
      </w:r>
      <w:r w:rsidR="00CE0FC5" w:rsidRPr="00EA1FB1">
        <w:t xml:space="preserve"> </w:t>
      </w:r>
      <w:proofErr w:type="spellStart"/>
      <w:r w:rsidR="00CE0FC5" w:rsidRPr="00EA1FB1">
        <w:t>d</w:t>
      </w:r>
      <w:r w:rsidRPr="00EA1FB1">
        <w:t>irek</w:t>
      </w:r>
      <w:r w:rsidR="00334995">
        <w:t>-</w:t>
      </w:r>
      <w:proofErr w:type="gramStart"/>
      <w:r w:rsidRPr="00EA1FB1">
        <w:t>tions</w:t>
      </w:r>
      <w:r w:rsidR="00CE0FC5" w:rsidRPr="00EA1FB1">
        <w:t>ledamöter</w:t>
      </w:r>
      <w:r w:rsidR="00CE0FC5" w:rsidRPr="00CE0FC5">
        <w:t>nas</w:t>
      </w:r>
      <w:proofErr w:type="spellEnd"/>
      <w:r w:rsidRPr="00CE0FC5">
        <w:t xml:space="preserve">  tjänst</w:t>
      </w:r>
      <w:r w:rsidR="009C4F2E">
        <w:t>eutövning</w:t>
      </w:r>
      <w:proofErr w:type="gramEnd"/>
      <w:r>
        <w:t>.</w:t>
      </w:r>
      <w:r w:rsidR="009C4F2E">
        <w:t xml:space="preserve"> Granskningen av deras arbete under 2015 föranledde inga anmärkningar.</w:t>
      </w:r>
      <w:r>
        <w:t xml:space="preserve"> </w:t>
      </w:r>
    </w:p>
    <w:p w14:paraId="76ADD84D" w14:textId="77777777" w:rsidR="00002912" w:rsidRDefault="00002912" w:rsidP="00002912">
      <w:pPr>
        <w:pStyle w:val="Normaltindrag"/>
      </w:pPr>
      <w:r>
        <w:t>Fullmäktige fick även information om Riksrevisionens årliga granskning av Riksbankens verksamhet. Riksrevisionen redovisar resultaten av sin granskning för fullmäktige dels inför och i samband med fullmäktiges beslut om förslag till vinstdisposition, dels när Riksrevisionen har slutfört sin granskning.</w:t>
      </w:r>
    </w:p>
    <w:p w14:paraId="47871D7A" w14:textId="77777777" w:rsidR="00B747CD" w:rsidRPr="00FD2A3B" w:rsidRDefault="00B747CD" w:rsidP="00314FC2"/>
    <w:p w14:paraId="25829A9A" w14:textId="77777777" w:rsidR="00743812" w:rsidRPr="00FD2A3B" w:rsidRDefault="00743812" w:rsidP="00B747CD">
      <w:pPr>
        <w:pStyle w:val="Normaltindrag"/>
        <w:sectPr w:rsidR="00743812" w:rsidRPr="00FD2A3B" w:rsidSect="0039664C">
          <w:pgSz w:w="9356" w:h="13721" w:code="9"/>
          <w:pgMar w:top="907" w:right="2041" w:bottom="1474" w:left="1417" w:header="397" w:footer="624" w:gutter="0"/>
          <w:cols w:space="708"/>
          <w:docGrid w:linePitch="360"/>
        </w:sectPr>
      </w:pPr>
    </w:p>
    <w:p w14:paraId="1E71D226" w14:textId="77777777" w:rsidR="001B3535" w:rsidRPr="00FD2A3B" w:rsidRDefault="001B3535" w:rsidP="00CB4371"/>
    <w:p w14:paraId="0F97CB3B" w14:textId="77777777" w:rsidR="00743812" w:rsidRPr="008035A9" w:rsidRDefault="00743812" w:rsidP="000A7108">
      <w:pPr>
        <w:pStyle w:val="Bilaga"/>
      </w:pPr>
      <w:r w:rsidRPr="0047189C">
        <w:rPr>
          <w:rStyle w:val="Bilagerubrik"/>
        </w:rPr>
        <w:lastRenderedPageBreak/>
        <w:t>Bilaga</w:t>
      </w:r>
      <w:r w:rsidR="006B3F06">
        <w:rPr>
          <w:rStyle w:val="Bilagerubrik"/>
        </w:rPr>
        <w:t xml:space="preserve"> </w:t>
      </w:r>
    </w:p>
    <w:p w14:paraId="4D5C5E97" w14:textId="77777777" w:rsidR="00743812" w:rsidRPr="002A1410" w:rsidRDefault="00380DEC" w:rsidP="00362DFE">
      <w:pPr>
        <w:pStyle w:val="Rubrik1"/>
      </w:pPr>
      <w:bookmarkStart w:id="5" w:name="_Toc433875868"/>
      <w:r>
        <w:rPr>
          <w:rStyle w:val="Kapitelrubrik"/>
        </w:rPr>
        <w:t>Beräkning av Riksbankens vinstdisposition 2015</w:t>
      </w:r>
      <w:bookmarkEnd w:id="5"/>
    </w:p>
    <w:p w14:paraId="7F39C9B8" w14:textId="77777777" w:rsidR="008145DF" w:rsidRPr="008145DF" w:rsidRDefault="008145DF" w:rsidP="008145DF">
      <w:pPr>
        <w:pStyle w:val="Normaltindrag"/>
        <w:ind w:firstLine="0"/>
        <w:rPr>
          <w:highlight w:val="yellow"/>
        </w:rPr>
      </w:pPr>
      <w:r w:rsidRPr="00666113">
        <w:rPr>
          <w:i/>
        </w:rPr>
        <w:t>Miljoner kronor</w:t>
      </w:r>
    </w:p>
    <w:p w14:paraId="66FCA130" w14:textId="77777777" w:rsidR="008145DF" w:rsidRPr="002443E4" w:rsidRDefault="008145DF" w:rsidP="008145DF">
      <w:pPr>
        <w:pStyle w:val="R3"/>
      </w:pPr>
      <w:r w:rsidRPr="002443E4">
        <w:t>1 Beräkning av Riksbankens inleverans till staten</w:t>
      </w:r>
    </w:p>
    <w:p w14:paraId="04C091B9" w14:textId="77777777" w:rsidR="008145DF" w:rsidRPr="002443E4" w:rsidRDefault="008145DF" w:rsidP="008145DF">
      <w:pPr>
        <w:tabs>
          <w:tab w:val="right" w:pos="5670"/>
        </w:tabs>
        <w:rPr>
          <w:b/>
          <w:u w:val="single"/>
        </w:rPr>
      </w:pPr>
      <w:r w:rsidRPr="002443E4">
        <w:rPr>
          <w:b/>
          <w:u w:val="single"/>
        </w:rPr>
        <w:t>Justering av årets resultat</w:t>
      </w:r>
      <w:r w:rsidRPr="002443E4">
        <w:rPr>
          <w:b/>
          <w:u w:val="single"/>
        </w:rPr>
        <w:tab/>
      </w:r>
    </w:p>
    <w:p w14:paraId="6AA30D2B" w14:textId="6A14C2F5" w:rsidR="008145DF" w:rsidRPr="002443E4" w:rsidRDefault="002443E4" w:rsidP="008145DF">
      <w:pPr>
        <w:pStyle w:val="Normaltindrag"/>
        <w:tabs>
          <w:tab w:val="right" w:pos="5670"/>
        </w:tabs>
        <w:ind w:firstLine="0"/>
      </w:pPr>
      <w:r w:rsidRPr="002443E4">
        <w:t>Årets resultat 2015</w:t>
      </w:r>
      <w:r w:rsidR="00803DFE">
        <w:tab/>
      </w:r>
      <w:r w:rsidR="00D74BD1">
        <w:t>1 954</w:t>
      </w:r>
    </w:p>
    <w:p w14:paraId="0C3D15D9" w14:textId="2C81A082" w:rsidR="008145DF" w:rsidRPr="00D74BD1" w:rsidRDefault="008145DF" w:rsidP="008145DF">
      <w:pPr>
        <w:pStyle w:val="Normaltindrag"/>
        <w:tabs>
          <w:tab w:val="right" w:pos="5670"/>
        </w:tabs>
        <w:ind w:firstLine="0"/>
      </w:pPr>
      <w:r w:rsidRPr="00D74BD1">
        <w:t>Avgår valutakursvinst</w:t>
      </w:r>
      <w:r w:rsidR="00803DFE" w:rsidRPr="00D74BD1">
        <w:tab/>
      </w:r>
      <w:r w:rsidR="00D74BD1" w:rsidRPr="002443E4">
        <w:t>–</w:t>
      </w:r>
      <w:r w:rsidR="00D74BD1" w:rsidRPr="00D74BD1">
        <w:t>822</w:t>
      </w:r>
    </w:p>
    <w:p w14:paraId="1E7BD68A" w14:textId="6E5E40D2" w:rsidR="008145DF" w:rsidRPr="002443E4" w:rsidRDefault="006756E4" w:rsidP="008145DF">
      <w:pPr>
        <w:pStyle w:val="Normaltindrag"/>
        <w:tabs>
          <w:tab w:val="right" w:pos="5670"/>
        </w:tabs>
        <w:ind w:firstLine="0"/>
        <w:rPr>
          <w:u w:val="single"/>
        </w:rPr>
      </w:pPr>
      <w:r>
        <w:rPr>
          <w:u w:val="single"/>
        </w:rPr>
        <w:t xml:space="preserve">Tillkommer </w:t>
      </w:r>
      <w:r w:rsidR="008145DF" w:rsidRPr="00D74BD1">
        <w:rPr>
          <w:u w:val="single"/>
        </w:rPr>
        <w:t>pris</w:t>
      </w:r>
      <w:r w:rsidR="002443E4" w:rsidRPr="00D74BD1">
        <w:rPr>
          <w:u w:val="single"/>
        </w:rPr>
        <w:t>förlust</w:t>
      </w:r>
      <w:r w:rsidR="00803DFE" w:rsidRPr="00D74BD1">
        <w:rPr>
          <w:u w:val="single"/>
        </w:rPr>
        <w:t xml:space="preserve"> bokförd</w:t>
      </w:r>
      <w:r w:rsidR="00803DFE">
        <w:rPr>
          <w:u w:val="single"/>
        </w:rPr>
        <w:t xml:space="preserve"> i balansräkningen</w:t>
      </w:r>
      <w:r w:rsidR="00803DFE">
        <w:rPr>
          <w:u w:val="single"/>
        </w:rPr>
        <w:tab/>
      </w:r>
      <w:r w:rsidR="00D74BD1" w:rsidRPr="00D74BD1">
        <w:rPr>
          <w:u w:val="single"/>
        </w:rPr>
        <w:t>–</w:t>
      </w:r>
      <w:r w:rsidR="00D74BD1">
        <w:rPr>
          <w:u w:val="single"/>
        </w:rPr>
        <w:t>2 720</w:t>
      </w:r>
    </w:p>
    <w:p w14:paraId="0FE22229" w14:textId="47871280" w:rsidR="008145DF" w:rsidRPr="002443E4" w:rsidRDefault="008145DF" w:rsidP="008145DF">
      <w:pPr>
        <w:pStyle w:val="Normaltindrag"/>
        <w:tabs>
          <w:tab w:val="right" w:pos="5670"/>
        </w:tabs>
        <w:ind w:firstLine="0"/>
        <w:rPr>
          <w:b/>
        </w:rPr>
      </w:pPr>
      <w:r w:rsidRPr="002443E4">
        <w:rPr>
          <w:b/>
        </w:rPr>
        <w:t>Just</w:t>
      </w:r>
      <w:r w:rsidR="002443E4" w:rsidRPr="002443E4">
        <w:rPr>
          <w:b/>
        </w:rPr>
        <w:t>erat resultat 2015</w:t>
      </w:r>
      <w:r w:rsidR="00803DFE">
        <w:rPr>
          <w:b/>
        </w:rPr>
        <w:tab/>
      </w:r>
      <w:r w:rsidR="00D74BD1" w:rsidRPr="002443E4">
        <w:t>–</w:t>
      </w:r>
      <w:r w:rsidR="00D74BD1">
        <w:rPr>
          <w:b/>
        </w:rPr>
        <w:t>1 588</w:t>
      </w:r>
    </w:p>
    <w:p w14:paraId="714530F2" w14:textId="77777777" w:rsidR="008145DF" w:rsidRPr="002443E4" w:rsidRDefault="008145DF" w:rsidP="008145DF">
      <w:pPr>
        <w:pStyle w:val="Normaltindrag"/>
        <w:tabs>
          <w:tab w:val="right" w:pos="5670"/>
        </w:tabs>
        <w:ind w:firstLine="0"/>
        <w:rPr>
          <w:b/>
        </w:rPr>
      </w:pPr>
    </w:p>
    <w:p w14:paraId="06739AA5" w14:textId="77777777" w:rsidR="008145DF" w:rsidRPr="002443E4" w:rsidRDefault="008145DF" w:rsidP="008145DF">
      <w:pPr>
        <w:pStyle w:val="Normaltindrag"/>
        <w:tabs>
          <w:tab w:val="right" w:pos="5670"/>
        </w:tabs>
        <w:ind w:firstLine="0"/>
        <w:rPr>
          <w:b/>
          <w:u w:val="single"/>
        </w:rPr>
      </w:pPr>
      <w:r w:rsidRPr="002443E4">
        <w:rPr>
          <w:b/>
          <w:u w:val="single"/>
        </w:rPr>
        <w:t>Beräkning av genomsnittligt justerat resultat</w:t>
      </w:r>
      <w:r w:rsidRPr="002443E4">
        <w:rPr>
          <w:b/>
          <w:u w:val="single"/>
        </w:rPr>
        <w:tab/>
      </w:r>
    </w:p>
    <w:p w14:paraId="1C00609E" w14:textId="7E198A81" w:rsidR="008145DF" w:rsidRPr="002443E4" w:rsidRDefault="002443E4" w:rsidP="008145DF">
      <w:pPr>
        <w:pStyle w:val="Normaltindrag"/>
        <w:tabs>
          <w:tab w:val="right" w:pos="5670"/>
        </w:tabs>
        <w:ind w:firstLine="0"/>
      </w:pPr>
      <w:r w:rsidRPr="002443E4">
        <w:t>Justerat resultat 2011</w:t>
      </w:r>
      <w:r w:rsidRPr="002443E4">
        <w:tab/>
        <w:t>10 356</w:t>
      </w:r>
    </w:p>
    <w:p w14:paraId="55875B79" w14:textId="65E2AF37" w:rsidR="008145DF" w:rsidRPr="002443E4" w:rsidRDefault="002443E4" w:rsidP="008145DF">
      <w:pPr>
        <w:pStyle w:val="Normaltindrag"/>
        <w:tabs>
          <w:tab w:val="right" w:pos="5670"/>
        </w:tabs>
        <w:ind w:firstLine="0"/>
      </w:pPr>
      <w:r w:rsidRPr="002443E4">
        <w:t>Justerat resultat 2012</w:t>
      </w:r>
      <w:r w:rsidRPr="002443E4">
        <w:tab/>
        <w:t>2 985</w:t>
      </w:r>
    </w:p>
    <w:p w14:paraId="44CD1523" w14:textId="3E6DA306" w:rsidR="008145DF" w:rsidRPr="002443E4" w:rsidRDefault="002443E4" w:rsidP="008145DF">
      <w:pPr>
        <w:pStyle w:val="Normaltindrag"/>
        <w:tabs>
          <w:tab w:val="right" w:pos="5670"/>
        </w:tabs>
        <w:ind w:firstLine="0"/>
      </w:pPr>
      <w:r w:rsidRPr="002443E4">
        <w:t>Justerat resultat 2013</w:t>
      </w:r>
      <w:r w:rsidRPr="002443E4">
        <w:tab/>
        <w:t>–3 392</w:t>
      </w:r>
    </w:p>
    <w:p w14:paraId="0AB0B3F0" w14:textId="35C99602" w:rsidR="008145DF" w:rsidRPr="002443E4" w:rsidRDefault="002443E4" w:rsidP="008145DF">
      <w:pPr>
        <w:pStyle w:val="Normaltindrag"/>
        <w:tabs>
          <w:tab w:val="right" w:pos="5670"/>
        </w:tabs>
        <w:ind w:firstLine="0"/>
      </w:pPr>
      <w:r w:rsidRPr="002443E4">
        <w:t>Justerat resultat 2014</w:t>
      </w:r>
      <w:r w:rsidRPr="002443E4">
        <w:tab/>
        <w:t>9 019</w:t>
      </w:r>
    </w:p>
    <w:p w14:paraId="37F3B7F5" w14:textId="50F7F6BB" w:rsidR="008145DF" w:rsidRPr="002443E4" w:rsidRDefault="002443E4" w:rsidP="008145DF">
      <w:pPr>
        <w:pStyle w:val="Normaltindrag"/>
        <w:tabs>
          <w:tab w:val="right" w:pos="5670"/>
        </w:tabs>
        <w:ind w:firstLine="0"/>
        <w:rPr>
          <w:u w:val="single"/>
        </w:rPr>
      </w:pPr>
      <w:r w:rsidRPr="002443E4">
        <w:rPr>
          <w:u w:val="single"/>
        </w:rPr>
        <w:t>Justerat resultat 2015</w:t>
      </w:r>
      <w:r w:rsidRPr="002443E4">
        <w:rPr>
          <w:u w:val="single"/>
        </w:rPr>
        <w:tab/>
      </w:r>
      <w:r w:rsidR="00D74BD1" w:rsidRPr="00D74BD1">
        <w:rPr>
          <w:u w:val="single"/>
        </w:rPr>
        <w:t>–</w:t>
      </w:r>
      <w:r w:rsidR="00D74BD1">
        <w:rPr>
          <w:u w:val="single"/>
        </w:rPr>
        <w:t>1 588</w:t>
      </w:r>
    </w:p>
    <w:p w14:paraId="1BE50D92" w14:textId="10154EE4" w:rsidR="008145DF" w:rsidRPr="002443E4" w:rsidRDefault="008145DF" w:rsidP="008145DF">
      <w:pPr>
        <w:pStyle w:val="Normaltindrag"/>
        <w:tabs>
          <w:tab w:val="right" w:pos="5670"/>
        </w:tabs>
        <w:ind w:firstLine="0"/>
        <w:rPr>
          <w:b/>
        </w:rPr>
      </w:pPr>
      <w:r w:rsidRPr="002443E4">
        <w:rPr>
          <w:b/>
        </w:rPr>
        <w:t>Summa justerat resultat för de senas</w:t>
      </w:r>
      <w:r w:rsidR="002443E4" w:rsidRPr="002443E4">
        <w:rPr>
          <w:b/>
        </w:rPr>
        <w:t>te fem åren</w:t>
      </w:r>
      <w:r w:rsidR="002443E4" w:rsidRPr="002443E4">
        <w:rPr>
          <w:b/>
        </w:rPr>
        <w:tab/>
      </w:r>
      <w:r w:rsidR="00D74BD1">
        <w:rPr>
          <w:b/>
        </w:rPr>
        <w:t>17 380</w:t>
      </w:r>
    </w:p>
    <w:p w14:paraId="3D464C2B" w14:textId="77777777" w:rsidR="008145DF" w:rsidRPr="008145DF" w:rsidRDefault="008145DF" w:rsidP="008145DF">
      <w:pPr>
        <w:pStyle w:val="Normaltindrag"/>
        <w:tabs>
          <w:tab w:val="right" w:pos="5670"/>
        </w:tabs>
        <w:ind w:firstLine="0"/>
        <w:rPr>
          <w:b/>
          <w:highlight w:val="yellow"/>
          <w:u w:val="single"/>
        </w:rPr>
      </w:pPr>
    </w:p>
    <w:p w14:paraId="4CE4D4F4" w14:textId="00884D4D" w:rsidR="008145DF" w:rsidRPr="008145DF" w:rsidRDefault="008145DF" w:rsidP="008145DF">
      <w:pPr>
        <w:pStyle w:val="Normaltindrag"/>
        <w:tabs>
          <w:tab w:val="right" w:pos="5670"/>
        </w:tabs>
        <w:ind w:firstLine="0"/>
        <w:rPr>
          <w:b/>
          <w:highlight w:val="yellow"/>
        </w:rPr>
      </w:pPr>
      <w:r w:rsidRPr="002443E4">
        <w:rPr>
          <w:b/>
        </w:rPr>
        <w:t>Genomsnittligt justerat resul</w:t>
      </w:r>
      <w:r w:rsidR="002443E4">
        <w:rPr>
          <w:b/>
        </w:rPr>
        <w:t>tat för de senaste fem åren</w:t>
      </w:r>
      <w:r w:rsidR="002443E4">
        <w:rPr>
          <w:b/>
        </w:rPr>
        <w:tab/>
      </w:r>
      <w:r w:rsidR="00D74BD1" w:rsidRPr="00D74BD1">
        <w:rPr>
          <w:b/>
        </w:rPr>
        <w:t>3 476</w:t>
      </w:r>
    </w:p>
    <w:p w14:paraId="01CA6B7D" w14:textId="77777777" w:rsidR="008145DF" w:rsidRPr="008145DF" w:rsidRDefault="008145DF" w:rsidP="008145DF">
      <w:pPr>
        <w:pStyle w:val="Normaltindrag"/>
        <w:tabs>
          <w:tab w:val="right" w:pos="5670"/>
        </w:tabs>
        <w:ind w:firstLine="0"/>
        <w:rPr>
          <w:b/>
          <w:highlight w:val="yellow"/>
        </w:rPr>
      </w:pPr>
    </w:p>
    <w:p w14:paraId="4D8A3B87" w14:textId="77777777" w:rsidR="008145DF" w:rsidRPr="002443E4" w:rsidRDefault="008145DF" w:rsidP="008145DF">
      <w:pPr>
        <w:pStyle w:val="Normaltindrag"/>
        <w:tabs>
          <w:tab w:val="right" w:pos="5670"/>
        </w:tabs>
        <w:ind w:firstLine="0"/>
        <w:rPr>
          <w:b/>
          <w:u w:val="single"/>
        </w:rPr>
      </w:pPr>
      <w:r w:rsidRPr="002443E4">
        <w:rPr>
          <w:b/>
          <w:u w:val="single"/>
        </w:rPr>
        <w:t>Beräkning av inleveransbeloppet</w:t>
      </w:r>
      <w:r w:rsidRPr="002443E4">
        <w:rPr>
          <w:b/>
          <w:u w:val="single"/>
        </w:rPr>
        <w:tab/>
      </w:r>
    </w:p>
    <w:p w14:paraId="4B1A8ED3" w14:textId="0C85681F" w:rsidR="008145DF" w:rsidRPr="002443E4" w:rsidRDefault="008145DF" w:rsidP="008145DF">
      <w:pPr>
        <w:pStyle w:val="Normaltindrag"/>
        <w:tabs>
          <w:tab w:val="right" w:pos="5670"/>
        </w:tabs>
        <w:ind w:firstLine="0"/>
      </w:pPr>
      <w:r w:rsidRPr="002443E4">
        <w:t>80 % av det genomsnit</w:t>
      </w:r>
      <w:r w:rsidR="002443E4" w:rsidRPr="002443E4">
        <w:t>tliga justerade resultatet</w:t>
      </w:r>
      <w:r w:rsidR="002443E4" w:rsidRPr="002443E4">
        <w:tab/>
      </w:r>
      <w:r w:rsidR="00D74BD1">
        <w:t>2 781</w:t>
      </w:r>
    </w:p>
    <w:p w14:paraId="54E60AE5" w14:textId="6C7D364E" w:rsidR="008145DF" w:rsidRPr="002443E4" w:rsidRDefault="008145DF" w:rsidP="008145DF">
      <w:pPr>
        <w:pStyle w:val="Normaltindrag"/>
        <w:tabs>
          <w:tab w:val="right" w:pos="5670"/>
        </w:tabs>
        <w:ind w:firstLine="0"/>
        <w:rPr>
          <w:u w:val="single"/>
        </w:rPr>
      </w:pPr>
      <w:r w:rsidRPr="002443E4">
        <w:rPr>
          <w:u w:val="single"/>
        </w:rPr>
        <w:t xml:space="preserve">Avrundning </w:t>
      </w:r>
      <w:r w:rsidR="002443E4" w:rsidRPr="002443E4">
        <w:rPr>
          <w:u w:val="single"/>
        </w:rPr>
        <w:t>till 100-tal miljoner kronor</w:t>
      </w:r>
      <w:r w:rsidR="002443E4" w:rsidRPr="002443E4">
        <w:rPr>
          <w:u w:val="single"/>
        </w:rPr>
        <w:tab/>
      </w:r>
      <w:r w:rsidR="00D74BD1">
        <w:rPr>
          <w:u w:val="single"/>
        </w:rPr>
        <w:t>19</w:t>
      </w:r>
    </w:p>
    <w:p w14:paraId="183CCFA8" w14:textId="05F3DB0E" w:rsidR="008145DF" w:rsidRPr="002443E4" w:rsidRDefault="002443E4" w:rsidP="008145DF">
      <w:pPr>
        <w:pStyle w:val="Normaltindrag"/>
        <w:tabs>
          <w:tab w:val="right" w:pos="5670"/>
        </w:tabs>
        <w:ind w:firstLine="0"/>
        <w:rPr>
          <w:b/>
        </w:rPr>
      </w:pPr>
      <w:r w:rsidRPr="002443E4">
        <w:rPr>
          <w:b/>
        </w:rPr>
        <w:t>Inleverans 2015</w:t>
      </w:r>
      <w:r w:rsidRPr="002443E4">
        <w:rPr>
          <w:b/>
        </w:rPr>
        <w:tab/>
      </w:r>
      <w:r w:rsidR="00D74BD1">
        <w:rPr>
          <w:b/>
        </w:rPr>
        <w:t>2 800</w:t>
      </w:r>
    </w:p>
    <w:p w14:paraId="6FF7190D" w14:textId="11EF03B2" w:rsidR="008145DF" w:rsidRPr="00D74BD1" w:rsidRDefault="008145DF" w:rsidP="008145DF">
      <w:pPr>
        <w:pStyle w:val="R3"/>
      </w:pPr>
      <w:r w:rsidRPr="002443E4">
        <w:t xml:space="preserve">2 Beräkning av </w:t>
      </w:r>
      <w:r w:rsidRPr="00D74BD1">
        <w:t>överföringen till Riksbankens dispositionsfond</w:t>
      </w:r>
    </w:p>
    <w:p w14:paraId="7588EA53" w14:textId="79F430D2" w:rsidR="008145DF" w:rsidRPr="00D74BD1" w:rsidRDefault="008145DF" w:rsidP="008145DF">
      <w:pPr>
        <w:pStyle w:val="Normaltindrag"/>
        <w:tabs>
          <w:tab w:val="right" w:pos="5670"/>
        </w:tabs>
        <w:spacing w:before="62"/>
        <w:ind w:firstLine="0"/>
        <w:rPr>
          <w:b/>
          <w:u w:val="single"/>
        </w:rPr>
      </w:pPr>
      <w:r w:rsidRPr="00D74BD1">
        <w:rPr>
          <w:b/>
          <w:u w:val="single"/>
        </w:rPr>
        <w:t>Till Riksbankens dispositionsfond förs</w:t>
      </w:r>
      <w:r w:rsidRPr="00D74BD1">
        <w:rPr>
          <w:b/>
          <w:u w:val="single"/>
        </w:rPr>
        <w:tab/>
      </w:r>
    </w:p>
    <w:p w14:paraId="209273DB" w14:textId="5BB26B3A" w:rsidR="008145DF" w:rsidRPr="002443E4" w:rsidRDefault="00803DFE" w:rsidP="008145DF">
      <w:pPr>
        <w:pStyle w:val="Normaltindrag"/>
        <w:tabs>
          <w:tab w:val="right" w:pos="5670"/>
        </w:tabs>
        <w:ind w:firstLine="0"/>
      </w:pPr>
      <w:r w:rsidRPr="00D74BD1">
        <w:t>Valutakursvinst</w:t>
      </w:r>
      <w:r>
        <w:tab/>
      </w:r>
      <w:r w:rsidR="00D74BD1">
        <w:t>822</w:t>
      </w:r>
    </w:p>
    <w:p w14:paraId="2D735C38" w14:textId="353A1749" w:rsidR="008145DF" w:rsidRPr="002443E4" w:rsidRDefault="008145DF" w:rsidP="008145DF">
      <w:pPr>
        <w:pStyle w:val="Normaltindrag"/>
        <w:tabs>
          <w:tab w:val="right" w:pos="5670"/>
        </w:tabs>
        <w:ind w:firstLine="0"/>
        <w:rPr>
          <w:u w:val="single"/>
        </w:rPr>
      </w:pPr>
      <w:r w:rsidRPr="002443E4">
        <w:rPr>
          <w:u w:val="single"/>
        </w:rPr>
        <w:t>10 % av det genomsn</w:t>
      </w:r>
      <w:r w:rsidR="00803DFE">
        <w:rPr>
          <w:u w:val="single"/>
        </w:rPr>
        <w:t>ittliga justerade resultatet</w:t>
      </w:r>
      <w:r w:rsidR="00803DFE">
        <w:rPr>
          <w:u w:val="single"/>
        </w:rPr>
        <w:tab/>
      </w:r>
      <w:r w:rsidR="00D74BD1">
        <w:rPr>
          <w:u w:val="single"/>
        </w:rPr>
        <w:t>348</w:t>
      </w:r>
    </w:p>
    <w:p w14:paraId="3DA5AB02" w14:textId="51C2270D" w:rsidR="008145DF" w:rsidRPr="002443E4" w:rsidRDefault="00803DFE" w:rsidP="008145DF">
      <w:pPr>
        <w:pStyle w:val="Normaltindrag"/>
        <w:tabs>
          <w:tab w:val="right" w:pos="5670"/>
        </w:tabs>
        <w:ind w:firstLine="0"/>
        <w:rPr>
          <w:b/>
        </w:rPr>
      </w:pPr>
      <w:r>
        <w:rPr>
          <w:b/>
        </w:rPr>
        <w:t>Summa</w:t>
      </w:r>
      <w:r>
        <w:rPr>
          <w:b/>
        </w:rPr>
        <w:tab/>
      </w:r>
      <w:r w:rsidR="00D74BD1">
        <w:rPr>
          <w:b/>
        </w:rPr>
        <w:t>1 170</w:t>
      </w:r>
    </w:p>
    <w:p w14:paraId="179E3D54" w14:textId="5638582E" w:rsidR="008145DF" w:rsidRPr="00D74BD1" w:rsidRDefault="008145DF" w:rsidP="008145DF">
      <w:pPr>
        <w:pStyle w:val="R3"/>
      </w:pPr>
      <w:r w:rsidRPr="008145DF">
        <w:rPr>
          <w:highlight w:val="yellow"/>
        </w:rPr>
        <w:br w:type="column"/>
      </w:r>
      <w:r w:rsidRPr="00803DFE">
        <w:lastRenderedPageBreak/>
        <w:t xml:space="preserve">3 Beräkning av överföringen </w:t>
      </w:r>
      <w:r w:rsidRPr="00D74BD1">
        <w:t>från</w:t>
      </w:r>
      <w:r w:rsidR="00803DFE" w:rsidRPr="00D74BD1">
        <w:t xml:space="preserve"> </w:t>
      </w:r>
      <w:r w:rsidRPr="00D74BD1">
        <w:t>Riksbankens resultatutjämningsfond</w:t>
      </w:r>
    </w:p>
    <w:p w14:paraId="2CA36B93" w14:textId="7151202C" w:rsidR="008145DF" w:rsidRPr="00D74BD1" w:rsidRDefault="008145DF" w:rsidP="008145DF">
      <w:pPr>
        <w:pStyle w:val="Normaltindrag"/>
        <w:tabs>
          <w:tab w:val="right" w:pos="5670"/>
        </w:tabs>
        <w:spacing w:before="62"/>
        <w:ind w:firstLine="0"/>
        <w:rPr>
          <w:b/>
          <w:u w:val="single"/>
        </w:rPr>
      </w:pPr>
      <w:r w:rsidRPr="00D74BD1">
        <w:rPr>
          <w:b/>
          <w:u w:val="single"/>
        </w:rPr>
        <w:t>Från Riksbankens resultatutjämningsfond förs</w:t>
      </w:r>
      <w:r w:rsidRPr="00D74BD1">
        <w:rPr>
          <w:b/>
          <w:u w:val="single"/>
        </w:rPr>
        <w:tab/>
      </w:r>
    </w:p>
    <w:p w14:paraId="1462B8C0" w14:textId="6A2F9AEB" w:rsidR="008145DF" w:rsidRPr="00D74BD1" w:rsidRDefault="008145DF" w:rsidP="008145DF">
      <w:pPr>
        <w:pStyle w:val="Normaltindrag"/>
        <w:tabs>
          <w:tab w:val="right" w:pos="5670"/>
        </w:tabs>
        <w:ind w:firstLine="0"/>
      </w:pPr>
      <w:r w:rsidRPr="00D74BD1">
        <w:t>10 % av det genomsn</w:t>
      </w:r>
      <w:r w:rsidR="00803DFE" w:rsidRPr="00D74BD1">
        <w:t>ittliga justerade resultatet</w:t>
      </w:r>
      <w:r w:rsidR="00803DFE" w:rsidRPr="00D74BD1">
        <w:tab/>
      </w:r>
      <w:r w:rsidR="00D74BD1" w:rsidRPr="00D74BD1">
        <w:t>347</w:t>
      </w:r>
    </w:p>
    <w:p w14:paraId="2A566921" w14:textId="0948331A" w:rsidR="008145DF" w:rsidRPr="00D74BD1" w:rsidRDefault="008145DF" w:rsidP="008145DF">
      <w:pPr>
        <w:pStyle w:val="Normaltindrag"/>
        <w:tabs>
          <w:tab w:val="right" w:pos="5670"/>
        </w:tabs>
        <w:ind w:firstLine="0"/>
      </w:pPr>
      <w:r w:rsidRPr="00D74BD1">
        <w:t>Pris</w:t>
      </w:r>
      <w:r w:rsidR="00803DFE" w:rsidRPr="00D74BD1">
        <w:t>förlust</w:t>
      </w:r>
      <w:r w:rsidRPr="00D74BD1">
        <w:t xml:space="preserve"> </w:t>
      </w:r>
      <w:r w:rsidR="00803DFE" w:rsidRPr="00D74BD1">
        <w:t>bokförd i balansräkningen</w:t>
      </w:r>
      <w:r w:rsidR="00803DFE" w:rsidRPr="00D74BD1">
        <w:tab/>
      </w:r>
      <w:r w:rsidR="00D74BD1" w:rsidRPr="00D74BD1">
        <w:t>2 720</w:t>
      </w:r>
    </w:p>
    <w:p w14:paraId="500BE67D" w14:textId="0B0B591F" w:rsidR="008145DF" w:rsidRPr="00D74BD1" w:rsidRDefault="00803DFE" w:rsidP="008145DF">
      <w:pPr>
        <w:pStyle w:val="Normaltindrag"/>
        <w:tabs>
          <w:tab w:val="right" w:pos="5670"/>
        </w:tabs>
        <w:ind w:firstLine="0"/>
      </w:pPr>
      <w:r w:rsidRPr="00D74BD1">
        <w:t>Avrundning inleverans</w:t>
      </w:r>
      <w:r w:rsidRPr="00D74BD1">
        <w:tab/>
      </w:r>
      <w:r w:rsidR="007E6D96" w:rsidRPr="002443E4">
        <w:t>–</w:t>
      </w:r>
      <w:r w:rsidR="00D74BD1" w:rsidRPr="00D74BD1">
        <w:t>19</w:t>
      </w:r>
    </w:p>
    <w:p w14:paraId="73961888" w14:textId="760495C3" w:rsidR="008145DF" w:rsidRPr="00803DFE" w:rsidRDefault="008145DF" w:rsidP="008145DF">
      <w:pPr>
        <w:pStyle w:val="Normaltindrag"/>
        <w:tabs>
          <w:tab w:val="right" w:pos="5670"/>
        </w:tabs>
        <w:ind w:firstLine="0"/>
        <w:rPr>
          <w:u w:val="single"/>
        </w:rPr>
      </w:pPr>
      <w:r w:rsidRPr="00D74BD1">
        <w:rPr>
          <w:u w:val="single"/>
        </w:rPr>
        <w:t>Justerat resultat minskat m</w:t>
      </w:r>
      <w:r w:rsidR="00803DFE" w:rsidRPr="00D74BD1">
        <w:rPr>
          <w:u w:val="single"/>
        </w:rPr>
        <w:t>ed genomsnittligt resultat</w:t>
      </w:r>
      <w:r w:rsidR="00803DFE" w:rsidRPr="00D74BD1">
        <w:rPr>
          <w:u w:val="single"/>
        </w:rPr>
        <w:tab/>
      </w:r>
      <w:r w:rsidR="007E6D96" w:rsidRPr="007E6D96">
        <w:rPr>
          <w:u w:val="single"/>
        </w:rPr>
        <w:t>–</w:t>
      </w:r>
      <w:r w:rsidR="00D74BD1" w:rsidRPr="00D74BD1">
        <w:rPr>
          <w:u w:val="single"/>
        </w:rPr>
        <w:t>5 064</w:t>
      </w:r>
    </w:p>
    <w:p w14:paraId="6038126A" w14:textId="751BE23D" w:rsidR="008145DF" w:rsidRPr="00D02D8A" w:rsidRDefault="00803DFE" w:rsidP="008145DF">
      <w:pPr>
        <w:pStyle w:val="Normaltindrag"/>
        <w:tabs>
          <w:tab w:val="right" w:pos="5670"/>
        </w:tabs>
        <w:ind w:firstLine="0"/>
        <w:rPr>
          <w:b/>
        </w:rPr>
      </w:pPr>
      <w:r>
        <w:rPr>
          <w:b/>
        </w:rPr>
        <w:t>Summa</w:t>
      </w:r>
      <w:r>
        <w:rPr>
          <w:b/>
        </w:rPr>
        <w:tab/>
      </w:r>
      <w:r w:rsidR="007E6D96" w:rsidRPr="002443E4">
        <w:t>–</w:t>
      </w:r>
      <w:r w:rsidR="00D74BD1">
        <w:rPr>
          <w:b/>
        </w:rPr>
        <w:t>2 016</w:t>
      </w:r>
    </w:p>
    <w:p w14:paraId="4B9CC3A3" w14:textId="77777777" w:rsidR="00B864B5" w:rsidRDefault="00B864B5" w:rsidP="008F38F4"/>
    <w:p w14:paraId="580A2D30" w14:textId="2DD202A0" w:rsidR="001B3535" w:rsidRDefault="006607AE" w:rsidP="008F38F4">
      <w:r>
        <w:rPr>
          <w:noProof/>
          <w:lang w:eastAsia="sv-SE"/>
        </w:rPr>
        <mc:AlternateContent>
          <mc:Choice Requires="wps">
            <w:drawing>
              <wp:anchor distT="0" distB="0" distL="114300" distR="114300" simplePos="0" relativeHeight="251659264" behindDoc="0" locked="0" layoutInCell="1" allowOverlap="1" wp14:anchorId="6CBB8785" wp14:editId="0A9DA4A1">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EC1C7E" w14:textId="5CC1724D" w:rsidR="006607AE" w:rsidRDefault="006607AE" w:rsidP="006607AE">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CBB8785"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14:paraId="03EC1C7E" w14:textId="5CC1724D" w:rsidR="006607AE" w:rsidRDefault="006607AE" w:rsidP="006607AE">
                      <w:pPr>
                        <w:pStyle w:val="Fotnotstext"/>
                        <w:jc w:val="left"/>
                      </w:pPr>
                      <w:r>
                        <w:t>Tryck: Elanders, Vällingby 2016</w:t>
                      </w:r>
                    </w:p>
                  </w:txbxContent>
                </v:textbox>
                <w10:wrap anchorx="page" anchory="page"/>
              </v:shape>
            </w:pict>
          </mc:Fallback>
        </mc:AlternateContent>
      </w:r>
    </w:p>
    <w:sectPr w:rsidR="001B3535" w:rsidSect="0039664C">
      <w:headerReference w:type="even" r:id="rId21"/>
      <w:headerReference w:type="default" r:id="rId22"/>
      <w:headerReference w:type="first" r:id="rId23"/>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F5E4E" w14:textId="77777777" w:rsidR="000D47CA" w:rsidRDefault="000D47CA" w:rsidP="00A82541">
      <w:pPr>
        <w:spacing w:line="240" w:lineRule="auto"/>
      </w:pPr>
      <w:r>
        <w:separator/>
      </w:r>
    </w:p>
  </w:endnote>
  <w:endnote w:type="continuationSeparator" w:id="0">
    <w:p w14:paraId="6C2C2F43" w14:textId="77777777" w:rsidR="000D47CA" w:rsidRDefault="000D47CA"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247C7607"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330A04">
          <w:rPr>
            <w:noProof/>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0D854A6E"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330A04">
          <w:rPr>
            <w:noProof/>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6DE2E"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330A0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40380E1E"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ABC9" w14:textId="77777777" w:rsidR="000D47CA" w:rsidRDefault="000D47CA" w:rsidP="00A82541">
      <w:pPr>
        <w:spacing w:line="240" w:lineRule="auto"/>
      </w:pPr>
      <w:r>
        <w:separator/>
      </w:r>
    </w:p>
  </w:footnote>
  <w:footnote w:type="continuationSeparator" w:id="0">
    <w:p w14:paraId="4EEC5EB3" w14:textId="77777777" w:rsidR="000D47CA" w:rsidRDefault="000D47CA"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DC0C"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47488" behindDoc="0" locked="0" layoutInCell="1" allowOverlap="1" wp14:anchorId="3530809E" wp14:editId="20C2FAA7">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E1B59" w14:textId="4C1CD319"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55DBD" w:rsidRPr="00755DBD">
                            <w:rPr>
                              <w:bCs/>
                            </w:rPr>
                            <w:t>2015/</w:t>
                          </w:r>
                          <w:proofErr w:type="gramStart"/>
                          <w:r w:rsidR="00755DBD" w:rsidRPr="00755DBD">
                            <w:rPr>
                              <w:bCs/>
                            </w:rPr>
                            <w:t>16:RB</w:t>
                          </w:r>
                          <w:proofErr w:type="gramEnd"/>
                          <w:r w:rsidR="00755DBD" w:rsidRPr="00755DBD">
                            <w:rPr>
                              <w:bCs/>
                            </w:rPr>
                            <w:t>2</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0809E" id="_x0000_t202" coordsize="21600,21600" o:spt="202" path="m,l,21600r21600,l21600,xe">
              <v:stroke joinstyle="miter"/>
              <v:path gradientshapeok="t" o:connecttype="rect"/>
            </v:shapetype>
            <v:shape id="Textruta 1" o:spid="_x0000_s1027" type="#_x0000_t202" style="position:absolute;margin-left:-78.9pt;margin-top:-3.7pt;width:71.15pt;height:20.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473E1B59" w14:textId="4C1CD319"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55DBD" w:rsidRPr="00755DBD">
                      <w:rPr>
                        <w:bCs/>
                      </w:rPr>
                      <w:t>2015/</w:t>
                    </w:r>
                    <w:proofErr w:type="gramStart"/>
                    <w:r w:rsidR="00755DBD" w:rsidRPr="00755DBD">
                      <w:rPr>
                        <w:bCs/>
                      </w:rPr>
                      <w:t>16:RB</w:t>
                    </w:r>
                    <w:proofErr w:type="gramEnd"/>
                    <w:r w:rsidR="00755DBD" w:rsidRPr="00755DBD">
                      <w:rPr>
                        <w:bCs/>
                      </w:rPr>
                      <w:t>2</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C16F"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49536" behindDoc="0" locked="0" layoutInCell="1" allowOverlap="1" wp14:anchorId="7316968E" wp14:editId="449AC723">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4B17F" w14:textId="08DB45D8"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55DBD" w:rsidRPr="00755DBD">
                            <w:rPr>
                              <w:bCs/>
                            </w:rPr>
                            <w:t>2015/</w:t>
                          </w:r>
                          <w:proofErr w:type="gramStart"/>
                          <w:r w:rsidR="00755DBD" w:rsidRPr="00755DBD">
                            <w:rPr>
                              <w:bCs/>
                            </w:rPr>
                            <w:t>16:RB</w:t>
                          </w:r>
                          <w:proofErr w:type="gramEnd"/>
                          <w:r w:rsidR="00755DBD" w:rsidRPr="00755DBD">
                            <w:rPr>
                              <w:bCs/>
                            </w:rPr>
                            <w:t>2</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6968E"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47C4B17F" w14:textId="08DB45D8"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55DBD" w:rsidRPr="00755DBD">
                      <w:rPr>
                        <w:bCs/>
                      </w:rPr>
                      <w:t>2015/</w:t>
                    </w:r>
                    <w:proofErr w:type="gramStart"/>
                    <w:r w:rsidR="00755DBD" w:rsidRPr="00755DBD">
                      <w:rPr>
                        <w:bCs/>
                      </w:rPr>
                      <w:t>16:RB</w:t>
                    </w:r>
                    <w:proofErr w:type="gramEnd"/>
                    <w:r w:rsidR="00755DBD" w:rsidRPr="00755DBD">
                      <w:rPr>
                        <w:bCs/>
                      </w:rPr>
                      <w:t>2</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512F" w14:textId="77777777"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68992" behindDoc="0" locked="0" layoutInCell="1" allowOverlap="1" wp14:anchorId="00D665CE" wp14:editId="3C0C4C61">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1620A"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665CE" id="_x0000_t202" coordsize="21600,21600" o:spt="202" path="m,l,21600r21600,l21600,xe">
              <v:stroke joinstyle="miter"/>
              <v:path gradientshapeok="t" o:connecttype="rect"/>
            </v:shapetype>
            <v:shape id="Textruta 10" o:spid="_x0000_s1029" type="#_x0000_t202" style="position:absolute;margin-left:-77.9pt;margin-top:-3.65pt;width:74.8pt;height:1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52C1620A"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2B2B9D">
      <w:fldChar w:fldCharType="separate"/>
    </w:r>
    <w:r w:rsidR="00330A04">
      <w:rPr>
        <w:noProof/>
      </w:rPr>
      <w:t>Fullmäktiges verksamhetsberättelse</w: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E80D"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51584" behindDoc="0" locked="0" layoutInCell="1" allowOverlap="1" wp14:anchorId="3EDAF616" wp14:editId="711F8EEB">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6631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AF616"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6FC6631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v:textbox>
            </v:shape>
          </w:pict>
        </mc:Fallback>
      </mc:AlternateContent>
    </w:r>
    <w:r w:rsidRPr="0003697B">
      <w:fldChar w:fldCharType="begin"/>
    </w:r>
    <w:r w:rsidR="007D0BA8">
      <w:instrText xml:space="preserve"> STYLEREF "Kapitelrubrik"</w:instrText>
    </w:r>
    <w:r w:rsidRPr="0003697B">
      <w:instrText xml:space="preserve"> </w:instrText>
    </w:r>
    <w:r w:rsidRPr="0003697B">
      <w:fldChar w:fldCharType="separate"/>
    </w:r>
    <w:r w:rsidR="00330A04">
      <w:t>Fullmäktiges verksamhetsberättelse</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2122"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F610" w14:textId="0EBB3571"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66944" behindDoc="0" locked="0" layoutInCell="1" allowOverlap="1" wp14:anchorId="62BAC0E9" wp14:editId="318787EE">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689F0"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AC0E9"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74A689F0"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v:textbox>
            </v:shape>
          </w:pict>
        </mc:Fallback>
      </mc:AlternateContent>
    </w:r>
    <w:proofErr w:type="gramStart"/>
    <w:r w:rsidR="00330A04">
      <w:t xml:space="preserve">Bilaga     </w:t>
    </w:r>
    <w:proofErr w:type="gramEnd"/>
    <w:r w:rsidR="002B2B9D">
      <w:fldChar w:fldCharType="begin"/>
    </w:r>
    <w:r w:rsidR="007D0BA8">
      <w:instrText xml:space="preserve"> STYLEREF "Kapitelrubrik" </w:instrText>
    </w:r>
    <w:r w:rsidR="002B2B9D">
      <w:fldChar w:fldCharType="separate"/>
    </w:r>
    <w:r w:rsidR="00330A04">
      <w:rPr>
        <w:noProof/>
      </w:rPr>
      <w:t>Beräkning av Riksbankens vinstdisposition 2015</w:t>
    </w:r>
    <w:r w:rsidR="002B2B9D">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63FC" w14:textId="3652920E" w:rsidR="00B7395D" w:rsidRDefault="00B7395D" w:rsidP="00155F98">
    <w:pPr>
      <w:pStyle w:val="Sidhuvudhgerstlld"/>
    </w:pPr>
    <w:r>
      <w:rPr>
        <w:smallCaps w:val="0"/>
        <w:lang w:eastAsia="sv-SE"/>
      </w:rPr>
      <mc:AlternateContent>
        <mc:Choice Requires="wps">
          <w:drawing>
            <wp:anchor distT="0" distB="0" distL="114300" distR="114300" simplePos="0" relativeHeight="251658752" behindDoc="0" locked="0" layoutInCell="1" allowOverlap="1" wp14:anchorId="377694C5" wp14:editId="5B362534">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432E4"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694C5"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021432E4"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55DBD">
                      <w:rPr>
                        <w:szCs w:val="24"/>
                      </w:rPr>
                      <w:t>2015/</w:t>
                    </w:r>
                    <w:proofErr w:type="gramStart"/>
                    <w:r w:rsidR="00755DBD">
                      <w:rPr>
                        <w:szCs w:val="24"/>
                      </w:rPr>
                      <w:t>16:RB</w:t>
                    </w:r>
                    <w:proofErr w:type="gramEnd"/>
                    <w:r w:rsidR="00755DBD">
                      <w:rPr>
                        <w:szCs w:val="24"/>
                      </w:rPr>
                      <w:t>2</w:t>
                    </w:r>
                    <w:r w:rsidRPr="00F21109">
                      <w:rPr>
                        <w:szCs w:val="24"/>
                      </w:rPr>
                      <w:fldChar w:fldCharType="end"/>
                    </w:r>
                  </w:p>
                </w:txbxContent>
              </v:textbox>
            </v:shape>
          </w:pict>
        </mc:Fallback>
      </mc:AlternateContent>
    </w:r>
    <w:r w:rsidR="00330A04">
      <w:t xml:space="preserve">Bilaga     </w:t>
    </w:r>
    <w:r w:rsidRPr="0003697B">
      <w:fldChar w:fldCharType="begin"/>
    </w:r>
    <w:r w:rsidR="007D0BA8">
      <w:instrText xml:space="preserve"> STYLEREF "Kapitelrubrik"</w:instrText>
    </w:r>
    <w:r>
      <w:instrText xml:space="preserve"> </w:instrText>
    </w:r>
    <w:r w:rsidRPr="0003697B">
      <w:fldChar w:fldCharType="separate"/>
    </w:r>
    <w:r w:rsidR="00330A04">
      <w:t>Beräkning av Riksbankens vinstdisposition 2015</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E5E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33D5888"/>
    <w:multiLevelType w:val="hybridMultilevel"/>
    <w:tmpl w:val="B016BF56"/>
    <w:lvl w:ilvl="0" w:tplc="743A4466">
      <w:start w:val="12"/>
      <w:numFmt w:val="bullet"/>
      <w:lvlText w:val=""/>
      <w:lvlJc w:val="left"/>
      <w:pPr>
        <w:ind w:left="947" w:hanging="360"/>
      </w:pPr>
      <w:rPr>
        <w:rFonts w:ascii="Wingdings 2" w:hAnsi="Wingdings 2" w:hint="default"/>
        <w:color w:val="auto"/>
        <w:sz w:val="20"/>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40019F"/>
    <w:multiLevelType w:val="hybridMultilevel"/>
    <w:tmpl w:val="7116D37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0D43CC"/>
    <w:multiLevelType w:val="hybridMultilevel"/>
    <w:tmpl w:val="6826042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2"/>
  </w:num>
  <w:num w:numId="14">
    <w:abstractNumId w:val="19"/>
  </w:num>
  <w:num w:numId="15">
    <w:abstractNumId w:val="18"/>
  </w:num>
  <w:num w:numId="16">
    <w:abstractNumId w:val="11"/>
  </w:num>
  <w:num w:numId="17">
    <w:abstractNumId w:val="21"/>
  </w:num>
  <w:num w:numId="18">
    <w:abstractNumId w:val="20"/>
  </w:num>
  <w:num w:numId="19">
    <w:abstractNumId w:val="12"/>
  </w:num>
  <w:num w:numId="20">
    <w:abstractNumId w:val="10"/>
  </w:num>
  <w:num w:numId="21">
    <w:abstractNumId w:val="13"/>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hideSpellingErrors/>
  <w:hideGrammaticalError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27"/>
    <w:rsid w:val="00000411"/>
    <w:rsid w:val="00001584"/>
    <w:rsid w:val="00001AE6"/>
    <w:rsid w:val="00002529"/>
    <w:rsid w:val="000025CA"/>
    <w:rsid w:val="00002912"/>
    <w:rsid w:val="000030C3"/>
    <w:rsid w:val="00003268"/>
    <w:rsid w:val="0000327F"/>
    <w:rsid w:val="000036C3"/>
    <w:rsid w:val="00006859"/>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47CA"/>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34A6"/>
    <w:rsid w:val="000F4A6A"/>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2874"/>
    <w:rsid w:val="00123108"/>
    <w:rsid w:val="00123250"/>
    <w:rsid w:val="00123478"/>
    <w:rsid w:val="00123521"/>
    <w:rsid w:val="00124B06"/>
    <w:rsid w:val="00130B9E"/>
    <w:rsid w:val="00130CEF"/>
    <w:rsid w:val="00131121"/>
    <w:rsid w:val="00131545"/>
    <w:rsid w:val="0013156F"/>
    <w:rsid w:val="00132FD8"/>
    <w:rsid w:val="001334A5"/>
    <w:rsid w:val="0013414C"/>
    <w:rsid w:val="00134177"/>
    <w:rsid w:val="00134BA6"/>
    <w:rsid w:val="00135436"/>
    <w:rsid w:val="00136465"/>
    <w:rsid w:val="00136524"/>
    <w:rsid w:val="0013666A"/>
    <w:rsid w:val="00136967"/>
    <w:rsid w:val="001370FD"/>
    <w:rsid w:val="001375A3"/>
    <w:rsid w:val="00140602"/>
    <w:rsid w:val="001406B6"/>
    <w:rsid w:val="00142EAD"/>
    <w:rsid w:val="00143D7B"/>
    <w:rsid w:val="00144250"/>
    <w:rsid w:val="00145B45"/>
    <w:rsid w:val="00146A63"/>
    <w:rsid w:val="00146CAF"/>
    <w:rsid w:val="00146E83"/>
    <w:rsid w:val="0014712C"/>
    <w:rsid w:val="001475D2"/>
    <w:rsid w:val="00147A51"/>
    <w:rsid w:val="00147BCD"/>
    <w:rsid w:val="00147D42"/>
    <w:rsid w:val="00147E03"/>
    <w:rsid w:val="0015133B"/>
    <w:rsid w:val="00153155"/>
    <w:rsid w:val="001532A4"/>
    <w:rsid w:val="001552FC"/>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83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4499"/>
    <w:rsid w:val="001D5847"/>
    <w:rsid w:val="001D5DC9"/>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1F7F45"/>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43E4"/>
    <w:rsid w:val="002452D2"/>
    <w:rsid w:val="0024553F"/>
    <w:rsid w:val="002459AD"/>
    <w:rsid w:val="00245DA0"/>
    <w:rsid w:val="00246454"/>
    <w:rsid w:val="00246711"/>
    <w:rsid w:val="00246EFB"/>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437"/>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D0"/>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126"/>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5D97"/>
    <w:rsid w:val="0030604F"/>
    <w:rsid w:val="0031130F"/>
    <w:rsid w:val="00312A5E"/>
    <w:rsid w:val="00312E6D"/>
    <w:rsid w:val="00313115"/>
    <w:rsid w:val="00313913"/>
    <w:rsid w:val="00313B7D"/>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A04"/>
    <w:rsid w:val="00330E4F"/>
    <w:rsid w:val="00331474"/>
    <w:rsid w:val="00331D82"/>
    <w:rsid w:val="00332034"/>
    <w:rsid w:val="00332558"/>
    <w:rsid w:val="00333493"/>
    <w:rsid w:val="003334FE"/>
    <w:rsid w:val="00334438"/>
    <w:rsid w:val="00334995"/>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0DEC"/>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199"/>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6C0"/>
    <w:rsid w:val="003C5F14"/>
    <w:rsid w:val="003C61C7"/>
    <w:rsid w:val="003C63FF"/>
    <w:rsid w:val="003C67CC"/>
    <w:rsid w:val="003C6C30"/>
    <w:rsid w:val="003C7CD6"/>
    <w:rsid w:val="003D10EA"/>
    <w:rsid w:val="003D1190"/>
    <w:rsid w:val="003D1C1D"/>
    <w:rsid w:val="003D30B7"/>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078AD"/>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77BA1"/>
    <w:rsid w:val="00480275"/>
    <w:rsid w:val="004804E9"/>
    <w:rsid w:val="00480971"/>
    <w:rsid w:val="00480DE6"/>
    <w:rsid w:val="00482782"/>
    <w:rsid w:val="00482887"/>
    <w:rsid w:val="004842B6"/>
    <w:rsid w:val="004842F9"/>
    <w:rsid w:val="00485745"/>
    <w:rsid w:val="00485AC9"/>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6442"/>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8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188"/>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1084"/>
    <w:rsid w:val="005C264A"/>
    <w:rsid w:val="005C2FF6"/>
    <w:rsid w:val="005C366D"/>
    <w:rsid w:val="005C3FE1"/>
    <w:rsid w:val="005C4848"/>
    <w:rsid w:val="005C57A3"/>
    <w:rsid w:val="005C5DAA"/>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1F79"/>
    <w:rsid w:val="00604B89"/>
    <w:rsid w:val="00604DA8"/>
    <w:rsid w:val="00604F51"/>
    <w:rsid w:val="00605031"/>
    <w:rsid w:val="0060520D"/>
    <w:rsid w:val="00606192"/>
    <w:rsid w:val="006065ED"/>
    <w:rsid w:val="00606CBB"/>
    <w:rsid w:val="00606DE3"/>
    <w:rsid w:val="0061079D"/>
    <w:rsid w:val="00611A62"/>
    <w:rsid w:val="0061214B"/>
    <w:rsid w:val="006127FD"/>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55A"/>
    <w:rsid w:val="006349BA"/>
    <w:rsid w:val="00634D64"/>
    <w:rsid w:val="00636BF3"/>
    <w:rsid w:val="00637884"/>
    <w:rsid w:val="00637E2C"/>
    <w:rsid w:val="00640301"/>
    <w:rsid w:val="006404C9"/>
    <w:rsid w:val="00641810"/>
    <w:rsid w:val="0064338B"/>
    <w:rsid w:val="0064396D"/>
    <w:rsid w:val="00644A2F"/>
    <w:rsid w:val="00645320"/>
    <w:rsid w:val="00645647"/>
    <w:rsid w:val="00645B0A"/>
    <w:rsid w:val="006468C3"/>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7AE"/>
    <w:rsid w:val="00660A5A"/>
    <w:rsid w:val="00661A96"/>
    <w:rsid w:val="00662389"/>
    <w:rsid w:val="00662499"/>
    <w:rsid w:val="006634E9"/>
    <w:rsid w:val="00663E08"/>
    <w:rsid w:val="00663E6C"/>
    <w:rsid w:val="00663EBD"/>
    <w:rsid w:val="0066502E"/>
    <w:rsid w:val="006655AE"/>
    <w:rsid w:val="00665C6B"/>
    <w:rsid w:val="00666113"/>
    <w:rsid w:val="00666967"/>
    <w:rsid w:val="00667D6C"/>
    <w:rsid w:val="00667F8E"/>
    <w:rsid w:val="00670CC3"/>
    <w:rsid w:val="00670D03"/>
    <w:rsid w:val="0067124C"/>
    <w:rsid w:val="00671A50"/>
    <w:rsid w:val="00671F86"/>
    <w:rsid w:val="00672E4D"/>
    <w:rsid w:val="0067434D"/>
    <w:rsid w:val="00674676"/>
    <w:rsid w:val="006748B8"/>
    <w:rsid w:val="00674E6E"/>
    <w:rsid w:val="006756E4"/>
    <w:rsid w:val="0067667D"/>
    <w:rsid w:val="00676EB5"/>
    <w:rsid w:val="006778D0"/>
    <w:rsid w:val="00677AED"/>
    <w:rsid w:val="00682B75"/>
    <w:rsid w:val="00683F55"/>
    <w:rsid w:val="006840B0"/>
    <w:rsid w:val="00684267"/>
    <w:rsid w:val="006844E4"/>
    <w:rsid w:val="006850BF"/>
    <w:rsid w:val="0068564D"/>
    <w:rsid w:val="00685982"/>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0F6D"/>
    <w:rsid w:val="006C1379"/>
    <w:rsid w:val="006C1683"/>
    <w:rsid w:val="006C2D67"/>
    <w:rsid w:val="006C37E8"/>
    <w:rsid w:val="006C400B"/>
    <w:rsid w:val="006C4018"/>
    <w:rsid w:val="006C40C0"/>
    <w:rsid w:val="006C57DC"/>
    <w:rsid w:val="006C5907"/>
    <w:rsid w:val="006C795C"/>
    <w:rsid w:val="006D1647"/>
    <w:rsid w:val="006D2499"/>
    <w:rsid w:val="006D439B"/>
    <w:rsid w:val="006D43A6"/>
    <w:rsid w:val="006D5C4D"/>
    <w:rsid w:val="006D5C67"/>
    <w:rsid w:val="006D5D6D"/>
    <w:rsid w:val="006D6A79"/>
    <w:rsid w:val="006D6EC9"/>
    <w:rsid w:val="006D6F93"/>
    <w:rsid w:val="006E2036"/>
    <w:rsid w:val="006E2AA5"/>
    <w:rsid w:val="006E3498"/>
    <w:rsid w:val="006E481D"/>
    <w:rsid w:val="006E4F1C"/>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238D"/>
    <w:rsid w:val="00743260"/>
    <w:rsid w:val="00743812"/>
    <w:rsid w:val="00744A7D"/>
    <w:rsid w:val="00744DCF"/>
    <w:rsid w:val="00745A15"/>
    <w:rsid w:val="00745B7B"/>
    <w:rsid w:val="00746F95"/>
    <w:rsid w:val="007523A8"/>
    <w:rsid w:val="00754464"/>
    <w:rsid w:val="00755DBD"/>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44BC"/>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2164"/>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48C6"/>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6D96"/>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3DFE"/>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5DF"/>
    <w:rsid w:val="0081491D"/>
    <w:rsid w:val="00814DA2"/>
    <w:rsid w:val="008158EA"/>
    <w:rsid w:val="0081614E"/>
    <w:rsid w:val="008161C6"/>
    <w:rsid w:val="00816291"/>
    <w:rsid w:val="00816446"/>
    <w:rsid w:val="00816B54"/>
    <w:rsid w:val="00816F43"/>
    <w:rsid w:val="008174F6"/>
    <w:rsid w:val="00820851"/>
    <w:rsid w:val="00821370"/>
    <w:rsid w:val="008231DC"/>
    <w:rsid w:val="00823654"/>
    <w:rsid w:val="008236DA"/>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6DFF"/>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B55"/>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089"/>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4F2E"/>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BDE"/>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231D"/>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3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88F"/>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7F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B83"/>
    <w:rsid w:val="00AB3FB9"/>
    <w:rsid w:val="00AB40B7"/>
    <w:rsid w:val="00AB4926"/>
    <w:rsid w:val="00AB5027"/>
    <w:rsid w:val="00AB70E8"/>
    <w:rsid w:val="00AB7D79"/>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5D06"/>
    <w:rsid w:val="00AD648D"/>
    <w:rsid w:val="00AD6F24"/>
    <w:rsid w:val="00AD78A6"/>
    <w:rsid w:val="00AD7C81"/>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5870"/>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6CD5"/>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6C0"/>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37407"/>
    <w:rsid w:val="00C3776A"/>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477F4"/>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0FC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AEE"/>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3E27"/>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4BD1"/>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D2C"/>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5ED"/>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4B68"/>
    <w:rsid w:val="00E7549D"/>
    <w:rsid w:val="00E7614A"/>
    <w:rsid w:val="00E76BB8"/>
    <w:rsid w:val="00E76D25"/>
    <w:rsid w:val="00E76D88"/>
    <w:rsid w:val="00E77284"/>
    <w:rsid w:val="00E80AFF"/>
    <w:rsid w:val="00E80C0B"/>
    <w:rsid w:val="00E82302"/>
    <w:rsid w:val="00E83F88"/>
    <w:rsid w:val="00E8430B"/>
    <w:rsid w:val="00E8508F"/>
    <w:rsid w:val="00E8568E"/>
    <w:rsid w:val="00E8645E"/>
    <w:rsid w:val="00E86FBC"/>
    <w:rsid w:val="00E90289"/>
    <w:rsid w:val="00E90582"/>
    <w:rsid w:val="00E90B39"/>
    <w:rsid w:val="00E90EA8"/>
    <w:rsid w:val="00E91228"/>
    <w:rsid w:val="00E93D18"/>
    <w:rsid w:val="00E95B9F"/>
    <w:rsid w:val="00E96746"/>
    <w:rsid w:val="00E9792B"/>
    <w:rsid w:val="00EA08CD"/>
    <w:rsid w:val="00EA0D33"/>
    <w:rsid w:val="00EA1375"/>
    <w:rsid w:val="00EA1591"/>
    <w:rsid w:val="00EA1A26"/>
    <w:rsid w:val="00EA1FB1"/>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09E"/>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444B"/>
    <w:rsid w:val="00F559CE"/>
    <w:rsid w:val="00F55A7E"/>
    <w:rsid w:val="00F55C2B"/>
    <w:rsid w:val="00F563FB"/>
    <w:rsid w:val="00F56684"/>
    <w:rsid w:val="00F567A4"/>
    <w:rsid w:val="00F56880"/>
    <w:rsid w:val="00F5691B"/>
    <w:rsid w:val="00F56D42"/>
    <w:rsid w:val="00F60288"/>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4C0"/>
    <w:rsid w:val="00FB4528"/>
    <w:rsid w:val="00FB49C0"/>
    <w:rsid w:val="00FB51CF"/>
    <w:rsid w:val="00FB5A6F"/>
    <w:rsid w:val="00FB5B22"/>
    <w:rsid w:val="00FB5E50"/>
    <w:rsid w:val="00FB5EC9"/>
    <w:rsid w:val="00FB69AE"/>
    <w:rsid w:val="00FB6E0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A3B"/>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4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FE20D0489448A2A1569ED1488D4B25"/>
        <w:category>
          <w:name w:val="Allmänt"/>
          <w:gallery w:val="placeholder"/>
        </w:category>
        <w:types>
          <w:type w:val="bbPlcHdr"/>
        </w:types>
        <w:behaviors>
          <w:behavior w:val="content"/>
        </w:behaviors>
        <w:guid w:val="{91EF0F6B-060C-4637-BFAC-6B7606327A1B}"/>
      </w:docPartPr>
      <w:docPartBody>
        <w:p w:rsidR="00F46656" w:rsidRDefault="009B03F1">
          <w:pPr>
            <w:pStyle w:val="CBFE20D0489448A2A1569ED1488D4B25"/>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F1"/>
    <w:rsid w:val="0005184A"/>
    <w:rsid w:val="00192245"/>
    <w:rsid w:val="00197347"/>
    <w:rsid w:val="003A6AA6"/>
    <w:rsid w:val="006037BE"/>
    <w:rsid w:val="00702334"/>
    <w:rsid w:val="00984361"/>
    <w:rsid w:val="009B03F1"/>
    <w:rsid w:val="00BF0514"/>
    <w:rsid w:val="00F33F4F"/>
    <w:rsid w:val="00F46656"/>
    <w:rsid w:val="00FE35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FE20D0489448A2A1569ED1488D4B25">
    <w:name w:val="CBFE20D0489448A2A1569ED1488D4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8CF255AC6D4C47B335902AB34405CC" ma:contentTypeVersion="2" ma:contentTypeDescription="Skapa ett nytt dokument." ma:contentTypeScope="" ma:versionID="f01810b7e641ff2ef4442005ed0de4d8">
  <xsd:schema xmlns:xsd="http://www.w3.org/2001/XMLSchema" xmlns:xs="http://www.w3.org/2001/XMLSchema" xmlns:p="http://schemas.microsoft.com/office/2006/metadata/properties" xmlns:ns2="1d05d22e-4baf-412d-b5ee-1448d9e17800" targetNamespace="http://schemas.microsoft.com/office/2006/metadata/properties" ma:root="true" ma:fieldsID="2c85f327baa78debc614cb47a1af4bff" ns2:_="">
    <xsd:import namespace="1d05d22e-4baf-412d-b5ee-1448d9e17800"/>
    <xsd:element name="properties">
      <xsd:complexType>
        <xsd:sequence>
          <xsd:element name="documentManagement">
            <xsd:complexType>
              <xsd:all>
                <xsd:element ref="ns2:Created0" minOccurs="0"/>
                <xsd:element ref="ns2:Modifi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5d22e-4baf-412d-b5ee-1448d9e17800" elementFormDefault="qualified">
    <xsd:import namespace="http://schemas.microsoft.com/office/2006/documentManagement/types"/>
    <xsd:import namespace="http://schemas.microsoft.com/office/infopath/2007/PartnerControls"/>
    <xsd:element name="Created0" ma:index="8" nillable="true" ma:displayName="Created" ma:hidden="true" ma:internalName="Created0" ma:readOnly="true">
      <xsd:simpleType>
        <xsd:restriction base="dms:DateTime"/>
      </xsd:simpleType>
    </xsd:element>
    <xsd:element name="Modified0" ma:index="9" nillable="true" ma:displayName="Senast ändrat" ma:hidden="true" ma:internalName="Modified0"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5E6E-D94D-4AD2-B0BA-F2FCF312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5d22e-4baf-412d-b5ee-1448d9e17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ED81B-3B4D-41E6-A64E-AC8263714D15}">
  <ds:schemaRefs>
    <ds:schemaRef ds:uri="http://purl.org/dc/elements/1.1/"/>
    <ds:schemaRef ds:uri="http://schemas.microsoft.com/office/2006/metadata/properties"/>
    <ds:schemaRef ds:uri="1d05d22e-4baf-412d-b5ee-1448d9e178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01A6EE-F3EA-4699-94E8-45931FDA4D03}">
  <ds:schemaRefs>
    <ds:schemaRef ds:uri="http://schemas.microsoft.com/sharepoint/v3/contenttype/forms"/>
  </ds:schemaRefs>
</ds:datastoreItem>
</file>

<file path=customXml/itemProps4.xml><?xml version="1.0" encoding="utf-8"?>
<ds:datastoreItem xmlns:ds="http://schemas.openxmlformats.org/officeDocument/2006/customXml" ds:itemID="{4C82760B-A9C4-4CE8-B5AE-309B77DC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11</Pages>
  <Words>2473</Words>
  <Characters>13111</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Version 3.2</cp:keywords>
  <cp:lastModifiedBy/>
  <cp:revision>1</cp:revision>
  <cp:lastPrinted>2014-07-16T13:27:00Z</cp:lastPrinted>
  <dcterms:created xsi:type="dcterms:W3CDTF">2016-02-08T08:20:00Z</dcterms:created>
  <dcterms:modified xsi:type="dcterms:W3CDTF">2016-02-08T08:34:00Z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Sveriges riksbank</vt:lpwstr>
  </property>
  <property fmtid="{D5CDD505-2E9C-101B-9397-08002B2CF9AE}" pid="4" name="Nummer">
    <vt:lpwstr>2</vt:lpwstr>
  </property>
  <property fmtid="{D5CDD505-2E9C-101B-9397-08002B2CF9AE}" pid="5" name="RiksmöteÅr">
    <vt:lpwstr>2015/16</vt:lpwstr>
  </property>
  <property fmtid="{D5CDD505-2E9C-101B-9397-08002B2CF9AE}" pid="6" name="Dokbeteckning">
    <vt:lpwstr>2015/16:RB2</vt:lpwstr>
  </property>
  <property fmtid="{D5CDD505-2E9C-101B-9397-08002B2CF9AE}" pid="7" name="Dokrubrik">
    <vt:lpwstr>Förslag till disposition av Riksbankens vinst för räkenskapsåret 2015 samt riksbanksfullmäktiges verksamhetsberättelse för 2015</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y fmtid="{D5CDD505-2E9C-101B-9397-08002B2CF9AE}" pid="11" name="ContentTypeId">
    <vt:lpwstr>0x010100EE8CF255AC6D4C47B335902AB34405CC</vt:lpwstr>
  </property>
  <property fmtid="{D5CDD505-2E9C-101B-9397-08002B2CF9AE}" pid="12" name="xd_Signature">
    <vt:bool>false</vt:bool>
  </property>
  <property fmtid="{D5CDD505-2E9C-101B-9397-08002B2CF9AE}" pid="13" name="xd_ProgID">
    <vt:lpwstr/>
  </property>
  <property fmtid="{D5CDD505-2E9C-101B-9397-08002B2CF9AE}" pid="14" name="_GUID_CONTAINER0">
    <vt:lpwstr/>
  </property>
  <property fmtid="{D5CDD505-2E9C-101B-9397-08002B2CF9AE}" pid="15" name="TemplateUrl">
    <vt:lpwstr/>
  </property>
</Properties>
</file>