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77B37">
        <w:tblPrEx>
          <w:tblCellMar>
            <w:top w:w="0" w:type="dxa"/>
            <w:left w:w="0" w:type="dxa"/>
            <w:bottom w:w="0" w:type="dxa"/>
            <w:right w:w="0" w:type="dxa"/>
          </w:tblCellMar>
        </w:tblPrEx>
        <w:trPr>
          <w:gridAfter w:val="2"/>
          <w:wAfter w:w="1758" w:type="dxa"/>
          <w:cantSplit/>
          <w:trHeight w:val="1320"/>
        </w:trPr>
        <w:tc>
          <w:tcPr>
            <w:tcW w:w="5897" w:type="dxa"/>
          </w:tcPr>
          <w:p w:rsidR="00347E92" w:rsidRPr="00977B37" w:rsidRDefault="00347E92">
            <w:pPr>
              <w:pStyle w:val="HuvudRubrik"/>
            </w:pPr>
            <w:r w:rsidRPr="00977B37">
              <w:t>Regeringskansliet</w:t>
            </w:r>
          </w:p>
          <w:p w:rsidR="00347E92" w:rsidRPr="00977B37" w:rsidRDefault="00347E92">
            <w:pPr>
              <w:pStyle w:val="HuvudRubrik"/>
            </w:pPr>
            <w:r w:rsidRPr="00977B37">
              <w:t xml:space="preserve">Faktapromemoria  </w:t>
            </w:r>
            <w:r w:rsidRPr="00977B37">
              <w:t>2006/07</w:t>
            </w:r>
            <w:r w:rsidRPr="00977B37">
              <w:t>:</w:t>
            </w:r>
            <w:r w:rsidRPr="00977B37">
              <w:t>FPM47</w:t>
            </w:r>
          </w:p>
        </w:tc>
      </w:tr>
      <w:tr w:rsidR="00000000" w:rsidRPr="00977B37">
        <w:tblPrEx>
          <w:tblCellMar>
            <w:top w:w="0" w:type="dxa"/>
            <w:left w:w="0" w:type="dxa"/>
            <w:bottom w:w="0" w:type="dxa"/>
            <w:right w:w="0" w:type="dxa"/>
          </w:tblCellMar>
        </w:tblPrEx>
        <w:trPr>
          <w:gridAfter w:val="2"/>
          <w:wAfter w:w="1758" w:type="dxa"/>
          <w:cantSplit/>
          <w:trHeight w:val="240"/>
        </w:trPr>
        <w:tc>
          <w:tcPr>
            <w:tcW w:w="5897" w:type="dxa"/>
          </w:tcPr>
          <w:p w:rsidR="00347E92" w:rsidRPr="00977B37" w:rsidRDefault="00347E92">
            <w:pPr>
              <w:pStyle w:val="HuvudRubrik"/>
              <w:rPr>
                <w:sz w:val="28"/>
              </w:rPr>
            </w:pPr>
            <w:r w:rsidRPr="00977B37">
              <w:t>Direktiv om driftssäker järnvägstrafik (driftskompatibilitet)</w:t>
            </w:r>
          </w:p>
        </w:tc>
      </w:tr>
      <w:tr w:rsidR="00E11479" w:rsidRPr="00977B37">
        <w:tblPrEx>
          <w:tblCellMar>
            <w:top w:w="0" w:type="dxa"/>
            <w:left w:w="0" w:type="dxa"/>
            <w:bottom w:w="0" w:type="dxa"/>
            <w:right w:w="0" w:type="dxa"/>
          </w:tblCellMar>
        </w:tblPrEx>
        <w:trPr>
          <w:cantSplit/>
          <w:trHeight w:val="285"/>
        </w:trPr>
        <w:tc>
          <w:tcPr>
            <w:tcW w:w="7655" w:type="dxa"/>
            <w:gridSpan w:val="3"/>
          </w:tcPr>
          <w:p w:rsidR="00E11479" w:rsidRPr="00977B37" w:rsidRDefault="00E21A71">
            <w:pPr>
              <w:pStyle w:val="Departement"/>
              <w:rPr>
                <w:sz w:val="28"/>
              </w:rPr>
            </w:pPr>
            <w:r w:rsidRPr="00977B37">
              <w:t>Näringsdepartementet</w:t>
            </w:r>
          </w:p>
        </w:tc>
      </w:tr>
      <w:tr w:rsidR="00E11479" w:rsidRPr="00977B37">
        <w:tblPrEx>
          <w:tblCellMar>
            <w:top w:w="0" w:type="dxa"/>
            <w:left w:w="0" w:type="dxa"/>
            <w:bottom w:w="0" w:type="dxa"/>
            <w:right w:w="0" w:type="dxa"/>
          </w:tblCellMar>
        </w:tblPrEx>
        <w:trPr>
          <w:cantSplit/>
          <w:trHeight w:val="240"/>
        </w:trPr>
        <w:tc>
          <w:tcPr>
            <w:tcW w:w="7655" w:type="dxa"/>
            <w:gridSpan w:val="3"/>
          </w:tcPr>
          <w:p w:rsidR="00E11479" w:rsidRPr="00977B37" w:rsidRDefault="00E21A71">
            <w:pPr>
              <w:pStyle w:val="Dokumentdatum"/>
            </w:pPr>
            <w:r w:rsidRPr="00977B37">
              <w:t>2007-02-27</w:t>
            </w:r>
          </w:p>
        </w:tc>
      </w:tr>
      <w:tr w:rsidR="00E11479" w:rsidRPr="00977B37">
        <w:tblPrEx>
          <w:tblCellMar>
            <w:top w:w="0" w:type="dxa"/>
            <w:left w:w="0" w:type="dxa"/>
            <w:bottom w:w="0" w:type="dxa"/>
            <w:right w:w="0" w:type="dxa"/>
          </w:tblCellMar>
        </w:tblPrEx>
        <w:trPr>
          <w:cantSplit/>
          <w:trHeight w:val="726"/>
        </w:trPr>
        <w:tc>
          <w:tcPr>
            <w:tcW w:w="7655" w:type="dxa"/>
            <w:gridSpan w:val="3"/>
            <w:vAlign w:val="bottom"/>
          </w:tcPr>
          <w:p w:rsidR="00E11479" w:rsidRPr="00977B37" w:rsidRDefault="00E11479">
            <w:pPr>
              <w:pStyle w:val="Dokumentbeteckning"/>
            </w:pPr>
            <w:r w:rsidRPr="00977B37">
              <w:t>Dokumentbeteckning</w:t>
            </w:r>
          </w:p>
        </w:tc>
      </w:tr>
      <w:tr w:rsidR="00994BC5" w:rsidRPr="00977B37">
        <w:tblPrEx>
          <w:tblCellMar>
            <w:top w:w="0" w:type="dxa"/>
            <w:left w:w="0" w:type="dxa"/>
            <w:bottom w:w="0" w:type="dxa"/>
            <w:right w:w="0" w:type="dxa"/>
          </w:tblCellMar>
        </w:tblPrEx>
        <w:trPr>
          <w:gridAfter w:val="1"/>
          <w:wAfter w:w="1560" w:type="dxa"/>
          <w:trHeight w:val="120"/>
        </w:trPr>
        <w:tc>
          <w:tcPr>
            <w:tcW w:w="6095" w:type="dxa"/>
            <w:gridSpan w:val="2"/>
          </w:tcPr>
          <w:p w:rsidR="00994BC5" w:rsidRPr="00977B37" w:rsidRDefault="00E21A71" w:rsidP="00D83D3F">
            <w:bookmarkStart w:id="0" w:name="KomNr"/>
            <w:bookmarkEnd w:id="0"/>
            <w:r w:rsidRPr="00977B37">
              <w:t>KOM (2006) 783 slutlig</w:t>
            </w:r>
          </w:p>
        </w:tc>
      </w:tr>
      <w:tr w:rsidR="00D83D3F" w:rsidRPr="00977B37">
        <w:tblPrEx>
          <w:tblCellMar>
            <w:top w:w="0" w:type="dxa"/>
            <w:left w:w="0" w:type="dxa"/>
            <w:bottom w:w="0" w:type="dxa"/>
            <w:right w:w="0" w:type="dxa"/>
          </w:tblCellMar>
        </w:tblPrEx>
        <w:trPr>
          <w:gridAfter w:val="1"/>
          <w:wAfter w:w="1560" w:type="dxa"/>
          <w:trHeight w:val="120"/>
        </w:trPr>
        <w:tc>
          <w:tcPr>
            <w:tcW w:w="6095" w:type="dxa"/>
            <w:gridSpan w:val="2"/>
          </w:tcPr>
          <w:p w:rsidR="00D83D3F" w:rsidRPr="00977B37" w:rsidRDefault="00E21A71" w:rsidP="00D83D3F">
            <w:pPr>
              <w:pStyle w:val="Dokumentbeteckning-titel"/>
            </w:pPr>
            <w:r w:rsidRPr="00977B37">
              <w:t>Förslag till Europaparlamentets och rådets direktiv om driftskompatibiliteten hos gemenskapens järnvägssystem</w:t>
            </w:r>
          </w:p>
        </w:tc>
      </w:tr>
    </w:tbl>
    <w:p w:rsidR="00E11479" w:rsidRPr="00977B37" w:rsidRDefault="00E11479"/>
    <w:p w:rsidR="00E11479" w:rsidRPr="00977B37" w:rsidRDefault="00E11479">
      <w:pPr>
        <w:pStyle w:val="Rubrik1"/>
        <w:numPr>
          <w:ilvl w:val="0"/>
          <w:numId w:val="0"/>
        </w:numPr>
      </w:pPr>
      <w:r w:rsidRPr="00977B37">
        <w:t>Sammanfattning</w:t>
      </w:r>
    </w:p>
    <w:p w:rsidR="00E113A6" w:rsidRPr="00977B37" w:rsidRDefault="007E0A5F" w:rsidP="00E113A6">
      <w:r w:rsidRPr="00977B37">
        <w:t>Förslaget till direktiv om driftskompatibiliteten hos gemenskapens järnvägssystem ingår som</w:t>
      </w:r>
      <w:r w:rsidR="00E113A6" w:rsidRPr="00977B37">
        <w:t xml:space="preserve"> en del i ett större paket </w:t>
      </w:r>
      <w:r w:rsidR="005B66DC" w:rsidRPr="00977B37">
        <w:t>benämnt ” Att</w:t>
      </w:r>
      <w:r w:rsidR="00E113A6" w:rsidRPr="00977B37">
        <w:t xml:space="preserve"> underlätta rörligheten för lokomotiv i gemenskapen</w:t>
      </w:r>
      <w:r w:rsidR="005B66DC" w:rsidRPr="00977B37">
        <w:t>”</w:t>
      </w:r>
      <w:r w:rsidR="00E113A6" w:rsidRPr="00977B37">
        <w:t xml:space="preserve">. </w:t>
      </w:r>
      <w:r w:rsidRPr="00977B37">
        <w:t>Di</w:t>
      </w:r>
      <w:r w:rsidR="00317D42" w:rsidRPr="00977B37">
        <w:t>rektiv</w:t>
      </w:r>
      <w:r w:rsidRPr="00977B37">
        <w:t>et</w:t>
      </w:r>
      <w:r w:rsidR="00672B77" w:rsidRPr="00977B37">
        <w:t xml:space="preserve"> föreslås ersätta dels direktiv 96/48/EG om driftskompatibiliteten hos det transeuropeiska systemet för höghastighetståg, dels direktiv 2001/16/EG om driftskompatibiliteten hos järnvägssystemet för konventionella tåg.</w:t>
      </w:r>
      <w:r w:rsidR="00E113A6" w:rsidRPr="00977B37">
        <w:t xml:space="preserve"> Motiven bakom förslaget </w:t>
      </w:r>
      <w:r w:rsidR="00317D42" w:rsidRPr="00977B37">
        <w:t xml:space="preserve">till nytt direktiv </w:t>
      </w:r>
      <w:r w:rsidR="00E113A6" w:rsidRPr="00977B37">
        <w:t>är:</w:t>
      </w:r>
    </w:p>
    <w:p w:rsidR="00E113A6" w:rsidRPr="00977B37" w:rsidRDefault="00E113A6" w:rsidP="00E113A6">
      <w:pPr>
        <w:numPr>
          <w:ilvl w:val="0"/>
          <w:numId w:val="7"/>
        </w:numPr>
      </w:pPr>
      <w:r w:rsidRPr="00977B37">
        <w:t>att åstadkomma ett förbättrat förfarande för godkännande av främst lokomotiv i syfte att underlätta den fria rörligheten inom gemenskapen,</w:t>
      </w:r>
    </w:p>
    <w:p w:rsidR="00E113A6" w:rsidRPr="00977B37" w:rsidRDefault="00E113A6" w:rsidP="00E113A6">
      <w:pPr>
        <w:numPr>
          <w:ilvl w:val="0"/>
          <w:numId w:val="7"/>
        </w:numPr>
      </w:pPr>
      <w:r w:rsidRPr="00977B37">
        <w:t>att åstadkomma ett konsoliderat och förenklat regelverk för driftskompatibilitet på järnvägsområdet,</w:t>
      </w:r>
    </w:p>
    <w:p w:rsidR="00E113A6" w:rsidRPr="00977B37" w:rsidRDefault="00E113A6" w:rsidP="00E113A6">
      <w:pPr>
        <w:numPr>
          <w:ilvl w:val="0"/>
          <w:numId w:val="7"/>
        </w:numPr>
      </w:pPr>
      <w:r w:rsidRPr="00977B37">
        <w:t>att</w:t>
      </w:r>
      <w:r w:rsidR="0024550B" w:rsidRPr="00977B37">
        <w:t>, mot bakgrund av vunna tillämpningserfarenheter,</w:t>
      </w:r>
      <w:r w:rsidRPr="00977B37">
        <w:t xml:space="preserve"> åstadkomma ett antal tekni</w:t>
      </w:r>
      <w:r w:rsidR="0024550B" w:rsidRPr="00977B37">
        <w:t>ska förbättringar av sagda driftskompatibilitets</w:t>
      </w:r>
      <w:r w:rsidR="00B3754B" w:rsidRPr="00977B37">
        <w:t>regel</w:t>
      </w:r>
      <w:r w:rsidRPr="00977B37">
        <w:t>verk</w:t>
      </w:r>
      <w:r w:rsidR="00B3754B" w:rsidRPr="00977B37">
        <w:t>.</w:t>
      </w:r>
      <w:r w:rsidR="00672B77" w:rsidRPr="00977B37">
        <w:t xml:space="preserve"> </w:t>
      </w:r>
    </w:p>
    <w:p w:rsidR="00567BBC" w:rsidRPr="00977B37" w:rsidRDefault="005B4CB1" w:rsidP="00DA2074">
      <w:r w:rsidRPr="00977B37">
        <w:t>F</w:t>
      </w:r>
      <w:r w:rsidR="00BB699C" w:rsidRPr="00977B37">
        <w:t>örslaget innebär främst att hög</w:t>
      </w:r>
      <w:r w:rsidRPr="00977B37">
        <w:t xml:space="preserve">hastighetstågsystem och konventionella järnvägsystem </w:t>
      </w:r>
      <w:r w:rsidR="001F7535" w:rsidRPr="00977B37">
        <w:t>skall</w:t>
      </w:r>
      <w:r w:rsidR="00567BBC" w:rsidRPr="00977B37">
        <w:t xml:space="preserve"> </w:t>
      </w:r>
      <w:r w:rsidRPr="00977B37">
        <w:t xml:space="preserve">regleras </w:t>
      </w:r>
      <w:r w:rsidR="00B3754B" w:rsidRPr="00977B37">
        <w:t xml:space="preserve">gemensamt </w:t>
      </w:r>
      <w:r w:rsidRPr="00977B37">
        <w:t xml:space="preserve">i en rättsakt istället för </w:t>
      </w:r>
      <w:r w:rsidR="00BB699C" w:rsidRPr="00977B37">
        <w:t>att  särregleras</w:t>
      </w:r>
      <w:r w:rsidR="00B3754B" w:rsidRPr="00977B37">
        <w:t xml:space="preserve"> i </w:t>
      </w:r>
      <w:r w:rsidRPr="00977B37">
        <w:t>två.</w:t>
      </w:r>
      <w:r w:rsidR="00567BBC" w:rsidRPr="00977B37">
        <w:t xml:space="preserve"> Särreglering av ett av dessa system i förhållande till det andra föreslås </w:t>
      </w:r>
      <w:r w:rsidR="00DA2074" w:rsidRPr="00977B37">
        <w:t>fortsättningsvis</w:t>
      </w:r>
      <w:r w:rsidR="00567BBC" w:rsidRPr="00977B37">
        <w:t xml:space="preserve"> hanteras i </w:t>
      </w:r>
      <w:r w:rsidRPr="00977B37">
        <w:t>specifikationer</w:t>
      </w:r>
      <w:r w:rsidR="00B3754B" w:rsidRPr="00977B37">
        <w:t>na</w:t>
      </w:r>
      <w:r w:rsidRPr="00977B37">
        <w:t xml:space="preserve"> för driftskompatibilitet (TSD)</w:t>
      </w:r>
      <w:r w:rsidR="00567BBC" w:rsidRPr="00977B37">
        <w:t>,</w:t>
      </w:r>
      <w:r w:rsidRPr="00977B37">
        <w:t xml:space="preserve"> som</w:t>
      </w:r>
      <w:r w:rsidR="00567BBC" w:rsidRPr="00977B37">
        <w:t xml:space="preserve"> </w:t>
      </w:r>
      <w:r w:rsidR="00B3754B" w:rsidRPr="00977B37">
        <w:t xml:space="preserve">skall </w:t>
      </w:r>
      <w:r w:rsidR="00567BBC" w:rsidRPr="00977B37">
        <w:t>utarbetas enligt i princip samma ordning som idag.</w:t>
      </w:r>
      <w:r w:rsidRPr="00977B37">
        <w:t xml:space="preserve"> </w:t>
      </w:r>
      <w:r w:rsidR="00993D01" w:rsidRPr="00977B37">
        <w:t xml:space="preserve">Förslaget </w:t>
      </w:r>
      <w:r w:rsidR="005B45FE" w:rsidRPr="00977B37">
        <w:t xml:space="preserve">innehåller </w:t>
      </w:r>
      <w:r w:rsidR="00567BBC" w:rsidRPr="00977B37">
        <w:t>också vissa</w:t>
      </w:r>
      <w:r w:rsidR="00986767" w:rsidRPr="00977B37">
        <w:t xml:space="preserve"> </w:t>
      </w:r>
      <w:r w:rsidR="00317D42" w:rsidRPr="00977B37">
        <w:t xml:space="preserve">materiella </w:t>
      </w:r>
      <w:r w:rsidR="00CA10C3" w:rsidRPr="00977B37">
        <w:t xml:space="preserve">ändringar av </w:t>
      </w:r>
      <w:r w:rsidR="00672B77" w:rsidRPr="00977B37">
        <w:t xml:space="preserve">bestämmelserna om </w:t>
      </w:r>
      <w:r w:rsidR="00986767" w:rsidRPr="00977B37">
        <w:t xml:space="preserve">nationella </w:t>
      </w:r>
      <w:r w:rsidR="00986767" w:rsidRPr="00977B37">
        <w:lastRenderedPageBreak/>
        <w:t xml:space="preserve">myndigheters beslut om godkännande av att järnvägsmateriel </w:t>
      </w:r>
      <w:r w:rsidR="00567BBC" w:rsidRPr="00977B37">
        <w:t xml:space="preserve">får </w:t>
      </w:r>
      <w:r w:rsidR="00986767" w:rsidRPr="00977B37">
        <w:t>tas i bruk</w:t>
      </w:r>
      <w:r w:rsidR="001F7535" w:rsidRPr="00977B37">
        <w:t>.</w:t>
      </w:r>
      <w:r w:rsidR="00DA2074" w:rsidRPr="00977B37">
        <w:t xml:space="preserve"> </w:t>
      </w:r>
      <w:r w:rsidR="001F7535" w:rsidRPr="00977B37">
        <w:t>S</w:t>
      </w:r>
      <w:r w:rsidR="00DA2074" w:rsidRPr="00977B37">
        <w:t>yfte</w:t>
      </w:r>
      <w:r w:rsidR="002B2C6D" w:rsidRPr="00977B37">
        <w:t xml:space="preserve">t bakom </w:t>
      </w:r>
      <w:r w:rsidR="001F7535" w:rsidRPr="00977B37">
        <w:t>ändringar</w:t>
      </w:r>
      <w:r w:rsidR="002B2C6D" w:rsidRPr="00977B37">
        <w:t>na</w:t>
      </w:r>
      <w:r w:rsidR="001F7535" w:rsidRPr="00977B37">
        <w:t xml:space="preserve"> är</w:t>
      </w:r>
      <w:r w:rsidR="00DA2074" w:rsidRPr="00977B37">
        <w:t xml:space="preserve"> att underlätta </w:t>
      </w:r>
      <w:r w:rsidR="003B3C8D" w:rsidRPr="00977B37">
        <w:t>dessa myndigheter</w:t>
      </w:r>
      <w:r w:rsidR="00CA10C3" w:rsidRPr="00977B37">
        <w:t xml:space="preserve">s </w:t>
      </w:r>
      <w:r w:rsidR="00DA2074" w:rsidRPr="00977B37">
        <w:t>användning av principen ömsesidigt erkännande</w:t>
      </w:r>
      <w:r w:rsidR="002B2C6D" w:rsidRPr="00977B37">
        <w:t xml:space="preserve"> av varandras beslut om godkännande för ibruktagande</w:t>
      </w:r>
      <w:r w:rsidR="00652453" w:rsidRPr="00977B37">
        <w:t>, eller åtminstone delar av underlaget för sådana beslut</w:t>
      </w:r>
      <w:r w:rsidR="002B2C6D" w:rsidRPr="00977B37">
        <w:t>.</w:t>
      </w:r>
      <w:r w:rsidR="005B45FE" w:rsidRPr="00977B37">
        <w:t xml:space="preserve"> </w:t>
      </w:r>
      <w:r w:rsidR="00567BBC" w:rsidRPr="00977B37">
        <w:t>F</w:t>
      </w:r>
      <w:r w:rsidR="00DF7207" w:rsidRPr="00977B37">
        <w:t xml:space="preserve">örslaget </w:t>
      </w:r>
      <w:r w:rsidR="00567BBC" w:rsidRPr="00977B37">
        <w:t xml:space="preserve">innehåller även </w:t>
      </w:r>
      <w:r w:rsidR="0026444D" w:rsidRPr="00977B37">
        <w:t xml:space="preserve">en del andra </w:t>
      </w:r>
      <w:r w:rsidR="00DA2074" w:rsidRPr="00977B37">
        <w:t xml:space="preserve">smärre </w:t>
      </w:r>
      <w:r w:rsidR="00DF7207" w:rsidRPr="00977B37">
        <w:t>materiella</w:t>
      </w:r>
      <w:r w:rsidR="00DD5D2F" w:rsidRPr="00977B37">
        <w:t xml:space="preserve"> </w:t>
      </w:r>
      <w:r w:rsidR="00672B77" w:rsidRPr="00977B37">
        <w:t>ändringar</w:t>
      </w:r>
      <w:r w:rsidR="00567BBC" w:rsidRPr="00977B37">
        <w:t>, som f</w:t>
      </w:r>
      <w:r w:rsidR="0026444D" w:rsidRPr="00977B37">
        <w:t xml:space="preserve">rämst rör </w:t>
      </w:r>
      <w:r w:rsidR="00672B77" w:rsidRPr="00977B37">
        <w:t>krav</w:t>
      </w:r>
      <w:r w:rsidR="0052782C" w:rsidRPr="00977B37">
        <w:t xml:space="preserve"> på</w:t>
      </w:r>
      <w:r w:rsidR="00672B77" w:rsidRPr="00977B37">
        <w:t xml:space="preserve"> tekniska specifikationer för driftskompatibilitet (TSD)</w:t>
      </w:r>
      <w:r w:rsidR="00EC448D" w:rsidRPr="00977B37">
        <w:t xml:space="preserve"> </w:t>
      </w:r>
      <w:r w:rsidR="00986767" w:rsidRPr="00977B37">
        <w:t>och d</w:t>
      </w:r>
      <w:r w:rsidR="0026444D" w:rsidRPr="00977B37">
        <w:t>riftskompatibilitetskomponenter</w:t>
      </w:r>
      <w:r w:rsidR="0052782C" w:rsidRPr="00977B37">
        <w:t xml:space="preserve"> samt krav på hur TSD skall utarbetas</w:t>
      </w:r>
      <w:r w:rsidR="00672B77" w:rsidRPr="00977B37">
        <w:t xml:space="preserve">. </w:t>
      </w:r>
      <w:r w:rsidR="005B45FE" w:rsidRPr="00977B37">
        <w:t xml:space="preserve">Slutligen innehåller förslaget </w:t>
      </w:r>
      <w:r w:rsidR="00567BBC" w:rsidRPr="00977B37">
        <w:t>också</w:t>
      </w:r>
      <w:r w:rsidR="0024550B" w:rsidRPr="00977B37">
        <w:t xml:space="preserve"> </w:t>
      </w:r>
      <w:r w:rsidR="00986767" w:rsidRPr="00977B37">
        <w:t xml:space="preserve">ett flertal </w:t>
      </w:r>
      <w:r w:rsidR="00567BBC" w:rsidRPr="00977B37">
        <w:t xml:space="preserve">rena </w:t>
      </w:r>
      <w:r w:rsidR="0024550B" w:rsidRPr="00977B37">
        <w:t>redigerings</w:t>
      </w:r>
      <w:r w:rsidR="005B45FE" w:rsidRPr="00977B37">
        <w:t>ändringar</w:t>
      </w:r>
      <w:r w:rsidR="00E0350F" w:rsidRPr="00977B37">
        <w:t xml:space="preserve"> och ändringar som införlivar rådets beslut 2006/12/EG om ändring av rådets beslut av den 28 juni 1999 om de förfaranden som skall tillämpas vid utövandet av kommissionens genomförandebefogenheter</w:t>
      </w:r>
      <w:r w:rsidR="00986767" w:rsidRPr="00977B37">
        <w:t>.</w:t>
      </w:r>
      <w:r w:rsidR="00567BBC" w:rsidRPr="00977B37">
        <w:t xml:space="preserve"> </w:t>
      </w:r>
      <w:r w:rsidR="003B3C8D" w:rsidRPr="00977B37">
        <w:t xml:space="preserve">De EG-bestämmelser som föreslås </w:t>
      </w:r>
      <w:r w:rsidR="00CB7983" w:rsidRPr="00977B37">
        <w:t xml:space="preserve">bli </w:t>
      </w:r>
      <w:r w:rsidR="003B3C8D" w:rsidRPr="00977B37">
        <w:t>änd</w:t>
      </w:r>
      <w:r w:rsidR="00CB7983" w:rsidRPr="00977B37">
        <w:t xml:space="preserve">rade </w:t>
      </w:r>
      <w:r w:rsidR="003B3C8D" w:rsidRPr="00977B37">
        <w:t xml:space="preserve">är i viss utsträckning ännu inte införlivade i svensk rätt. </w:t>
      </w:r>
    </w:p>
    <w:p w:rsidR="00DA2074" w:rsidRPr="00977B37" w:rsidRDefault="00DA2074" w:rsidP="00E84C77">
      <w:r w:rsidRPr="00977B37">
        <w:t>Sveriges preliminära i</w:t>
      </w:r>
      <w:r w:rsidR="001F7535" w:rsidRPr="00977B37">
        <w:t>nställning till förslaget är positiv.</w:t>
      </w:r>
      <w:r w:rsidR="00933F6E" w:rsidRPr="00977B37">
        <w:t xml:space="preserve"> Förslaget kommer att behandlas av rådet under första halvan av 2007.</w:t>
      </w:r>
    </w:p>
    <w:p w:rsidR="00E11479" w:rsidRPr="00977B37" w:rsidRDefault="00E11479">
      <w:pPr>
        <w:pStyle w:val="Rubrik1"/>
      </w:pPr>
      <w:r w:rsidRPr="00977B37">
        <w:t>Förslaget</w:t>
      </w:r>
    </w:p>
    <w:p w:rsidR="00CA10C3" w:rsidRPr="00977B37" w:rsidRDefault="005B1E2C" w:rsidP="00CA10C3">
      <w:r w:rsidRPr="00977B37">
        <w:t>Förslaget till direktiv om ändring av järnvägssäkerhetsdirektivet 2004/49/EG ingår som en del i ett större paket benämnt ” Att underlätta rörligheten för lokomotiv i gemenskapen”. Paketet är ett initiativ som syftar till att införa förbättringar av den tekniska delen av det europeiska ramverk för järnvägssektorn, vars sista grundsten läggs när det s.k. tredje järnvägspaketet antas. Den tekniska delen av det europeiska ramverket åtgärdades senast 2004 i samband med antagandet av det andra järnvägspaketet och omfattar de bägge s.k. driftskompatibilitetsdirektiven (96/48/EG och 2001/16/EG), förordningen om inrättande av den Europeiska järnvägsbyrån (EG nr 881/2004) och järnvägssäkerhetsdirektivet (2004/49/EG). Paketet, som delvis ligger inom ramen för programmet för förenkling av lagstiftningen, vilket skall tillämpas för genomförandet av gemenskapens Lissabonprogram, offentliggjordes av kommissionen den 13 december 2006.</w:t>
      </w:r>
    </w:p>
    <w:p w:rsidR="00CA10C3" w:rsidRPr="00977B37" w:rsidRDefault="005B1E2C" w:rsidP="00A40FF4">
      <w:r w:rsidRPr="00977B37">
        <w:t>Såväl gällande som föreslagna EG-regleringar av järnvägens driftskompatibilitet</w:t>
      </w:r>
      <w:r w:rsidR="00933F6E" w:rsidRPr="00977B37">
        <w:t xml:space="preserve"> är ganska snåriga och svårgenomträngliga</w:t>
      </w:r>
      <w:r w:rsidR="00CB7983" w:rsidRPr="00977B37">
        <w:t xml:space="preserve">. </w:t>
      </w:r>
      <w:r w:rsidRPr="00977B37">
        <w:t xml:space="preserve">Den som vill skapa sig en överskådlig bild av hur systemet för reglering av driftskompatibilitet är uppbyggt och fungerar kan med fördel läsa kap. 4.1 i  promemorian Andra järnvägspaketet m.m. (Ds 2005:56). </w:t>
      </w:r>
      <w:r w:rsidR="00CA10C3" w:rsidRPr="00977B37">
        <w:t xml:space="preserve"> </w:t>
      </w:r>
    </w:p>
    <w:p w:rsidR="00E11479" w:rsidRPr="00977B37" w:rsidRDefault="00E11479">
      <w:pPr>
        <w:pStyle w:val="Rubrik2"/>
      </w:pPr>
      <w:r w:rsidRPr="00977B37">
        <w:t>Innehåll</w:t>
      </w:r>
    </w:p>
    <w:p w:rsidR="008F6B6C" w:rsidRPr="00977B37" w:rsidRDefault="0011286E" w:rsidP="008F6B6C">
      <w:r w:rsidRPr="00977B37">
        <w:t>Nedan redogörs</w:t>
      </w:r>
      <w:r w:rsidR="00A40FF4" w:rsidRPr="00977B37">
        <w:t xml:space="preserve"> </w:t>
      </w:r>
      <w:r w:rsidRPr="00977B37">
        <w:t xml:space="preserve">för de  materiella ändringar av </w:t>
      </w:r>
      <w:r w:rsidR="001F7535" w:rsidRPr="00977B37">
        <w:t>bestämmelser</w:t>
      </w:r>
      <w:r w:rsidRPr="00977B37">
        <w:t>na</w:t>
      </w:r>
      <w:r w:rsidR="001F7535" w:rsidRPr="00977B37">
        <w:t xml:space="preserve"> </w:t>
      </w:r>
      <w:r w:rsidRPr="00977B37">
        <w:t>om driftskompatibilitet</w:t>
      </w:r>
      <w:r w:rsidR="001F7535" w:rsidRPr="00977B37">
        <w:t xml:space="preserve"> </w:t>
      </w:r>
      <w:r w:rsidR="0052782C" w:rsidRPr="00977B37">
        <w:t xml:space="preserve">som </w:t>
      </w:r>
      <w:r w:rsidRPr="00977B37">
        <w:t xml:space="preserve">föreslås bli vidtagna i samband med att de </w:t>
      </w:r>
      <w:r w:rsidR="00A40FF4" w:rsidRPr="00977B37">
        <w:t xml:space="preserve">konsolideras inom ramen för ett nytt </w:t>
      </w:r>
      <w:r w:rsidRPr="00977B37">
        <w:t xml:space="preserve">direktiv. </w:t>
      </w:r>
      <w:r w:rsidR="00A40FF4" w:rsidRPr="00977B37">
        <w:t xml:space="preserve">Ändringarna anges artikel för artikel i enlighet med regelstrukturen för det föreslagna nya konsoliderade direktivet. </w:t>
      </w:r>
    </w:p>
    <w:p w:rsidR="006F5F6B" w:rsidRPr="00977B37" w:rsidRDefault="00672B77" w:rsidP="006F5F6B">
      <w:r w:rsidRPr="00977B37">
        <w:t xml:space="preserve">Artikel 1: </w:t>
      </w:r>
      <w:r w:rsidR="006F5F6B" w:rsidRPr="00977B37">
        <w:t>Beskrivning av geografiskt tillämpningsområde och utvidgning av detta.</w:t>
      </w:r>
    </w:p>
    <w:p w:rsidR="00414835" w:rsidRPr="00977B37" w:rsidRDefault="00414835" w:rsidP="00E84C77">
      <w:r w:rsidRPr="00977B37">
        <w:t>I klargörande syfte föreslås</w:t>
      </w:r>
      <w:r w:rsidR="001971C4" w:rsidRPr="00977B37">
        <w:t xml:space="preserve"> </w:t>
      </w:r>
      <w:r w:rsidR="0052782C" w:rsidRPr="00977B37">
        <w:t xml:space="preserve">de redan gällande </w:t>
      </w:r>
      <w:r w:rsidR="006F5F6B" w:rsidRPr="00977B37">
        <w:t>bestämmelserna om utvidgning av det geografiska tillämpningsområdet</w:t>
      </w:r>
      <w:r w:rsidRPr="00977B37">
        <w:t xml:space="preserve"> för väsentliga krav på delsystem i järnvägssystemet för konventionella</w:t>
      </w:r>
      <w:r w:rsidR="006F5F6B" w:rsidRPr="00977B37">
        <w:t xml:space="preserve"> </w:t>
      </w:r>
      <w:r w:rsidRPr="00977B37">
        <w:t xml:space="preserve">tåg </w:t>
      </w:r>
      <w:r w:rsidR="001971C4" w:rsidRPr="00977B37">
        <w:t>bli kompletterade</w:t>
      </w:r>
      <w:r w:rsidR="006F5F6B" w:rsidRPr="00977B37">
        <w:t xml:space="preserve"> med tydliga förfarandebestämmelser</w:t>
      </w:r>
      <w:r w:rsidRPr="00977B37">
        <w:t>. De</w:t>
      </w:r>
      <w:r w:rsidR="0052782C" w:rsidRPr="00977B37">
        <w:t xml:space="preserve"> senare bestämmelserna, som bl.a.</w:t>
      </w:r>
      <w:r w:rsidR="001971C4" w:rsidRPr="00977B37">
        <w:t xml:space="preserve"> innehåller </w:t>
      </w:r>
      <w:r w:rsidRPr="00977B37">
        <w:t xml:space="preserve">krav på genomförande av konsekvensanalyser, är riktade till den Europeiska järnvägsbyrån (ERA), kommissionen och den kommitté </w:t>
      </w:r>
      <w:r w:rsidR="008F6B6C" w:rsidRPr="00977B37">
        <w:t>(</w:t>
      </w:r>
      <w:r w:rsidR="00CB7983" w:rsidRPr="00977B37">
        <w:t>driftkompatibilitet och säkerhets</w:t>
      </w:r>
      <w:r w:rsidR="008F6B6C" w:rsidRPr="00977B37">
        <w:t>kommittén</w:t>
      </w:r>
      <w:r w:rsidR="00CB7983" w:rsidRPr="00977B37">
        <w:t>, oftast förkortad till DKS-kommittén</w:t>
      </w:r>
      <w:r w:rsidR="008F6B6C" w:rsidRPr="00977B37">
        <w:t xml:space="preserve">) </w:t>
      </w:r>
      <w:r w:rsidRPr="00977B37">
        <w:t>som skal</w:t>
      </w:r>
      <w:r w:rsidR="001D6CC0" w:rsidRPr="00977B37">
        <w:t>l biträda kommissionen vid</w:t>
      </w:r>
      <w:r w:rsidRPr="00977B37">
        <w:t xml:space="preserve"> beslut om</w:t>
      </w:r>
      <w:r w:rsidR="00DA2074" w:rsidRPr="00977B37">
        <w:t xml:space="preserve"> bl.a.</w:t>
      </w:r>
      <w:r w:rsidRPr="00977B37">
        <w:t xml:space="preserve"> </w:t>
      </w:r>
      <w:r w:rsidR="001971C4" w:rsidRPr="00977B37">
        <w:t xml:space="preserve">geografiskt </w:t>
      </w:r>
      <w:r w:rsidRPr="00977B37">
        <w:t>tillämpningsområde</w:t>
      </w:r>
      <w:r w:rsidR="001D6CC0" w:rsidRPr="00977B37">
        <w:t xml:space="preserve"> för de väsentliga kraven på järnvägsystem för konventionella tåg</w:t>
      </w:r>
      <w:r w:rsidR="006F5F6B" w:rsidRPr="00977B37">
        <w:t xml:space="preserve">. </w:t>
      </w:r>
    </w:p>
    <w:p w:rsidR="00414835" w:rsidRPr="00977B37" w:rsidRDefault="00414835" w:rsidP="00414835">
      <w:r w:rsidRPr="00977B37">
        <w:t>Artikel 2: Definitioner</w:t>
      </w:r>
    </w:p>
    <w:p w:rsidR="00843CFA" w:rsidRPr="00977B37" w:rsidRDefault="00843CFA" w:rsidP="00E84C77">
      <w:r w:rsidRPr="00977B37">
        <w:t xml:space="preserve">Mot bakgrund av de erfarenheter som vunnits under arbetet med att utveckla nu gällande TSD, föreslås </w:t>
      </w:r>
      <w:r w:rsidR="00DA2074" w:rsidRPr="00977B37">
        <w:t>nå</w:t>
      </w:r>
      <w:r w:rsidR="00B3754B" w:rsidRPr="00977B37">
        <w:t>gra nya definitioner samt justering av en befintlig.</w:t>
      </w:r>
    </w:p>
    <w:p w:rsidR="00843CFA" w:rsidRPr="00977B37" w:rsidRDefault="00843CFA" w:rsidP="00843CFA">
      <w:r w:rsidRPr="00977B37">
        <w:t>Artikel 6: Förfarande för utarbetande av TSD</w:t>
      </w:r>
    </w:p>
    <w:p w:rsidR="00B66A93" w:rsidRPr="00977B37" w:rsidRDefault="001D6CC0" w:rsidP="00E84C77">
      <w:r w:rsidRPr="00977B37">
        <w:t>Det nuvarande k</w:t>
      </w:r>
      <w:r w:rsidR="00C47D56" w:rsidRPr="00977B37">
        <w:t xml:space="preserve">ravet på att kommissionen skall fatta ett särskilt beslut om vilka grundparametrar en TSD skall </w:t>
      </w:r>
      <w:r w:rsidR="00DF7207" w:rsidRPr="00977B37">
        <w:t xml:space="preserve">byggas upp på </w:t>
      </w:r>
      <w:r w:rsidR="00C47D56" w:rsidRPr="00977B37">
        <w:t xml:space="preserve">föreslås strykas. </w:t>
      </w:r>
      <w:r w:rsidRPr="00977B37">
        <w:t xml:space="preserve">Kravet anses </w:t>
      </w:r>
      <w:r w:rsidR="00C47D56" w:rsidRPr="00977B37">
        <w:t>inte är motiverat p.g.a. att det i detta skede av arbetet inte är möjligt att på ett meningsfullt sätt skatta alternativa grundparametrars</w:t>
      </w:r>
      <w:r w:rsidR="009215FB" w:rsidRPr="00977B37">
        <w:t xml:space="preserve"> inverkan på de samhällsekonomiska </w:t>
      </w:r>
      <w:r w:rsidR="00C47D56" w:rsidRPr="00977B37">
        <w:t>nyttor</w:t>
      </w:r>
      <w:r w:rsidR="009215FB" w:rsidRPr="00977B37">
        <w:t xml:space="preserve"> </w:t>
      </w:r>
      <w:r w:rsidR="00C47D56" w:rsidRPr="00977B37">
        <w:t xml:space="preserve">och kostnader </w:t>
      </w:r>
      <w:r w:rsidR="00CB7983" w:rsidRPr="00977B37">
        <w:t>som en färdig</w:t>
      </w:r>
      <w:r w:rsidR="00C47D56" w:rsidRPr="00977B37">
        <w:t xml:space="preserve"> TSD</w:t>
      </w:r>
      <w:r w:rsidR="00DF7207" w:rsidRPr="00977B37">
        <w:t xml:space="preserve"> för med sig</w:t>
      </w:r>
      <w:r w:rsidR="00C47D56" w:rsidRPr="00977B37">
        <w:t>.</w:t>
      </w:r>
      <w:r w:rsidR="009215FB" w:rsidRPr="00977B37">
        <w:t xml:space="preserve"> En ny bestä</w:t>
      </w:r>
      <w:r w:rsidRPr="00977B37">
        <w:t>mmelse</w:t>
      </w:r>
      <w:r w:rsidR="009215FB" w:rsidRPr="00977B37">
        <w:t xml:space="preserve"> som ger kommissionen och DKS-kommittén möjlighet att delegera befogenhet till ERA att uppdatera tekniska bilagor till TSD</w:t>
      </w:r>
      <w:r w:rsidRPr="00977B37">
        <w:t xml:space="preserve"> föreslås också införas</w:t>
      </w:r>
      <w:r w:rsidR="009215FB" w:rsidRPr="00977B37">
        <w:t xml:space="preserve">. </w:t>
      </w:r>
    </w:p>
    <w:p w:rsidR="00B66A93" w:rsidRPr="00977B37" w:rsidRDefault="00B66A93" w:rsidP="00B66A93">
      <w:r w:rsidRPr="00977B37">
        <w:t>Artikel 7: Undantag från tillämpning av väsentliga krav på delsystem</w:t>
      </w:r>
    </w:p>
    <w:p w:rsidR="00A72133" w:rsidRPr="00977B37" w:rsidRDefault="00B66A93" w:rsidP="00E84C77">
      <w:r w:rsidRPr="00977B37">
        <w:t>För att förenkla tillämpni</w:t>
      </w:r>
      <w:r w:rsidR="001D6CC0" w:rsidRPr="00977B37">
        <w:t>ngen föreslås</w:t>
      </w:r>
      <w:r w:rsidRPr="00977B37">
        <w:t xml:space="preserve"> </w:t>
      </w:r>
      <w:r w:rsidR="0052782C" w:rsidRPr="00977B37">
        <w:t>nya</w:t>
      </w:r>
      <w:r w:rsidR="001D6CC0" w:rsidRPr="00977B37">
        <w:t xml:space="preserve"> förfarandebestämmelser</w:t>
      </w:r>
      <w:r w:rsidR="0099651C" w:rsidRPr="00977B37">
        <w:t>. De innehåller bl.a. ett tydligare angivande av de fall där medlemsländerna själva kan fatta beslut om att undanta ett eller flera delsystem från tillämpningen av direktivets väsentliga krav. De nya bestämmelserna</w:t>
      </w:r>
      <w:r w:rsidR="006C4BC2" w:rsidRPr="00977B37">
        <w:t xml:space="preserve"> ställer </w:t>
      </w:r>
      <w:r w:rsidR="0099651C" w:rsidRPr="00977B37">
        <w:t xml:space="preserve">också </w:t>
      </w:r>
      <w:r w:rsidR="000451D0" w:rsidRPr="00977B37">
        <w:t xml:space="preserve">något förenklade men </w:t>
      </w:r>
      <w:r w:rsidR="006C4BC2" w:rsidRPr="00977B37">
        <w:t>tydligare</w:t>
      </w:r>
      <w:r w:rsidR="00221182" w:rsidRPr="00977B37">
        <w:t xml:space="preserve"> krav på </w:t>
      </w:r>
      <w:r w:rsidRPr="00977B37">
        <w:t>medlemsländerna</w:t>
      </w:r>
      <w:r w:rsidR="006C4BC2" w:rsidRPr="00977B37">
        <w:t xml:space="preserve">s skyldighet att dokumentera och </w:t>
      </w:r>
      <w:r w:rsidR="00DF7207" w:rsidRPr="00977B37">
        <w:t xml:space="preserve">meddela övriga medlemsstater </w:t>
      </w:r>
      <w:r w:rsidR="006C4BC2" w:rsidRPr="00977B37">
        <w:t xml:space="preserve">i de fall de beslutat om </w:t>
      </w:r>
      <w:r w:rsidR="0099651C" w:rsidRPr="00977B37">
        <w:t>sådana undantag.</w:t>
      </w:r>
      <w:r w:rsidR="006C4BC2" w:rsidRPr="00977B37">
        <w:t xml:space="preserve"> Medlemsländernas skyldighet</w:t>
      </w:r>
      <w:r w:rsidR="00DF7207" w:rsidRPr="00977B37">
        <w:t xml:space="preserve"> att dokumentera och meddela</w:t>
      </w:r>
      <w:r w:rsidR="006C4BC2" w:rsidRPr="00977B37">
        <w:t xml:space="preserve"> rör i dessa fall de krav och tekniska specifikationer som skall användas istället för direktivets väsentliga krav</w:t>
      </w:r>
      <w:r w:rsidR="000451D0" w:rsidRPr="00977B37">
        <w:t xml:space="preserve"> och TSD</w:t>
      </w:r>
      <w:r w:rsidRPr="00977B37">
        <w:t>.</w:t>
      </w:r>
      <w:r w:rsidR="0099651C" w:rsidRPr="00977B37">
        <w:t xml:space="preserve"> </w:t>
      </w:r>
    </w:p>
    <w:p w:rsidR="009928B9" w:rsidRPr="00977B37" w:rsidRDefault="00A72133" w:rsidP="00A72133">
      <w:r w:rsidRPr="00977B37">
        <w:t>Artikel</w:t>
      </w:r>
      <w:r w:rsidR="009928B9" w:rsidRPr="00977B37">
        <w:t xml:space="preserve"> 10: Övergångsperiod för driftskompatibilitetskomponenter</w:t>
      </w:r>
    </w:p>
    <w:p w:rsidR="0000376F" w:rsidRPr="00977B37" w:rsidRDefault="00810BFA" w:rsidP="00E84C77">
      <w:r w:rsidRPr="00977B37">
        <w:t xml:space="preserve">En övergångsperiod </w:t>
      </w:r>
      <w:r w:rsidR="004B4573" w:rsidRPr="00977B37">
        <w:t xml:space="preserve">för användning av redan på marknaden existerande driftskompatibilitetskomponenter </w:t>
      </w:r>
      <w:r w:rsidRPr="00977B37">
        <w:t>skall kunna föreslås i varje ny TSD</w:t>
      </w:r>
      <w:r w:rsidR="0000376F" w:rsidRPr="00977B37">
        <w:t xml:space="preserve">. </w:t>
      </w:r>
      <w:r w:rsidR="004B4573" w:rsidRPr="00977B37">
        <w:t xml:space="preserve"> Erfarenheten har visat att de existerande komponenterna ofta behöver genomgå smärre justeringar för att helt och hållet uppfylla förändrade krav i en reviderad TSD. För dessa komponenter tillämpas under övergångsperioden endast de generella krav på driftskompatibilitetskomponenter som ställs i artikel 8. </w:t>
      </w:r>
      <w:r w:rsidR="001D6CC0" w:rsidRPr="00977B37">
        <w:t>D</w:t>
      </w:r>
      <w:r w:rsidR="004B4573" w:rsidRPr="00977B37">
        <w:t>en föreslagna lösningen möjliggör</w:t>
      </w:r>
      <w:r w:rsidR="001D6CC0" w:rsidRPr="00977B37">
        <w:t xml:space="preserve"> att</w:t>
      </w:r>
      <w:r w:rsidR="00D11268" w:rsidRPr="00977B37">
        <w:t xml:space="preserve"> producenterna av såväl delsystem som driftskompatibilitetskomponenter</w:t>
      </w:r>
      <w:r w:rsidR="0000376F" w:rsidRPr="00977B37">
        <w:t xml:space="preserve"> inte </w:t>
      </w:r>
      <w:r w:rsidR="001D6CC0" w:rsidRPr="00977B37">
        <w:t xml:space="preserve">behöver </w:t>
      </w:r>
      <w:r w:rsidR="0000376F" w:rsidRPr="00977B37">
        <w:t xml:space="preserve">stoppa </w:t>
      </w:r>
      <w:r w:rsidR="001D6CC0" w:rsidRPr="00977B37">
        <w:t xml:space="preserve">all produktion </w:t>
      </w:r>
      <w:r w:rsidR="0000376F" w:rsidRPr="00977B37">
        <w:t>i avvaktan på att</w:t>
      </w:r>
      <w:r w:rsidR="004B4573" w:rsidRPr="00977B37">
        <w:t xml:space="preserve"> design</w:t>
      </w:r>
      <w:r w:rsidR="00D11268" w:rsidRPr="00977B37">
        <w:t xml:space="preserve"> </w:t>
      </w:r>
      <w:r w:rsidR="004B4573" w:rsidRPr="00977B37">
        <w:t>av och produktionsprocess</w:t>
      </w:r>
      <w:r w:rsidR="0000376F" w:rsidRPr="00977B37">
        <w:t xml:space="preserve"> </w:t>
      </w:r>
      <w:r w:rsidR="00D11268" w:rsidRPr="00977B37">
        <w:t xml:space="preserve">för existerande driftskompatibilitetskomponenter helt </w:t>
      </w:r>
      <w:r w:rsidR="006F0D4B" w:rsidRPr="00977B37">
        <w:t xml:space="preserve">och hållet </w:t>
      </w:r>
      <w:r w:rsidR="00D11268" w:rsidRPr="00977B37">
        <w:t>anpassats till</w:t>
      </w:r>
      <w:r w:rsidR="004B4573" w:rsidRPr="00977B37">
        <w:t xml:space="preserve">  delvis nya krav i reviderade TSD</w:t>
      </w:r>
      <w:r w:rsidR="0000376F" w:rsidRPr="00977B37">
        <w:t>.</w:t>
      </w:r>
      <w:r w:rsidRPr="00977B37">
        <w:t xml:space="preserve"> </w:t>
      </w:r>
    </w:p>
    <w:p w:rsidR="0010543E" w:rsidRPr="00977B37" w:rsidRDefault="0000376F" w:rsidP="0000376F">
      <w:r w:rsidRPr="00977B37">
        <w:t xml:space="preserve">Artikel 14: </w:t>
      </w:r>
      <w:r w:rsidR="0010543E" w:rsidRPr="00977B37">
        <w:t>Förfarande för ibruktagande av rullande materiel</w:t>
      </w:r>
    </w:p>
    <w:p w:rsidR="006F0D4B" w:rsidRPr="00977B37" w:rsidRDefault="007152D5" w:rsidP="00E84C77">
      <w:r w:rsidRPr="00977B37">
        <w:t>B</w:t>
      </w:r>
      <w:r w:rsidR="0010543E" w:rsidRPr="00977B37">
        <w:t xml:space="preserve">estämmelserna ändras i syfte att förenkla </w:t>
      </w:r>
      <w:r w:rsidR="009F3175" w:rsidRPr="00977B37">
        <w:t>för innehav</w:t>
      </w:r>
      <w:r w:rsidR="00D11268" w:rsidRPr="00977B37">
        <w:t>a</w:t>
      </w:r>
      <w:r w:rsidR="009F3175" w:rsidRPr="00977B37">
        <w:t xml:space="preserve">ren av ett järnvägsfordon att få detta godkänt för användning av de </w:t>
      </w:r>
      <w:r w:rsidR="0010543E" w:rsidRPr="00977B37">
        <w:t>behörig</w:t>
      </w:r>
      <w:r w:rsidR="009F3175" w:rsidRPr="00977B37">
        <w:t>a</w:t>
      </w:r>
      <w:r w:rsidR="0010543E" w:rsidRPr="00977B37">
        <w:t xml:space="preserve"> nationell</w:t>
      </w:r>
      <w:r w:rsidR="009F3175" w:rsidRPr="00977B37">
        <w:t>a</w:t>
      </w:r>
      <w:r w:rsidR="0010543E" w:rsidRPr="00977B37">
        <w:t xml:space="preserve"> </w:t>
      </w:r>
      <w:r w:rsidR="009F3175" w:rsidRPr="00977B37">
        <w:t>myndigheterna i de länder fordonet skall användas.</w:t>
      </w:r>
      <w:r w:rsidR="0010543E" w:rsidRPr="00977B37">
        <w:t xml:space="preserve"> För rullande materiel som tas i bruk efter tidpunkten för ikraftträdande </w:t>
      </w:r>
      <w:r w:rsidR="00EE4D83" w:rsidRPr="00977B37">
        <w:t>av det föreslagna</w:t>
      </w:r>
      <w:r w:rsidR="0010543E" w:rsidRPr="00977B37">
        <w:t xml:space="preserve"> direktivet </w:t>
      </w:r>
      <w:r w:rsidR="00EE4D83" w:rsidRPr="00977B37">
        <w:t xml:space="preserve">om driftskompatibilitet </w:t>
      </w:r>
      <w:r w:rsidR="0010543E" w:rsidRPr="00977B37">
        <w:t>skall det i TSD framgå om det endast behövs en nationell myndighets godkännandebeslut för att materielen ifråga får</w:t>
      </w:r>
      <w:r w:rsidR="006F0D4B" w:rsidRPr="00977B37">
        <w:t>, inklusive under vilka villkor,</w:t>
      </w:r>
      <w:r w:rsidR="0010543E" w:rsidRPr="00977B37">
        <w:t xml:space="preserve"> användas i hela gemenskapen. </w:t>
      </w:r>
    </w:p>
    <w:p w:rsidR="006F0D4B" w:rsidRPr="00977B37" w:rsidRDefault="0010543E" w:rsidP="00E84C77">
      <w:r w:rsidRPr="00977B37">
        <w:t xml:space="preserve">För </w:t>
      </w:r>
      <w:r w:rsidR="00EE4D83" w:rsidRPr="00977B37">
        <w:t xml:space="preserve">rullande materiel som tagits i bruk innan detta direktiv trätt ikraft och för vilken det utfärdats en EG-kontrollförklaring skall det även fortsättningsvis krävas beslut om godkännande från varje behörig nationell myndighet i de länder i vilken materielen skall användas. </w:t>
      </w:r>
      <w:r w:rsidR="009F3175" w:rsidRPr="00977B37">
        <w:t>Myndighetens prövning föreslås dock inskränkas till ett up</w:t>
      </w:r>
      <w:r w:rsidR="00B3754B" w:rsidRPr="00977B37">
        <w:t>präknat fåtal</w:t>
      </w:r>
      <w:r w:rsidR="009F3175" w:rsidRPr="00977B37">
        <w:t xml:space="preserve"> antal aspekter.</w:t>
      </w:r>
      <w:r w:rsidR="00EE4D83" w:rsidRPr="00977B37">
        <w:t xml:space="preserve"> </w:t>
      </w:r>
    </w:p>
    <w:p w:rsidR="00A3386D" w:rsidRPr="00977B37" w:rsidRDefault="009F3175" w:rsidP="00E84C77">
      <w:r w:rsidRPr="00977B37">
        <w:t>För rullande materiel för vilken det inte utfärdats en EG-kontrollförklaring (rullande materiel som tagits i bruk innan några EG-bestämmelser om driftskompatibilitet hade trätt i kraft och som därefter inte heller byggts om) s</w:t>
      </w:r>
      <w:r w:rsidR="00F235BE" w:rsidRPr="00977B37">
        <w:t>kall bestämmelserna</w:t>
      </w:r>
      <w:r w:rsidRPr="00977B37">
        <w:t xml:space="preserve"> i järnvägssäkerhetsdirektivet (2004/49/EG) tillämpas. </w:t>
      </w:r>
    </w:p>
    <w:p w:rsidR="009D769C" w:rsidRPr="00977B37" w:rsidRDefault="006F0D4B" w:rsidP="00E84C77">
      <w:r w:rsidRPr="00977B37">
        <w:t>Behöriga nationella myndigheter föreslås slutligen få möjlighet att, i samband med beviljande av säkerhetsintyg och säkerhetstillstånd, k</w:t>
      </w:r>
      <w:r w:rsidR="007152D5" w:rsidRPr="00977B37">
        <w:t>ontroll</w:t>
      </w:r>
      <w:r w:rsidRPr="00977B37">
        <w:t xml:space="preserve">era att </w:t>
      </w:r>
      <w:r w:rsidR="00A3386D" w:rsidRPr="00977B37">
        <w:t>del</w:t>
      </w:r>
      <w:r w:rsidRPr="00977B37">
        <w:t xml:space="preserve">system som redan tagits i bruk också </w:t>
      </w:r>
      <w:r w:rsidR="00A3386D" w:rsidRPr="00977B37">
        <w:t xml:space="preserve">drivs och underhålls i enlighet med de väsentliga krav </w:t>
      </w:r>
      <w:r w:rsidRPr="00977B37">
        <w:t>som gäller för dem.</w:t>
      </w:r>
    </w:p>
    <w:p w:rsidR="009D769C" w:rsidRPr="00977B37" w:rsidRDefault="009D769C" w:rsidP="009D769C">
      <w:r w:rsidRPr="00977B37">
        <w:t>Artikel 16: Specialfall och nationella bestämmelser</w:t>
      </w:r>
    </w:p>
    <w:p w:rsidR="009D769C" w:rsidRPr="00977B37" w:rsidRDefault="003510FF" w:rsidP="00E84C77">
      <w:r w:rsidRPr="00977B37">
        <w:t xml:space="preserve">Medlemsstaterna föreslås i fortsättningen endast behöva </w:t>
      </w:r>
      <w:r w:rsidR="009D769C" w:rsidRPr="00977B37">
        <w:t xml:space="preserve">anmäla </w:t>
      </w:r>
      <w:r w:rsidRPr="00977B37">
        <w:t xml:space="preserve">till kommissionen </w:t>
      </w:r>
      <w:r w:rsidR="009D769C" w:rsidRPr="00977B37">
        <w:t xml:space="preserve">vilka nationella tekniska bestämmelser som används </w:t>
      </w:r>
      <w:r w:rsidRPr="00977B37">
        <w:t xml:space="preserve">för att fylla ut </w:t>
      </w:r>
      <w:r w:rsidR="009D769C" w:rsidRPr="00977B37">
        <w:t>s.k. öppna punkter</w:t>
      </w:r>
      <w:r w:rsidRPr="00977B37">
        <w:t xml:space="preserve"> i en TSD. Samma sak gäller </w:t>
      </w:r>
      <w:r w:rsidR="009D769C" w:rsidRPr="00977B37">
        <w:t xml:space="preserve">när en TSD innehåller </w:t>
      </w:r>
      <w:r w:rsidR="007152D5" w:rsidRPr="00977B37">
        <w:t xml:space="preserve">s.k. </w:t>
      </w:r>
      <w:r w:rsidR="009D769C" w:rsidRPr="00977B37">
        <w:t>specialfall (</w:t>
      </w:r>
      <w:r w:rsidR="007152D5" w:rsidRPr="00977B37">
        <w:t xml:space="preserve">i TSD </w:t>
      </w:r>
      <w:r w:rsidR="00CB7983" w:rsidRPr="00977B37">
        <w:t>angivna</w:t>
      </w:r>
      <w:r w:rsidR="009D769C" w:rsidRPr="00977B37">
        <w:t xml:space="preserve"> nationella undantag), eller om ett delsystem är helt undant</w:t>
      </w:r>
      <w:r w:rsidRPr="00977B37">
        <w:t>aget från att omfattas av de väsentliga kraven</w:t>
      </w:r>
      <w:r w:rsidR="009D769C" w:rsidRPr="00977B37">
        <w:t xml:space="preserve">.  </w:t>
      </w:r>
    </w:p>
    <w:p w:rsidR="0010543E" w:rsidRPr="00977B37" w:rsidRDefault="009D769C" w:rsidP="009D769C">
      <w:r w:rsidRPr="00977B37">
        <w:t>Artikel 17: Brådskande ändring av TSD</w:t>
      </w:r>
      <w:r w:rsidR="00A3386D" w:rsidRPr="00977B37">
        <w:t xml:space="preserve"> </w:t>
      </w:r>
    </w:p>
    <w:p w:rsidR="00BC5402" w:rsidRPr="00977B37" w:rsidRDefault="00810BFA" w:rsidP="00E84C77">
      <w:r w:rsidRPr="00977B37">
        <w:t xml:space="preserve"> </w:t>
      </w:r>
      <w:r w:rsidR="00BC5402" w:rsidRPr="00977B37">
        <w:t>En ny bestämmelse</w:t>
      </w:r>
      <w:r w:rsidR="0026444D" w:rsidRPr="00977B37">
        <w:t xml:space="preserve"> </w:t>
      </w:r>
      <w:r w:rsidR="00BC5402" w:rsidRPr="00977B37">
        <w:t xml:space="preserve">har införts i </w:t>
      </w:r>
      <w:r w:rsidR="0026444D" w:rsidRPr="00977B37">
        <w:t>syfte att möjliggöra en slags intermistisk lösning under den tid översyn av en felaktig TSD pågår</w:t>
      </w:r>
      <w:r w:rsidR="003510FF" w:rsidRPr="00977B37">
        <w:t>. I dessa fall skall ERA</w:t>
      </w:r>
      <w:r w:rsidR="00BC5402" w:rsidRPr="00977B37">
        <w:t xml:space="preserve"> göra ett teknisk utlåtande om villkor</w:t>
      </w:r>
      <w:r w:rsidR="003510FF" w:rsidRPr="00977B37">
        <w:t>en</w:t>
      </w:r>
      <w:r w:rsidR="00BC5402" w:rsidRPr="00977B37">
        <w:t xml:space="preserve"> för användning av </w:t>
      </w:r>
      <w:r w:rsidR="003510FF" w:rsidRPr="00977B37">
        <w:t xml:space="preserve">de </w:t>
      </w:r>
      <w:r w:rsidR="00BC5402" w:rsidRPr="00977B37">
        <w:t xml:space="preserve">delsystem </w:t>
      </w:r>
      <w:r w:rsidR="003510FF" w:rsidRPr="00977B37">
        <w:t xml:space="preserve">som är </w:t>
      </w:r>
      <w:r w:rsidR="00BC5402" w:rsidRPr="00977B37">
        <w:t>tillverkade i enlighet med en felaktig TSD. Kommissionen skall sedan bestämma om utlåtandet kan användas i avvaktan på genomförandet av en formel</w:t>
      </w:r>
      <w:r w:rsidR="003D5496" w:rsidRPr="00977B37">
        <w:t xml:space="preserve">l revision av den </w:t>
      </w:r>
      <w:r w:rsidR="00A40FF4" w:rsidRPr="00977B37">
        <w:t xml:space="preserve">TSD som visat sig vara </w:t>
      </w:r>
      <w:r w:rsidR="003D5496" w:rsidRPr="00977B37">
        <w:t>felaktig</w:t>
      </w:r>
      <w:r w:rsidR="007152D5" w:rsidRPr="00977B37">
        <w:t>.</w:t>
      </w:r>
    </w:p>
    <w:p w:rsidR="00227EF2" w:rsidRPr="00977B37" w:rsidRDefault="00227EF2" w:rsidP="00BC5402">
      <w:r w:rsidRPr="00977B37">
        <w:t>Artikel 18: Intyg om delkontroll</w:t>
      </w:r>
    </w:p>
    <w:p w:rsidR="00A931B2" w:rsidRPr="00977B37" w:rsidRDefault="003510FF" w:rsidP="00E84C77">
      <w:r w:rsidRPr="00977B37">
        <w:t>B</w:t>
      </w:r>
      <w:r w:rsidR="00A931B2" w:rsidRPr="00977B37">
        <w:t>estämmelse</w:t>
      </w:r>
      <w:r w:rsidRPr="00977B37">
        <w:t>n</w:t>
      </w:r>
      <w:r w:rsidR="00A931B2" w:rsidRPr="00977B37">
        <w:t xml:space="preserve"> har tillkommit för att tillverkarna av järnvägsmateriel </w:t>
      </w:r>
      <w:r w:rsidRPr="00977B37">
        <w:t xml:space="preserve">skall kunna sälja </w:t>
      </w:r>
      <w:r w:rsidR="00A931B2" w:rsidRPr="00977B37">
        <w:t xml:space="preserve">delsystem </w:t>
      </w:r>
      <w:r w:rsidRPr="00977B37">
        <w:t xml:space="preserve">som inte är färdiga. </w:t>
      </w:r>
      <w:r w:rsidR="001A337F" w:rsidRPr="00977B37">
        <w:t xml:space="preserve">I bilaga IV till direktivet anges efter vilka faser ett intyg om delkontroll kan utfärdas. Intyg om delkontroll skall också kunna utfärdas för delar av delsystem. </w:t>
      </w:r>
      <w:r w:rsidR="007152D5" w:rsidRPr="00977B37">
        <w:t>Intyget om</w:t>
      </w:r>
      <w:r w:rsidR="00A931B2" w:rsidRPr="00977B37">
        <w:t xml:space="preserve"> delkontroll ger en köpare </w:t>
      </w:r>
      <w:r w:rsidR="00493830" w:rsidRPr="00977B37">
        <w:t xml:space="preserve">av ett delvis färdigt delsystem </w:t>
      </w:r>
      <w:r w:rsidR="00A931B2" w:rsidRPr="00977B37">
        <w:t>ett kvitto på att delsystemet u</w:t>
      </w:r>
      <w:r w:rsidR="001A337F" w:rsidRPr="00977B37">
        <w:t>p</w:t>
      </w:r>
      <w:r w:rsidR="00493830" w:rsidRPr="00977B37">
        <w:t xml:space="preserve">pfyller samtliga krav i </w:t>
      </w:r>
      <w:r w:rsidR="001A337F" w:rsidRPr="00977B37">
        <w:t>de faser av projekterings- elle</w:t>
      </w:r>
      <w:r w:rsidR="00493830" w:rsidRPr="00977B37">
        <w:t>r tillverkningsprocessen som delsystemet</w:t>
      </w:r>
      <w:r w:rsidR="001A337F" w:rsidRPr="00977B37">
        <w:t xml:space="preserve"> genomgått.</w:t>
      </w:r>
      <w:r w:rsidR="00A931B2" w:rsidRPr="00977B37">
        <w:t xml:space="preserve">  </w:t>
      </w:r>
    </w:p>
    <w:p w:rsidR="00A931B2" w:rsidRPr="00977B37" w:rsidRDefault="00A931B2" w:rsidP="00A931B2">
      <w:r w:rsidRPr="00977B37">
        <w:t>Artikel 23: Arbetsprogram för TSD-utvecklingsarbetet</w:t>
      </w:r>
    </w:p>
    <w:p w:rsidR="001A4729" w:rsidRPr="00977B37" w:rsidRDefault="001A4729" w:rsidP="00E84C77">
      <w:r w:rsidRPr="00977B37">
        <w:t xml:space="preserve">Denna artikel uppdateras </w:t>
      </w:r>
      <w:r w:rsidR="001A337F" w:rsidRPr="00977B37">
        <w:t xml:space="preserve">endast </w:t>
      </w:r>
      <w:r w:rsidRPr="00977B37">
        <w:t>mot bakgrund av det redan utförda TSD-utvecklingsarbetet.</w:t>
      </w:r>
    </w:p>
    <w:p w:rsidR="001A4729" w:rsidRPr="00977B37" w:rsidRDefault="001A4729" w:rsidP="001A4729">
      <w:r w:rsidRPr="00977B37">
        <w:t>Artikel 24: Register över infrastruktur och rullande materiel</w:t>
      </w:r>
    </w:p>
    <w:p w:rsidR="00810BFA" w:rsidRPr="00977B37" w:rsidRDefault="00C1270F" w:rsidP="00E84C77">
      <w:r w:rsidRPr="00977B37">
        <w:t xml:space="preserve">Gällande bestämmelser om </w:t>
      </w:r>
      <w:r w:rsidR="00E41CDE" w:rsidRPr="00977B37">
        <w:t>typ</w:t>
      </w:r>
      <w:r w:rsidRPr="00977B37">
        <w:t>register över fordon och infrastruktur föreslås bli kompletterad med en bestämmelse som ger kommissionen rätt att på ERA</w:t>
      </w:r>
      <w:r w:rsidR="003D5496" w:rsidRPr="00977B37">
        <w:t>:</w:t>
      </w:r>
      <w:r w:rsidRPr="00977B37">
        <w:t xml:space="preserve">s förslag </w:t>
      </w:r>
      <w:r w:rsidR="00E41CDE" w:rsidRPr="00977B37">
        <w:t xml:space="preserve">och efter hörande av DKS-kommittén </w:t>
      </w:r>
      <w:r w:rsidRPr="00977B37">
        <w:t xml:space="preserve">anta en handledning rörande </w:t>
      </w:r>
      <w:r w:rsidR="00E41CDE" w:rsidRPr="00977B37">
        <w:t>dessa</w:t>
      </w:r>
      <w:r w:rsidRPr="00977B37">
        <w:t xml:space="preserve"> </w:t>
      </w:r>
      <w:r w:rsidR="00E41CDE" w:rsidRPr="00977B37">
        <w:t>registers</w:t>
      </w:r>
      <w:r w:rsidRPr="00977B37">
        <w:t xml:space="preserve"> format, uppdateringsintervall och användningssätt.</w:t>
      </w:r>
      <w:r w:rsidR="00E41CDE" w:rsidRPr="00977B37">
        <w:t xml:space="preserve"> Handledningen föreslås även få innehålla tillämpningsföreskrifter avseende fordon och infrastruktur som i övrigt inte omfattas av d</w:t>
      </w:r>
      <w:r w:rsidR="001A337F" w:rsidRPr="00977B37">
        <w:t>riftskompatibilitets</w:t>
      </w:r>
      <w:r w:rsidR="00E41CDE" w:rsidRPr="00977B37">
        <w:t>direktivets bestämmelser.</w:t>
      </w:r>
      <w:r w:rsidRPr="00977B37">
        <w:t xml:space="preserve"> </w:t>
      </w:r>
      <w:r w:rsidR="00A931B2" w:rsidRPr="00977B37">
        <w:t xml:space="preserve"> </w:t>
      </w:r>
      <w:r w:rsidR="00227EF2" w:rsidRPr="00977B37">
        <w:t xml:space="preserve">  </w:t>
      </w:r>
      <w:r w:rsidR="00BC5402" w:rsidRPr="00977B37">
        <w:t xml:space="preserve"> </w:t>
      </w:r>
      <w:r w:rsidR="0026444D" w:rsidRPr="00977B37">
        <w:t xml:space="preserve"> </w:t>
      </w:r>
    </w:p>
    <w:p w:rsidR="00E11479" w:rsidRPr="00977B37" w:rsidRDefault="00E11479">
      <w:pPr>
        <w:pStyle w:val="Rubrik2"/>
      </w:pPr>
      <w:r w:rsidRPr="00977B37">
        <w:t>Gällande svenska regler och förslagets effekt på dessa</w:t>
      </w:r>
    </w:p>
    <w:p w:rsidR="00803DDD" w:rsidRPr="00977B37" w:rsidRDefault="00141B31">
      <w:r w:rsidRPr="00977B37">
        <w:t>Gällande svenska bestämmelser återfinns i 2 kap. järnvägslagen (2004:519), 2. kap. järnvägsförordningen (2004:526) och i föreskrifter utfärdade av Järnvägsstyrelsen. D</w:t>
      </w:r>
      <w:r w:rsidR="00D36472" w:rsidRPr="00977B37">
        <w:t xml:space="preserve">essa bestämmelser behöver dock i vissa avseenden </w:t>
      </w:r>
      <w:r w:rsidR="00803DDD" w:rsidRPr="00977B37">
        <w:t>ändras för att</w:t>
      </w:r>
      <w:r w:rsidR="00D36472" w:rsidRPr="00977B37">
        <w:t xml:space="preserve"> det s.k. andra järnvägspaketets bestämmelser</w:t>
      </w:r>
      <w:r w:rsidR="00803DDD" w:rsidRPr="00977B37">
        <w:t xml:space="preserve"> skall kunna införlivas i svensk rätt</w:t>
      </w:r>
      <w:r w:rsidR="00D36472" w:rsidRPr="00977B37">
        <w:t xml:space="preserve">. </w:t>
      </w:r>
      <w:r w:rsidR="003D5496" w:rsidRPr="00977B37">
        <w:t>Ett förslag</w:t>
      </w:r>
      <w:r w:rsidR="009A0F4D" w:rsidRPr="00977B37">
        <w:t xml:space="preserve"> </w:t>
      </w:r>
      <w:r w:rsidR="0088731D" w:rsidRPr="00977B37">
        <w:t>på hur det</w:t>
      </w:r>
      <w:r w:rsidR="00803DDD" w:rsidRPr="00977B37">
        <w:t>ta bör gå till</w:t>
      </w:r>
      <w:r w:rsidR="0088731D" w:rsidRPr="00977B37">
        <w:t xml:space="preserve"> har </w:t>
      </w:r>
      <w:r w:rsidR="00D36472" w:rsidRPr="00977B37">
        <w:t xml:space="preserve">nyligen </w:t>
      </w:r>
      <w:r w:rsidRPr="00977B37">
        <w:t>remiss</w:t>
      </w:r>
      <w:r w:rsidR="0088731D" w:rsidRPr="00977B37">
        <w:t>behandlats av lagrådet</w:t>
      </w:r>
      <w:r w:rsidR="003D5496" w:rsidRPr="00977B37">
        <w:t xml:space="preserve"> (Andra järnvägspaketet – fortsatt EU-harmonisering av järnvägslagstiftningen, lagrådsremiss 30 september 2006)</w:t>
      </w:r>
      <w:r w:rsidR="00803DDD" w:rsidRPr="00977B37">
        <w:t>. För närvarande arbetar Näringsdepartementet med att omarbeta lagrådsremissen till ett förslag till proposition, som kan föreläggas</w:t>
      </w:r>
      <w:r w:rsidR="00D36472" w:rsidRPr="00977B37">
        <w:t xml:space="preserve"> riksdagen för beslut under</w:t>
      </w:r>
      <w:r w:rsidRPr="00977B37">
        <w:t xml:space="preserve"> våren 2007</w:t>
      </w:r>
      <w:r w:rsidR="0088731D" w:rsidRPr="00977B37">
        <w:t xml:space="preserve">. </w:t>
      </w:r>
    </w:p>
    <w:p w:rsidR="00E11479" w:rsidRPr="00977B37" w:rsidRDefault="00BF2979">
      <w:r w:rsidRPr="00977B37">
        <w:t>Någon de</w:t>
      </w:r>
      <w:r w:rsidR="00803DDD" w:rsidRPr="00977B37">
        <w:t>taljerad genomgång av det föreslagna driftskompatibilitetsdirektivets</w:t>
      </w:r>
      <w:r w:rsidRPr="00977B37">
        <w:t xml:space="preserve"> effekter </w:t>
      </w:r>
      <w:r w:rsidR="00141B31" w:rsidRPr="00977B37">
        <w:t>har ännu inte gjorts, vare sig i förhållande till</w:t>
      </w:r>
      <w:r w:rsidRPr="00977B37">
        <w:t xml:space="preserve"> </w:t>
      </w:r>
      <w:r w:rsidR="00141B31" w:rsidRPr="00977B37">
        <w:t xml:space="preserve">de </w:t>
      </w:r>
      <w:r w:rsidRPr="00977B37">
        <w:t xml:space="preserve">befintliga </w:t>
      </w:r>
      <w:r w:rsidR="00141B31" w:rsidRPr="00977B37">
        <w:t xml:space="preserve">eller de i lagrådsremissen föreslagna </w:t>
      </w:r>
      <w:r w:rsidRPr="00977B37">
        <w:t>svenska bestämmelser</w:t>
      </w:r>
      <w:r w:rsidR="00141B31" w:rsidRPr="00977B37">
        <w:t>na.</w:t>
      </w:r>
      <w:r w:rsidRPr="00977B37">
        <w:t xml:space="preserve"> En preliminär bedömning är att effekterna</w:t>
      </w:r>
      <w:r w:rsidR="00803DDD" w:rsidRPr="00977B37">
        <w:t xml:space="preserve"> </w:t>
      </w:r>
      <w:r w:rsidR="000D61BF" w:rsidRPr="00977B37">
        <w:t xml:space="preserve">i förhållande till förslagen i lagrådsremissen blir ganska små och i huvudsak kommer att beröra </w:t>
      </w:r>
      <w:r w:rsidR="00BB699C" w:rsidRPr="00977B37">
        <w:t xml:space="preserve">järnvägsförordningen (2004:526) och </w:t>
      </w:r>
      <w:r w:rsidR="000D61BF" w:rsidRPr="00977B37">
        <w:t xml:space="preserve">Järnvägsstyrelsens föreskrifter. </w:t>
      </w:r>
      <w:r w:rsidRPr="00977B37">
        <w:t xml:space="preserve">  </w:t>
      </w:r>
    </w:p>
    <w:p w:rsidR="00E11479" w:rsidRPr="00977B37" w:rsidRDefault="00E11479">
      <w:pPr>
        <w:pStyle w:val="Rubrik2"/>
      </w:pPr>
      <w:r w:rsidRPr="00977B37">
        <w:t>Budgetära konsekvenser</w:t>
      </w:r>
    </w:p>
    <w:p w:rsidR="00E11479" w:rsidRPr="00977B37" w:rsidRDefault="00DA2074">
      <w:r w:rsidRPr="00977B37">
        <w:t xml:space="preserve">En preliminär bedömning är att förslaget får små eller inga </w:t>
      </w:r>
      <w:r w:rsidR="00BB699C" w:rsidRPr="00977B37">
        <w:t xml:space="preserve">negativa </w:t>
      </w:r>
      <w:r w:rsidRPr="00977B37">
        <w:t xml:space="preserve">konsekvenser för statsbudgeten och berörda svenska aktörer. </w:t>
      </w:r>
      <w:r w:rsidR="00BB699C" w:rsidRPr="00977B37">
        <w:t>På längre sikt bör förslaget kunna leda till kostnadsbesparingar för såväl Järnvägstyrelsen</w:t>
      </w:r>
      <w:r w:rsidR="003B3C8D" w:rsidRPr="00977B37">
        <w:t xml:space="preserve"> som brukarna</w:t>
      </w:r>
      <w:r w:rsidR="00BB699C" w:rsidRPr="00977B37">
        <w:t xml:space="preserve"> av järnvägsmateriel</w:t>
      </w:r>
      <w:r w:rsidR="003B3C8D" w:rsidRPr="00977B37">
        <w:t xml:space="preserve"> och järnvägsutrustningsindustrin</w:t>
      </w:r>
      <w:r w:rsidR="00BB699C" w:rsidRPr="00977B37">
        <w:t xml:space="preserve">. </w:t>
      </w:r>
    </w:p>
    <w:p w:rsidR="00E11479" w:rsidRPr="00977B37" w:rsidRDefault="00E11479">
      <w:pPr>
        <w:pStyle w:val="Rubrik1"/>
      </w:pPr>
      <w:r w:rsidRPr="00977B37">
        <w:t>Ståndpunkter</w:t>
      </w:r>
    </w:p>
    <w:p w:rsidR="00E11479" w:rsidRPr="00977B37" w:rsidRDefault="00E11479">
      <w:pPr>
        <w:pStyle w:val="Rubrik2"/>
      </w:pPr>
      <w:r w:rsidRPr="00977B37">
        <w:t>Svensk ståndpunkt</w:t>
      </w:r>
    </w:p>
    <w:p w:rsidR="00E11479" w:rsidRPr="00977B37" w:rsidRDefault="00327860">
      <w:r w:rsidRPr="00977B37">
        <w:t xml:space="preserve">Sveriges ståndpunkt är ännu så länge preliminär, eftersom detaljerna i förslaget ännu inte har diskuterats med berörda intressenter. </w:t>
      </w:r>
      <w:r w:rsidR="006B4E9A" w:rsidRPr="00977B37">
        <w:t xml:space="preserve">Sverige </w:t>
      </w:r>
      <w:r w:rsidR="00EC216B" w:rsidRPr="00977B37">
        <w:t>ser positivt på</w:t>
      </w:r>
      <w:r w:rsidR="006B4E9A" w:rsidRPr="00977B37">
        <w:t xml:space="preserve"> att</w:t>
      </w:r>
      <w:r w:rsidRPr="00977B37">
        <w:t xml:space="preserve"> </w:t>
      </w:r>
      <w:r w:rsidR="00EC216B" w:rsidRPr="00977B37">
        <w:t xml:space="preserve">de EG-rättsliga bestämmelserna om </w:t>
      </w:r>
      <w:r w:rsidR="003D5496" w:rsidRPr="00977B37">
        <w:t xml:space="preserve">driftskompatibilitet rörande </w:t>
      </w:r>
      <w:r w:rsidR="00EC216B" w:rsidRPr="00977B37">
        <w:t xml:space="preserve">myndigheters godkännande av </w:t>
      </w:r>
      <w:r w:rsidR="003D5496" w:rsidRPr="00977B37">
        <w:t xml:space="preserve">ibruktagande av </w:t>
      </w:r>
      <w:r w:rsidR="00EC216B" w:rsidRPr="00977B37">
        <w:t>järnvägsmateriel</w:t>
      </w:r>
      <w:r w:rsidR="006B4E9A" w:rsidRPr="00977B37">
        <w:t xml:space="preserve"> </w:t>
      </w:r>
      <w:r w:rsidR="00EC216B" w:rsidRPr="00977B37">
        <w:t>ändras i syfte</w:t>
      </w:r>
      <w:r w:rsidR="006B4E9A" w:rsidRPr="00977B37">
        <w:t xml:space="preserve"> att minska ledtider och administrativa kostnader</w:t>
      </w:r>
      <w:r w:rsidR="00EC216B" w:rsidRPr="00977B37">
        <w:t xml:space="preserve"> förknippade med sådana beslut.</w:t>
      </w:r>
      <w:r w:rsidR="006B4E9A" w:rsidRPr="00977B37">
        <w:t xml:space="preserve"> Sverige </w:t>
      </w:r>
      <w:r w:rsidR="00A40FF4" w:rsidRPr="00977B37">
        <w:t>är positivt inställt till</w:t>
      </w:r>
      <w:r w:rsidR="00EC216B" w:rsidRPr="00977B37">
        <w:t xml:space="preserve"> att </w:t>
      </w:r>
      <w:r w:rsidR="00F77B63" w:rsidRPr="00977B37">
        <w:t xml:space="preserve">järnvägssystemets </w:t>
      </w:r>
      <w:r w:rsidR="00A40FF4" w:rsidRPr="00977B37">
        <w:t>driftskompatibilitet</w:t>
      </w:r>
      <w:r w:rsidR="00EC216B" w:rsidRPr="00977B37">
        <w:t xml:space="preserve"> </w:t>
      </w:r>
      <w:r w:rsidR="00A40FF4" w:rsidRPr="00977B37">
        <w:t xml:space="preserve">fortsättningsvis </w:t>
      </w:r>
      <w:r w:rsidR="00EC216B" w:rsidRPr="00977B37">
        <w:t>regleras i ett istället för</w:t>
      </w:r>
      <w:r w:rsidRPr="00977B37">
        <w:t xml:space="preserve"> två direktiv. Slutligen </w:t>
      </w:r>
      <w:r w:rsidR="00D908A2" w:rsidRPr="00977B37">
        <w:t>stödjer</w:t>
      </w:r>
      <w:r w:rsidR="00EC216B" w:rsidRPr="00977B37">
        <w:t xml:space="preserve"> Sverige </w:t>
      </w:r>
      <w:r w:rsidR="003B3C8D" w:rsidRPr="00977B37">
        <w:t>att</w:t>
      </w:r>
      <w:r w:rsidR="00F77B63" w:rsidRPr="00977B37">
        <w:t xml:space="preserve"> vissa justeringar görs av</w:t>
      </w:r>
      <w:r w:rsidR="003B3C8D" w:rsidRPr="00977B37">
        <w:t xml:space="preserve"> de</w:t>
      </w:r>
      <w:r w:rsidR="00EC216B" w:rsidRPr="00977B37">
        <w:t xml:space="preserve"> gällande </w:t>
      </w:r>
      <w:r w:rsidR="003B3C8D" w:rsidRPr="00977B37">
        <w:t>EG-</w:t>
      </w:r>
      <w:r w:rsidR="00EC216B" w:rsidRPr="00977B37">
        <w:t>bestämmelser</w:t>
      </w:r>
      <w:r w:rsidR="003B3C8D" w:rsidRPr="00977B37">
        <w:t>na</w:t>
      </w:r>
      <w:r w:rsidR="00EC216B" w:rsidRPr="00977B37">
        <w:t xml:space="preserve"> om driftskompatibilitet i syfte att ta tillvara hittills vunna tillämpningserfarenheter.</w:t>
      </w:r>
    </w:p>
    <w:p w:rsidR="00E11479" w:rsidRPr="00977B37" w:rsidRDefault="00E11479">
      <w:pPr>
        <w:pStyle w:val="Rubrik2"/>
      </w:pPr>
      <w:r w:rsidRPr="00977B37">
        <w:t>Medlemsstaternas ståndpunkter</w:t>
      </w:r>
    </w:p>
    <w:p w:rsidR="00E11479" w:rsidRPr="00977B37" w:rsidRDefault="00E33AA8">
      <w:r w:rsidRPr="00977B37">
        <w:t>Medlemsstaternas inställning till förslaget är ännu inte känd.</w:t>
      </w:r>
    </w:p>
    <w:p w:rsidR="00E11479" w:rsidRPr="00977B37" w:rsidRDefault="00E11479">
      <w:pPr>
        <w:pStyle w:val="Rubrik2"/>
      </w:pPr>
      <w:r w:rsidRPr="00977B37">
        <w:t>Institutionernas ståndpunkter</w:t>
      </w:r>
    </w:p>
    <w:p w:rsidR="00E87604" w:rsidRPr="00977B37" w:rsidRDefault="00E33AA8" w:rsidP="00672B77">
      <w:r w:rsidRPr="00977B37">
        <w:t>Kommissionen ser förslaget som en integrerad och nödvändig del i ett större åtgärdspaket</w:t>
      </w:r>
      <w:r w:rsidR="006B4E9A" w:rsidRPr="00977B37">
        <w:t>, som främst syftar till att effektivisera den europeiska marknaden för järnvägsmateriel</w:t>
      </w:r>
      <w:r w:rsidR="000D61BF" w:rsidRPr="00977B37">
        <w:t>.</w:t>
      </w:r>
      <w:r w:rsidRPr="00977B37">
        <w:t xml:space="preserve"> </w:t>
      </w:r>
      <w:r w:rsidR="00E87604" w:rsidRPr="00977B37">
        <w:t xml:space="preserve">Europaparlamentets ståndpunkt är ännu inte känd. </w:t>
      </w:r>
    </w:p>
    <w:p w:rsidR="00E11479" w:rsidRPr="00977B37" w:rsidRDefault="00E11479">
      <w:pPr>
        <w:pStyle w:val="Rubrik2"/>
      </w:pPr>
      <w:r w:rsidRPr="00977B37">
        <w:t>Remissinstansernas ståndpunkter</w:t>
      </w:r>
    </w:p>
    <w:p w:rsidR="00E11479" w:rsidRPr="00977B37" w:rsidRDefault="000D61BF">
      <w:r w:rsidRPr="00977B37">
        <w:t>Förslaget av</w:t>
      </w:r>
      <w:r w:rsidR="006B4E9A" w:rsidRPr="00977B37">
        <w:t>ses att remitteras.</w:t>
      </w:r>
      <w:r w:rsidRPr="00977B37">
        <w:t xml:space="preserve"> </w:t>
      </w:r>
      <w:r w:rsidR="00EC448D" w:rsidRPr="00977B37">
        <w:t>Remissinstansernas ståndpunkter är ännu inte kända.</w:t>
      </w:r>
    </w:p>
    <w:p w:rsidR="00E11479" w:rsidRPr="00977B37" w:rsidRDefault="00E11479">
      <w:pPr>
        <w:pStyle w:val="Rubrik1"/>
      </w:pPr>
      <w:r w:rsidRPr="00977B37">
        <w:t>Övrigt</w:t>
      </w:r>
    </w:p>
    <w:p w:rsidR="00E11479" w:rsidRPr="00977B37" w:rsidRDefault="00E11479">
      <w:pPr>
        <w:pStyle w:val="Rubrik2"/>
      </w:pPr>
      <w:r w:rsidRPr="00977B37">
        <w:t>Fortsatt behandling av ärendet</w:t>
      </w:r>
    </w:p>
    <w:p w:rsidR="00493830" w:rsidRPr="00977B37" w:rsidRDefault="00493830" w:rsidP="00493830">
      <w:r w:rsidRPr="00977B37">
        <w:t xml:space="preserve">Det tyska ordförandeskapet avser att </w:t>
      </w:r>
      <w:r w:rsidR="00BB699C" w:rsidRPr="00977B37">
        <w:t xml:space="preserve">börja </w:t>
      </w:r>
      <w:r w:rsidRPr="00977B37">
        <w:t xml:space="preserve">behandla paketet </w:t>
      </w:r>
      <w:r w:rsidR="006D5A50" w:rsidRPr="00977B37">
        <w:t xml:space="preserve">om att underlätta rörligheten för lokomotiv inom gemenskapen, </w:t>
      </w:r>
      <w:r w:rsidRPr="00977B37">
        <w:t xml:space="preserve">i vilket </w:t>
      </w:r>
      <w:r w:rsidR="003D5496" w:rsidRPr="00977B37">
        <w:t>förslaget om driftskompatibilitetsdirektiv</w:t>
      </w:r>
      <w:r w:rsidRPr="00977B37">
        <w:t xml:space="preserve"> ingår</w:t>
      </w:r>
      <w:r w:rsidR="006D5A50" w:rsidRPr="00977B37">
        <w:t>,</w:t>
      </w:r>
      <w:r w:rsidRPr="00977B37">
        <w:t xml:space="preserve"> </w:t>
      </w:r>
      <w:r w:rsidR="00BB699C" w:rsidRPr="00977B37">
        <w:t xml:space="preserve">i februari </w:t>
      </w:r>
      <w:r w:rsidR="006D5A50" w:rsidRPr="00977B37">
        <w:t>2007.</w:t>
      </w:r>
      <w:r w:rsidRPr="00977B37">
        <w:t xml:space="preserve"> </w:t>
      </w:r>
    </w:p>
    <w:p w:rsidR="00E11479" w:rsidRPr="00977B37" w:rsidRDefault="00E11479">
      <w:pPr>
        <w:pStyle w:val="Rubrik2"/>
      </w:pPr>
      <w:r w:rsidRPr="00977B37">
        <w:t>Rättslig grund och beslutsförfarande</w:t>
      </w:r>
    </w:p>
    <w:p w:rsidR="00E11479" w:rsidRPr="00977B37" w:rsidRDefault="000D61BF">
      <w:r w:rsidRPr="00977B37">
        <w:t xml:space="preserve">Den rättsliga grunden är artiklarna 71 och 156 i Fördraget om upprättandet av Europeiska gemenskapen. Beslut fattas gemensamt med Europaparlamentet enligt förfarandet i artikel 251 i samma fördrag. Rådet beslutar med kvalificerad majoritet. </w:t>
      </w:r>
    </w:p>
    <w:p w:rsidR="00E11479" w:rsidRPr="00977B37" w:rsidRDefault="00E11479">
      <w:pPr>
        <w:pStyle w:val="Rubrik2"/>
      </w:pPr>
      <w:r w:rsidRPr="00977B37">
        <w:t>Fackuttryck/termer</w:t>
      </w:r>
    </w:p>
    <w:p w:rsidR="00327A32" w:rsidRPr="00977B37" w:rsidRDefault="00327A32">
      <w:r w:rsidRPr="00977B37">
        <w:rPr>
          <w:b/>
        </w:rPr>
        <w:t>Driftskompatibilitet</w:t>
      </w:r>
      <w:r w:rsidRPr="00977B37">
        <w:t xml:space="preserve"> avser </w:t>
      </w:r>
      <w:r w:rsidR="00752785" w:rsidRPr="00977B37">
        <w:t xml:space="preserve">en egenskap hos </w:t>
      </w:r>
      <w:r w:rsidRPr="00977B37">
        <w:t>järnvägssystemet att erbjuda säker trafik utan driftsavbrott i enlighet med erfordrade prestandakrav.</w:t>
      </w:r>
      <w:r w:rsidR="00752785" w:rsidRPr="00977B37">
        <w:t xml:space="preserve"> Egenskapen skall vid varje tidpunkt grunda</w:t>
      </w:r>
      <w:r w:rsidR="003B3C8D" w:rsidRPr="00977B37">
        <w:t xml:space="preserve"> sig på alla de föreskrifter</w:t>
      </w:r>
      <w:r w:rsidR="00752785" w:rsidRPr="00977B37">
        <w:t xml:space="preserve"> samt tekniska och driftsmässiga villkor som skall</w:t>
      </w:r>
      <w:r w:rsidR="00523A73" w:rsidRPr="00977B37">
        <w:t xml:space="preserve"> </w:t>
      </w:r>
      <w:r w:rsidR="00752785" w:rsidRPr="00977B37">
        <w:t>iakttas för att de väsentliga kraven skall uppfyllas.</w:t>
      </w:r>
    </w:p>
    <w:p w:rsidR="00752785" w:rsidRPr="00977B37" w:rsidRDefault="00752785" w:rsidP="00752785">
      <w:r w:rsidRPr="00977B37">
        <w:rPr>
          <w:b/>
        </w:rPr>
        <w:t>Väsentliga krav</w:t>
      </w:r>
      <w:r w:rsidRPr="00977B37">
        <w:t xml:space="preserve"> </w:t>
      </w:r>
      <w:r w:rsidR="003D5496" w:rsidRPr="00977B37">
        <w:t xml:space="preserve">är </w:t>
      </w:r>
      <w:r w:rsidRPr="00977B37">
        <w:t>de krav som anges i bilaga till direktivet och som skall uppfyllas av järnvägssystemet, dess delsystem, driftskompatibilitetskomponenter och gränssnitt. När de väsentliga kraven är uppfyllda skall järnvägssystemet vara driftskompatibelt.</w:t>
      </w:r>
    </w:p>
    <w:p w:rsidR="00D32B04" w:rsidRPr="00977B37" w:rsidRDefault="00B3754B">
      <w:pPr>
        <w:rPr>
          <w:b/>
        </w:rPr>
      </w:pPr>
      <w:r w:rsidRPr="00977B37">
        <w:rPr>
          <w:b/>
        </w:rPr>
        <w:t>TSD</w:t>
      </w:r>
      <w:r w:rsidR="006D5A50" w:rsidRPr="00977B37">
        <w:rPr>
          <w:b/>
        </w:rPr>
        <w:t xml:space="preserve"> </w:t>
      </w:r>
      <w:r w:rsidR="00523A73" w:rsidRPr="00977B37">
        <w:t xml:space="preserve">avser de </w:t>
      </w:r>
      <w:r w:rsidR="003B3C8D" w:rsidRPr="00977B37">
        <w:t xml:space="preserve">överstatligt </w:t>
      </w:r>
      <w:r w:rsidR="00F77B63" w:rsidRPr="00977B37">
        <w:t xml:space="preserve">utarbetade och antagna </w:t>
      </w:r>
      <w:r w:rsidR="00523A73" w:rsidRPr="00977B37">
        <w:t xml:space="preserve">specifikationer som gäller för varje delsystem och beståndsdel av delsystem </w:t>
      </w:r>
      <w:r w:rsidR="003B3C8D" w:rsidRPr="00977B37">
        <w:t xml:space="preserve">och som skall iakttas </w:t>
      </w:r>
      <w:r w:rsidR="00523A73" w:rsidRPr="00977B37">
        <w:t>för att de väsentliga kraven skall kunna uppfyllas och driftskompatibilitet uppstå.</w:t>
      </w:r>
      <w:r w:rsidR="00523A73" w:rsidRPr="00977B37">
        <w:rPr>
          <w:b/>
        </w:rPr>
        <w:t xml:space="preserve"> </w:t>
      </w:r>
    </w:p>
    <w:p w:rsidR="00B3754B" w:rsidRPr="00977B37" w:rsidRDefault="00B3754B" w:rsidP="00B3754B">
      <w:r w:rsidRPr="00977B37">
        <w:rPr>
          <w:b/>
        </w:rPr>
        <w:t>Delsystem</w:t>
      </w:r>
      <w:r w:rsidR="009E7DA4" w:rsidRPr="00977B37">
        <w:rPr>
          <w:b/>
        </w:rPr>
        <w:t xml:space="preserve"> </w:t>
      </w:r>
      <w:r w:rsidR="009E7DA4" w:rsidRPr="00977B37">
        <w:t xml:space="preserve"> </w:t>
      </w:r>
      <w:r w:rsidR="00327A32" w:rsidRPr="00977B37">
        <w:t>kan vara strukturella eller funktionella. Exempel på strukturella delsystem är t.ex.</w:t>
      </w:r>
      <w:r w:rsidR="009E7DA4" w:rsidRPr="00977B37">
        <w:t xml:space="preserve"> ett lok, en godsvagn, en spåranläggning på en viss linjesträckning o.s.v.</w:t>
      </w:r>
      <w:r w:rsidR="00327A32" w:rsidRPr="00977B37">
        <w:t xml:space="preserve"> Exempel på funktionella delsystem är t.ex. underhåll samt drift och trafikledning. I bilaga till direktivet anges hur järnvägsystemet är indelat i delsystem.</w:t>
      </w:r>
      <w:r w:rsidR="009E7DA4" w:rsidRPr="00977B37">
        <w:t xml:space="preserve"> </w:t>
      </w:r>
    </w:p>
    <w:p w:rsidR="00B3754B" w:rsidRPr="00977B37" w:rsidRDefault="00B3754B" w:rsidP="00B3754B">
      <w:r w:rsidRPr="00977B37">
        <w:rPr>
          <w:b/>
        </w:rPr>
        <w:t>Driftskompatibilitetskomponent</w:t>
      </w:r>
      <w:r w:rsidR="00F4138E" w:rsidRPr="00977B37">
        <w:rPr>
          <w:b/>
        </w:rPr>
        <w:t>er</w:t>
      </w:r>
      <w:r w:rsidR="00F4138E" w:rsidRPr="00977B37">
        <w:t xml:space="preserve"> är</w:t>
      </w:r>
      <w:r w:rsidR="003B3C8D" w:rsidRPr="00977B37">
        <w:t xml:space="preserve"> grundläggande </w:t>
      </w:r>
      <w:r w:rsidR="00327A32" w:rsidRPr="00977B37">
        <w:t>komponenter som driftskompatibiliteten är beroende av och som är eller avses bli integrerade i delsystem.</w:t>
      </w:r>
    </w:p>
    <w:p w:rsidR="00B3754B" w:rsidRPr="00977B37" w:rsidRDefault="00B3754B" w:rsidP="00B3754B">
      <w:r w:rsidRPr="00977B37">
        <w:rPr>
          <w:b/>
        </w:rPr>
        <w:t>EG-kontrollförklaring</w:t>
      </w:r>
      <w:r w:rsidR="00523A73" w:rsidRPr="00977B37">
        <w:t xml:space="preserve"> </w:t>
      </w:r>
      <w:r w:rsidR="003D5496" w:rsidRPr="00977B37">
        <w:t xml:space="preserve">är ett </w:t>
      </w:r>
      <w:r w:rsidR="00523A73" w:rsidRPr="00977B37">
        <w:t>intyg om att ett delsystem överensstämmer med de väsentliga kraven i enlighet med TSD. Intyget kan endast utfärdas efter att delsystemet kontrollerats av ett s.k. anmält organ (särskilt certifieringsorgan).</w:t>
      </w:r>
    </w:p>
    <w:p w:rsidR="009E7DA4" w:rsidRPr="00977B37" w:rsidRDefault="009E7DA4" w:rsidP="006D5A50"/>
    <w:p w:rsidR="006D5A50" w:rsidRPr="00977B37" w:rsidRDefault="006D5A50" w:rsidP="006D5A50"/>
    <w:sectPr w:rsidR="006D5A50" w:rsidRPr="00977B3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E92" w:rsidRPr="00977B37" w:rsidRDefault="00347E92">
      <w:r w:rsidRPr="00977B37">
        <w:separator/>
      </w:r>
    </w:p>
  </w:endnote>
  <w:endnote w:type="continuationSeparator" w:id="0">
    <w:p w:rsidR="00347E92" w:rsidRPr="00977B37" w:rsidRDefault="00347E92">
      <w:r w:rsidRPr="00977B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C77" w:rsidRPr="00977B37" w:rsidRDefault="00E84C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C77" w:rsidRPr="00977B37" w:rsidRDefault="00347E92">
    <w:pPr>
      <w:pStyle w:val="SidfotH"/>
      <w:framePr w:wrap="around"/>
    </w:pPr>
    <w:r w:rsidRPr="00977B37">
      <w:t>2</w:t>
    </w:r>
  </w:p>
  <w:p w:rsidR="00E84C77" w:rsidRPr="00977B37" w:rsidRDefault="00E84C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C77" w:rsidRPr="00977B37" w:rsidRDefault="00347E92">
    <w:pPr>
      <w:pStyle w:val="SidfotH"/>
      <w:framePr w:wrap="around"/>
    </w:pPr>
    <w:r w:rsidRPr="00977B37">
      <w:t>1</w:t>
    </w:r>
  </w:p>
  <w:p w:rsidR="00E84C77" w:rsidRPr="00977B37" w:rsidRDefault="00E84C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E92" w:rsidRPr="00977B37" w:rsidRDefault="00347E92">
      <w:r w:rsidRPr="00977B37">
        <w:separator/>
      </w:r>
    </w:p>
  </w:footnote>
  <w:footnote w:type="continuationSeparator" w:id="0">
    <w:p w:rsidR="00347E92" w:rsidRPr="00977B37" w:rsidRDefault="00347E92">
      <w:r w:rsidRPr="00977B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C77" w:rsidRPr="00977B37" w:rsidRDefault="00E84C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C77" w:rsidRPr="00977B37" w:rsidRDefault="00E84C77">
    <w:pPr>
      <w:pStyle w:val="Kantrubrik"/>
      <w:framePr w:h="1157" w:hRule="exact" w:wrap="around" w:y="738"/>
    </w:pPr>
    <w:r w:rsidRPr="00977B37">
      <w:t>2006/07:FPM47</w:t>
    </w:r>
  </w:p>
  <w:p w:rsidR="00E84C77" w:rsidRPr="00977B37" w:rsidRDefault="00E84C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C77" w:rsidRPr="00977B37" w:rsidRDefault="00977B37">
    <w:pPr>
      <w:pStyle w:val="Sidhuvud"/>
    </w:pPr>
    <w:r w:rsidRPr="00977B3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82190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4C77" w:rsidRDefault="00E84C7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70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84C77" w:rsidRDefault="00E84C77">
                    <w:pPr>
                      <w:pStyle w:val="Logo"/>
                    </w:pPr>
                    <w:r>
                      <w:object w:dxaOrig="840" w:dyaOrig="1545">
                        <v:shape id="_x0000_i1025" type="#_x0000_t75" style="width:42pt;height:77.15pt" filled="t">
                          <v:imagedata r:id="rId1" o:title=""/>
                        </v:shape>
                        <o:OLEObject Type="Embed" ProgID="Word.Picture.8" ShapeID="_x0000_i1025" DrawAspect="Content" ObjectID="_182745970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766"/>
        </w:tabs>
        <w:ind w:left="766"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C07493B"/>
    <w:multiLevelType w:val="hybridMultilevel"/>
    <w:tmpl w:val="49AA6C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DE6682D"/>
    <w:multiLevelType w:val="multilevel"/>
    <w:tmpl w:val="D12C26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52105349">
    <w:abstractNumId w:val="6"/>
  </w:num>
  <w:num w:numId="2" w16cid:durableId="1664502184">
    <w:abstractNumId w:val="2"/>
  </w:num>
  <w:num w:numId="3" w16cid:durableId="129713617">
    <w:abstractNumId w:val="3"/>
  </w:num>
  <w:num w:numId="4" w16cid:durableId="839273814">
    <w:abstractNumId w:val="4"/>
  </w:num>
  <w:num w:numId="5" w16cid:durableId="283073704">
    <w:abstractNumId w:val="7"/>
  </w:num>
  <w:num w:numId="6" w16cid:durableId="1516504122">
    <w:abstractNumId w:val="0"/>
  </w:num>
  <w:num w:numId="7" w16cid:durableId="1319765555">
    <w:abstractNumId w:val="1"/>
  </w:num>
  <w:num w:numId="8" w16cid:durableId="12657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2-27"/>
    <w:docVar w:name="Ar" w:val="2006/07"/>
    <w:docVar w:name="Dep" w:val="Näringsdepartementet"/>
    <w:docVar w:name="DepWeb" w:val="Näringsdepartementet"/>
    <w:docVar w:name="GDB1" w:val="KOM (2006) 78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driftskompatibiliteten hos gemenskapens järnvägssyste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783 slutlig"/>
    <w:docVar w:name="Nr" w:val="47"/>
    <w:docVar w:name="RD_APPVERSION" w:val="3.00"/>
    <w:docVar w:name="Rub" w:val="Direktiv om driftssäker järnvägstrafik (driftskompatibilitet)"/>
    <w:docVar w:name="UppDat" w:val="2007-02-27"/>
    <w:docVar w:name="Utsk" w:val="Trafikutskottet"/>
  </w:docVars>
  <w:rsids>
    <w:rsidRoot w:val="00977B37"/>
    <w:rsid w:val="0000376F"/>
    <w:rsid w:val="000451D0"/>
    <w:rsid w:val="00082913"/>
    <w:rsid w:val="000B23E7"/>
    <w:rsid w:val="000C0FA9"/>
    <w:rsid w:val="000D61BF"/>
    <w:rsid w:val="0010543E"/>
    <w:rsid w:val="0011286E"/>
    <w:rsid w:val="00133DE4"/>
    <w:rsid w:val="00141B31"/>
    <w:rsid w:val="001971C4"/>
    <w:rsid w:val="001A337F"/>
    <w:rsid w:val="001A4729"/>
    <w:rsid w:val="001C3ED4"/>
    <w:rsid w:val="001D6CC0"/>
    <w:rsid w:val="001F7535"/>
    <w:rsid w:val="00221182"/>
    <w:rsid w:val="00226F08"/>
    <w:rsid w:val="00227EF2"/>
    <w:rsid w:val="0024550B"/>
    <w:rsid w:val="0026444D"/>
    <w:rsid w:val="002B2C6D"/>
    <w:rsid w:val="002B46E9"/>
    <w:rsid w:val="002C30CB"/>
    <w:rsid w:val="00317D42"/>
    <w:rsid w:val="00327860"/>
    <w:rsid w:val="00327A32"/>
    <w:rsid w:val="00347E92"/>
    <w:rsid w:val="003510FF"/>
    <w:rsid w:val="003B3C8D"/>
    <w:rsid w:val="003B4CDC"/>
    <w:rsid w:val="003C2528"/>
    <w:rsid w:val="003C5D61"/>
    <w:rsid w:val="003D5496"/>
    <w:rsid w:val="0040398F"/>
    <w:rsid w:val="00411EF5"/>
    <w:rsid w:val="00414835"/>
    <w:rsid w:val="0042560A"/>
    <w:rsid w:val="00474DFB"/>
    <w:rsid w:val="00484E33"/>
    <w:rsid w:val="00493830"/>
    <w:rsid w:val="004B4573"/>
    <w:rsid w:val="004B61DE"/>
    <w:rsid w:val="00523A73"/>
    <w:rsid w:val="0052782C"/>
    <w:rsid w:val="00567BBC"/>
    <w:rsid w:val="00581D01"/>
    <w:rsid w:val="005B1E2C"/>
    <w:rsid w:val="005B45FE"/>
    <w:rsid w:val="005B4CB1"/>
    <w:rsid w:val="005B66DC"/>
    <w:rsid w:val="005D5842"/>
    <w:rsid w:val="00603D77"/>
    <w:rsid w:val="00643B4D"/>
    <w:rsid w:val="00652453"/>
    <w:rsid w:val="00672B77"/>
    <w:rsid w:val="006B0185"/>
    <w:rsid w:val="006B318B"/>
    <w:rsid w:val="006B4E9A"/>
    <w:rsid w:val="006C4BC2"/>
    <w:rsid w:val="006D5A50"/>
    <w:rsid w:val="006F0D4B"/>
    <w:rsid w:val="006F5F6B"/>
    <w:rsid w:val="007152D5"/>
    <w:rsid w:val="00721B2A"/>
    <w:rsid w:val="00752785"/>
    <w:rsid w:val="007876EF"/>
    <w:rsid w:val="007E0A5F"/>
    <w:rsid w:val="00803DDD"/>
    <w:rsid w:val="00810BFA"/>
    <w:rsid w:val="00843CFA"/>
    <w:rsid w:val="0088731D"/>
    <w:rsid w:val="008B38F4"/>
    <w:rsid w:val="008F6B6C"/>
    <w:rsid w:val="00906EE0"/>
    <w:rsid w:val="009215FB"/>
    <w:rsid w:val="00933F6E"/>
    <w:rsid w:val="009537A3"/>
    <w:rsid w:val="009622E8"/>
    <w:rsid w:val="00977B37"/>
    <w:rsid w:val="00986767"/>
    <w:rsid w:val="009928B9"/>
    <w:rsid w:val="00993D01"/>
    <w:rsid w:val="00994BC5"/>
    <w:rsid w:val="0099651C"/>
    <w:rsid w:val="009A0F4D"/>
    <w:rsid w:val="009A610B"/>
    <w:rsid w:val="009D769C"/>
    <w:rsid w:val="009E4573"/>
    <w:rsid w:val="009E7DA4"/>
    <w:rsid w:val="009F3175"/>
    <w:rsid w:val="00A1135E"/>
    <w:rsid w:val="00A3386D"/>
    <w:rsid w:val="00A40381"/>
    <w:rsid w:val="00A40FF4"/>
    <w:rsid w:val="00A615B1"/>
    <w:rsid w:val="00A72133"/>
    <w:rsid w:val="00A931B2"/>
    <w:rsid w:val="00B23E21"/>
    <w:rsid w:val="00B3754B"/>
    <w:rsid w:val="00B50D35"/>
    <w:rsid w:val="00B66A93"/>
    <w:rsid w:val="00B851A9"/>
    <w:rsid w:val="00BA0C4E"/>
    <w:rsid w:val="00BB699C"/>
    <w:rsid w:val="00BC5402"/>
    <w:rsid w:val="00BF2979"/>
    <w:rsid w:val="00C1270F"/>
    <w:rsid w:val="00C27B2F"/>
    <w:rsid w:val="00C47D56"/>
    <w:rsid w:val="00C84734"/>
    <w:rsid w:val="00CA10C3"/>
    <w:rsid w:val="00CB7983"/>
    <w:rsid w:val="00CC37BD"/>
    <w:rsid w:val="00CE683B"/>
    <w:rsid w:val="00D11268"/>
    <w:rsid w:val="00D32B04"/>
    <w:rsid w:val="00D36472"/>
    <w:rsid w:val="00D63DF9"/>
    <w:rsid w:val="00D665EF"/>
    <w:rsid w:val="00D83D3F"/>
    <w:rsid w:val="00D908A2"/>
    <w:rsid w:val="00DA2074"/>
    <w:rsid w:val="00DD5D2F"/>
    <w:rsid w:val="00DF7207"/>
    <w:rsid w:val="00E0350F"/>
    <w:rsid w:val="00E113A6"/>
    <w:rsid w:val="00E11479"/>
    <w:rsid w:val="00E21A71"/>
    <w:rsid w:val="00E33AA8"/>
    <w:rsid w:val="00E41CDE"/>
    <w:rsid w:val="00E84C77"/>
    <w:rsid w:val="00E87604"/>
    <w:rsid w:val="00EC216B"/>
    <w:rsid w:val="00EC448D"/>
    <w:rsid w:val="00ED05B2"/>
    <w:rsid w:val="00EE4D83"/>
    <w:rsid w:val="00F235BE"/>
    <w:rsid w:val="00F370D1"/>
    <w:rsid w:val="00F4138E"/>
    <w:rsid w:val="00F66D9D"/>
    <w:rsid w:val="00F77B63"/>
    <w:rsid w:val="00FF29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70B962-92F9-4DC2-A88F-DA7699FA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2041</Words>
  <Characters>13494</Characters>
  <Application>Microsoft Office Word</Application>
  <DocSecurity>4</DocSecurity>
  <Lines>249</Lines>
  <Paragraphs>81</Paragraphs>
  <ScaleCrop>false</ScaleCrop>
  <HeadingPairs>
    <vt:vector size="2" baseType="variant">
      <vt:variant>
        <vt:lpstr>Rubrik</vt:lpstr>
      </vt:variant>
      <vt:variant>
        <vt:i4>1</vt:i4>
      </vt:variant>
    </vt:vector>
  </HeadingPairs>
  <TitlesOfParts>
    <vt:vector size="1" baseType="lpstr">
      <vt:lpstr>FPM_200607__47</vt:lpstr>
    </vt:vector>
  </TitlesOfParts>
  <Company>RD-DTSL</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FPM_200607__47</dc:title>
  <dc:subject>FPM_200607__47</dc:subject>
  <dc:creator>Riksdagen</dc:creator>
  <cp:keywords>Riksdagen</cp:keywords>
  <dc:description>KP2004-version.  Ändringarna påverkar enbart användningen inom Riksdagen. 050429 nya departement DTSL.</dc:description>
  <cp:lastModifiedBy>Lars Brink</cp:lastModifiedBy>
  <cp:revision>2</cp:revision>
  <cp:lastPrinted>2007-02-27T13:35:00Z</cp:lastPrinted>
  <dcterms:created xsi:type="dcterms:W3CDTF">2025-12-17T03:12:00Z</dcterms:created>
  <dcterms:modified xsi:type="dcterms:W3CDTF">2025-12-17T03:12:00Z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47</vt:lpwstr>
  </property>
  <property fmtid="{D5CDD505-2E9C-101B-9397-08002B2CF9AE}" pid="4" name="GDB1">
    <vt:lpwstr>KOM (2006) 783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Direktiv om driftssäker järnvägstrafik (driftskompatibilitet)</vt:lpwstr>
  </property>
  <property fmtid="{D5CDD505-2E9C-101B-9397-08002B2CF9AE}" pid="8" name="UppDat">
    <vt:lpwstr>2007-02-27</vt:lpwstr>
  </property>
  <property fmtid="{D5CDD505-2E9C-101B-9397-08002B2CF9AE}" pid="9" name="AnkDat">
    <vt:lpwstr>2007-02-27</vt:lpwstr>
  </property>
  <property fmtid="{D5CDD505-2E9C-101B-9397-08002B2CF9AE}" pid="10" name="Utsk">
    <vt:lpwstr>Trafikutskottet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10;0;0;303</vt:lpwstr>
  </property>
  <property fmtid="{D5CDD505-2E9C-101B-9397-08002B2CF9AE}" pid="41" name="Sprak">
    <vt:lpwstr>Svenska</vt:lpwstr>
  </property>
  <property fmtid="{D5CDD505-2E9C-101B-9397-08002B2CF9AE}" pid="42" name="DokID">
    <vt:i4>80</vt:i4>
  </property>
</Properties>
</file>