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5AB" w:rsidRPr="00F469D4" w:rsidRDefault="00CB05AB" w:rsidP="005A28AA">
      <w:pPr>
        <w:pStyle w:val="Hemstlrubrik"/>
      </w:pPr>
      <w:r w:rsidRPr="00F469D4">
        <w:t>Förslag till riksdagsbeslut</w:t>
      </w:r>
    </w:p>
    <w:p w:rsidR="00CB05AB" w:rsidRPr="00F469D4" w:rsidRDefault="00CB05AB" w:rsidP="005A28AA">
      <w:pPr>
        <w:pStyle w:val="Hemstlatt"/>
      </w:pPr>
      <w:r w:rsidRPr="00F469D4">
        <w:t>Riksdagen tillkännager för regeringen som sin mening vad i motionen anförs om bristerna i regeringens hantering av EU:s vapenexporte</w:t>
      </w:r>
      <w:r w:rsidR="005A28AA" w:rsidRPr="00F469D4">
        <w:t>mbargo mot Folkrepubliken Kina.</w:t>
      </w:r>
    </w:p>
    <w:p w:rsidR="00B05035" w:rsidRPr="00F469D4" w:rsidRDefault="00B05035" w:rsidP="00B05035">
      <w:pPr>
        <w:pStyle w:val="Rubrik1"/>
      </w:pPr>
      <w:r w:rsidRPr="00F469D4">
        <w:t>Motivering</w:t>
      </w:r>
    </w:p>
    <w:p w:rsidR="00CB05AB" w:rsidRPr="00F469D4" w:rsidRDefault="00CB05AB" w:rsidP="00B05035">
      <w:r w:rsidRPr="00F469D4">
        <w:t>Ända sedan massakern på Himmelska Fridens torg 1989 har EU-länderna på grund av allvarliga kränkningar av de mänskliga fri- och rättigheterna i Fol</w:t>
      </w:r>
      <w:r w:rsidRPr="00F469D4">
        <w:t>k</w:t>
      </w:r>
      <w:r w:rsidRPr="00F469D4">
        <w:t xml:space="preserve">republiken Kina upprätthållit ett vapenexportembargo mot landet. </w:t>
      </w:r>
    </w:p>
    <w:p w:rsidR="00CB05AB" w:rsidRPr="00F469D4" w:rsidRDefault="00CB05AB" w:rsidP="00CB05AB">
      <w:pPr>
        <w:pStyle w:val="Normaltindrag"/>
      </w:pPr>
      <w:r w:rsidRPr="00F469D4">
        <w:t>Embargot skall trots att det rör vapenexportfrågor främst ses som en pol</w:t>
      </w:r>
      <w:r w:rsidRPr="00F469D4">
        <w:t>i</w:t>
      </w:r>
      <w:r w:rsidRPr="00F469D4">
        <w:t>tisk signal från EU-ländernas sida om missnöje med MR-situationen i Folkr</w:t>
      </w:r>
      <w:r w:rsidRPr="00F469D4">
        <w:t>e</w:t>
      </w:r>
      <w:r w:rsidRPr="00F469D4">
        <w:t>publiken Kina. Att Kina ser embargot just som en politisk signal visas av att landet samma dag som EU:s toppmöte inledde processen mot ett hävande av vapenexportembargot aviserade lagstiftning om automatiskt anfall mot Ta</w:t>
      </w:r>
      <w:r w:rsidRPr="00F469D4">
        <w:t>i</w:t>
      </w:r>
      <w:r w:rsidRPr="00F469D4">
        <w:t>wan, utifall att Taiwan skulle hävda självständighet. Bedömningen av huruv</w:t>
      </w:r>
      <w:r w:rsidRPr="00F469D4">
        <w:t>i</w:t>
      </w:r>
      <w:r w:rsidRPr="00F469D4">
        <w:t xml:space="preserve">da Taiwan hävdar självständighet anser sig Kina självt ha rätten att göra. </w:t>
      </w:r>
    </w:p>
    <w:p w:rsidR="00CB05AB" w:rsidRPr="00F469D4" w:rsidRDefault="00CB05AB" w:rsidP="00CB05AB">
      <w:pPr>
        <w:pStyle w:val="Normaltindrag"/>
      </w:pPr>
      <w:r w:rsidRPr="00F469D4">
        <w:t xml:space="preserve">Detta var en oacceptabel signal från Pekings sida och fick EU-ländernas ledare att bromsa processen mot embargots hävande. </w:t>
      </w:r>
    </w:p>
    <w:p w:rsidR="00CB05AB" w:rsidRPr="00F469D4" w:rsidRDefault="00CB05AB" w:rsidP="00CB05AB">
      <w:pPr>
        <w:pStyle w:val="Rubrik1"/>
      </w:pPr>
      <w:r w:rsidRPr="00F469D4">
        <w:t>Den svenska regeringens agerande</w:t>
      </w:r>
    </w:p>
    <w:p w:rsidR="00CB05AB" w:rsidRPr="00F469D4" w:rsidRDefault="00CB05AB" w:rsidP="005A28AA">
      <w:r w:rsidRPr="00F469D4">
        <w:t xml:space="preserve">Den svenska regeringen har varit oerhört passiv i diskussionen kring EU:s vapenexportembargo mot Kina. Ända fram till den vecka då EU-länderna – inklusive Sverige </w:t>
      </w:r>
      <w:r w:rsidR="005A28AA" w:rsidRPr="00F469D4">
        <w:t>–</w:t>
      </w:r>
      <w:r w:rsidRPr="00F469D4">
        <w:t xml:space="preserve"> beslutade att inleda processen mot ett hävande av emba</w:t>
      </w:r>
      <w:r w:rsidRPr="00F469D4">
        <w:t>r</w:t>
      </w:r>
      <w:r w:rsidRPr="00F469D4">
        <w:t xml:space="preserve">got saknade regeringen en egen uppfattning i frågan. </w:t>
      </w:r>
    </w:p>
    <w:p w:rsidR="00B05035" w:rsidRPr="00F469D4" w:rsidRDefault="00CB05AB" w:rsidP="00CB05AB">
      <w:pPr>
        <w:pStyle w:val="Normaltindrag"/>
      </w:pPr>
      <w:r w:rsidRPr="00F469D4">
        <w:lastRenderedPageBreak/>
        <w:t>Ännu den 16 december skrev utrikesministern i svaret på min fråga 2004/05: 554:</w:t>
      </w:r>
      <w:r w:rsidR="005A28AA" w:rsidRPr="00F469D4">
        <w:t xml:space="preserve"> </w:t>
      </w:r>
    </w:p>
    <w:p w:rsidR="00CB05AB" w:rsidRPr="00F469D4" w:rsidRDefault="00CB05AB" w:rsidP="00B05035">
      <w:pPr>
        <w:pStyle w:val="Citat"/>
      </w:pPr>
      <w:r w:rsidRPr="00F469D4">
        <w:t>Regeringen har inte haft anledning att ta ställning till frågan om ett eve</w:t>
      </w:r>
      <w:r w:rsidRPr="00F469D4">
        <w:t>n</w:t>
      </w:r>
      <w:r w:rsidRPr="00F469D4">
        <w:t>tuellt hävande av EU:s vapenembargo mot Kina förrän ärendet har varit färdi</w:t>
      </w:r>
      <w:r w:rsidRPr="00F469D4">
        <w:t>g</w:t>
      </w:r>
      <w:r w:rsidR="00B05035" w:rsidRPr="00F469D4">
        <w:t>berett inom EU.</w:t>
      </w:r>
    </w:p>
    <w:p w:rsidR="00B05035" w:rsidRPr="00F469D4" w:rsidRDefault="00CB05AB" w:rsidP="00B05035">
      <w:r w:rsidRPr="00F469D4">
        <w:t xml:space="preserve">I svaret på fråga 2003/04:1585 skrev utrikesministern den 28 september. </w:t>
      </w:r>
    </w:p>
    <w:p w:rsidR="00B05035" w:rsidRPr="00F469D4" w:rsidRDefault="00CB05AB" w:rsidP="00B05035">
      <w:pPr>
        <w:pStyle w:val="Citat"/>
      </w:pPr>
      <w:r w:rsidRPr="00F469D4">
        <w:t>Från svensk sida framhåller vi att situationen för de mänskliga rättigh</w:t>
      </w:r>
      <w:r w:rsidRPr="00F469D4">
        <w:t>e</w:t>
      </w:r>
      <w:r w:rsidRPr="00F469D4">
        <w:t>terna i Kina och hänsynen till regional stabilitet är viktiga faktorer att b</w:t>
      </w:r>
      <w:r w:rsidRPr="00F469D4">
        <w:t>e</w:t>
      </w:r>
      <w:r w:rsidRPr="00F469D4">
        <w:t>akta i denna di</w:t>
      </w:r>
      <w:r w:rsidRPr="00F469D4">
        <w:t>s</w:t>
      </w:r>
      <w:r w:rsidRPr="00F469D4">
        <w:t xml:space="preserve">kussion. </w:t>
      </w:r>
    </w:p>
    <w:p w:rsidR="00CB05AB" w:rsidRPr="00F469D4" w:rsidRDefault="00CB05AB" w:rsidP="00B05035">
      <w:r w:rsidRPr="00F469D4">
        <w:t xml:space="preserve">Dessa faktorer borde inte bara ha beaktats </w:t>
      </w:r>
      <w:r w:rsidR="005A28AA" w:rsidRPr="00F469D4">
        <w:t>–</w:t>
      </w:r>
      <w:r w:rsidRPr="00F469D4">
        <w:t xml:space="preserve"> de borde ha varit styrande för Sveriges och EU:s agerande. </w:t>
      </w:r>
    </w:p>
    <w:p w:rsidR="00CB05AB" w:rsidRPr="00F469D4" w:rsidRDefault="00CB05AB" w:rsidP="00CB05AB">
      <w:pPr>
        <w:pStyle w:val="Normaltindrag"/>
        <w:rPr>
          <w:snapToGrid w:val="0"/>
        </w:rPr>
      </w:pPr>
      <w:r w:rsidRPr="00F469D4">
        <w:rPr>
          <w:snapToGrid w:val="0"/>
        </w:rPr>
        <w:t>Sverige borde ha drivit att ett hävande av embargot är oacceptabelt med mindre än att noggrant specificerade villkor för förbättringar av mänskliga rättigheter och demokrati i Kina uppfylls. Vidare borde Sverige ha drivit att ett hävande av embargot förutsätter att hot mot Taiwan utesluts från Folkr</w:t>
      </w:r>
      <w:r w:rsidRPr="00F469D4">
        <w:rPr>
          <w:snapToGrid w:val="0"/>
        </w:rPr>
        <w:t>e</w:t>
      </w:r>
      <w:r w:rsidRPr="00F469D4">
        <w:rPr>
          <w:snapToGrid w:val="0"/>
        </w:rPr>
        <w:t xml:space="preserve">publikens sida. </w:t>
      </w:r>
    </w:p>
    <w:p w:rsidR="00CB05AB" w:rsidRPr="00F469D4" w:rsidRDefault="00CB05AB" w:rsidP="002E4BC4">
      <w:pPr>
        <w:pStyle w:val="Rubrik1"/>
        <w:spacing w:before="600"/>
      </w:pPr>
      <w:r w:rsidRPr="00F469D4">
        <w:t>Strategiska intressen</w:t>
      </w:r>
    </w:p>
    <w:p w:rsidR="00CB05AB" w:rsidRPr="00F469D4" w:rsidRDefault="00CB05AB" w:rsidP="005A28AA">
      <w:pPr>
        <w:rPr>
          <w:rFonts w:ascii="TimesNewRoman" w:hAnsi="TimesNewRoman" w:cs="TimesNewRoman"/>
        </w:rPr>
      </w:pPr>
      <w:r w:rsidRPr="00F469D4">
        <w:t>När utrikesutskottet i våras behandlade min motion om vapenexporte</w:t>
      </w:r>
      <w:r w:rsidRPr="00F469D4">
        <w:t>m</w:t>
      </w:r>
      <w:r w:rsidRPr="00F469D4">
        <w:t xml:space="preserve">bargot var en nyckelformulering i betänkandet följande: </w:t>
      </w:r>
      <w:r w:rsidRPr="00F469D4">
        <w:rPr>
          <w:rFonts w:ascii="TimesNewRoman" w:hAnsi="TimesNewRoman" w:cs="TimesNewRoman"/>
        </w:rPr>
        <w:t>”Det ligger heller inte i Europas strategiska intresse att häva vapenembargot mot Kina.” Jag delar helt denna syn.</w:t>
      </w:r>
    </w:p>
    <w:p w:rsidR="00CB05AB" w:rsidRPr="00F469D4" w:rsidRDefault="00CB05AB" w:rsidP="005A28AA">
      <w:pPr>
        <w:pStyle w:val="Normaltindrag"/>
      </w:pPr>
      <w:r w:rsidRPr="00F469D4">
        <w:t>Strategiska intressen omfattar fundamentala säkerhetspolitiska frågor. När det inte anses ligga i EU:s strategiska intresse att häva embargot innebär det att det säkerhetspolitiska läget skulle kunna påverkas neg</w:t>
      </w:r>
      <w:r w:rsidR="005A28AA" w:rsidRPr="00F469D4">
        <w:t xml:space="preserve">ativt av ett hävande. </w:t>
      </w:r>
    </w:p>
    <w:p w:rsidR="00CB05AB" w:rsidRPr="00F469D4" w:rsidRDefault="00CB05AB" w:rsidP="00CB05AB">
      <w:pPr>
        <w:pStyle w:val="Normaltindrag"/>
      </w:pPr>
      <w:r w:rsidRPr="00F469D4">
        <w:t>Strategiska intressen är också långsiktiga. De ändrar sig inte över</w:t>
      </w:r>
      <w:r w:rsidR="005A28AA" w:rsidRPr="00F469D4">
        <w:t xml:space="preserve"> en </w:t>
      </w:r>
      <w:r w:rsidRPr="00F469D4">
        <w:t>natt, eller med mindre än en betydande politisk och militärpolitisk förändring. För att förändra ett strategiskt intresse krävs fundamentala förändringar i ett lands politik.</w:t>
      </w:r>
    </w:p>
    <w:p w:rsidR="00CB05AB" w:rsidRPr="00F469D4" w:rsidRDefault="00CB05AB" w:rsidP="00CB05AB">
      <w:pPr>
        <w:pStyle w:val="Normaltindrag"/>
      </w:pPr>
      <w:r w:rsidRPr="00F469D4">
        <w:t xml:space="preserve">Begreppet strategiska intressen inkluderar kärnvapenfrågor. Kina bedriver en betydande upprustning av sin kärnvapenarsenal och förmåga att genom ny missilteknik sända missiler mot grannar och </w:t>
      </w:r>
      <w:r w:rsidR="005A28AA" w:rsidRPr="00F469D4">
        <w:t>v</w:t>
      </w:r>
      <w:r w:rsidRPr="00F469D4">
        <w:t>ästländer.</w:t>
      </w:r>
    </w:p>
    <w:p w:rsidR="00CB05AB" w:rsidRPr="00F469D4" w:rsidRDefault="00CB05AB" w:rsidP="00CB05AB">
      <w:pPr>
        <w:pStyle w:val="Normaltindrag"/>
      </w:pPr>
      <w:r w:rsidRPr="00F469D4">
        <w:t>Det är vidare så att EU inte hanterar strategiska intressen på egen hand, utan tillsammans med USA. Det är klokt att EU inte ska</w:t>
      </w:r>
      <w:r w:rsidR="005A28AA" w:rsidRPr="00F469D4">
        <w:t>ll</w:t>
      </w:r>
      <w:r w:rsidRPr="00F469D4">
        <w:t xml:space="preserve"> agera utan samråd med USA om vapenembargot, då USA i praktiken garanterar Taiwans säke</w:t>
      </w:r>
      <w:r w:rsidRPr="00F469D4">
        <w:t>r</w:t>
      </w:r>
      <w:r w:rsidRPr="00F469D4">
        <w:t xml:space="preserve">het. </w:t>
      </w:r>
    </w:p>
    <w:p w:rsidR="00CB05AB" w:rsidRPr="00F469D4" w:rsidRDefault="00CB05AB" w:rsidP="00CB05AB">
      <w:pPr>
        <w:pStyle w:val="Normaltindrag"/>
      </w:pPr>
      <w:r w:rsidRPr="00F469D4">
        <w:t xml:space="preserve">Utskottets formulering skrev fast riksdagen i att embargot varken kan eller skall hävas med mindre än att dessa strategiska intressen förändras. Det var en formulering som inte går att komma runt.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4BC4" w:rsidRPr="00F46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BC4" w:rsidRPr="00F469D4" w:rsidRDefault="002E4BC4" w:rsidP="002E4BC4">
            <w:pPr>
              <w:pStyle w:val="UnderskriftDatum"/>
              <w:spacing w:before="240"/>
            </w:pPr>
            <w:r w:rsidRPr="00F469D4">
              <w:t>Stockholm den 29 september 2005</w:t>
            </w:r>
          </w:p>
        </w:tc>
        <w:tc>
          <w:tcPr>
            <w:tcW w:w="3047" w:type="dxa"/>
          </w:tcPr>
          <w:p w:rsidR="002E4BC4" w:rsidRPr="00F469D4" w:rsidRDefault="002E4BC4" w:rsidP="002E4BC4">
            <w:pPr>
              <w:pStyle w:val="Underskrifter"/>
              <w:spacing w:before="240"/>
            </w:pPr>
          </w:p>
        </w:tc>
      </w:tr>
      <w:tr w:rsidR="002E4BC4" w:rsidRPr="00F46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4BC4" w:rsidRPr="00F469D4" w:rsidRDefault="002E4BC4" w:rsidP="002E4BC4">
            <w:pPr>
              <w:pStyle w:val="Underskrifter"/>
            </w:pPr>
            <w:r w:rsidRPr="00F469D4">
              <w:t>Sten Tolgfors (m)</w:t>
            </w:r>
          </w:p>
        </w:tc>
        <w:tc>
          <w:tcPr>
            <w:tcW w:w="3047" w:type="dxa"/>
          </w:tcPr>
          <w:p w:rsidR="002E4BC4" w:rsidRPr="00F469D4" w:rsidRDefault="002E4BC4" w:rsidP="002E4BC4">
            <w:pPr>
              <w:pStyle w:val="Underskrifter"/>
            </w:pPr>
          </w:p>
        </w:tc>
      </w:tr>
    </w:tbl>
    <w:p w:rsidR="00E84F25" w:rsidRPr="00F469D4" w:rsidRDefault="00E84F25" w:rsidP="002E4BC4">
      <w:pPr>
        <w:pStyle w:val="Normaltindrag"/>
      </w:pPr>
    </w:p>
    <w:sectPr w:rsidR="00E84F25" w:rsidRPr="00F469D4" w:rsidSect="005A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090" w:rsidRPr="00F469D4" w:rsidRDefault="007D4090">
      <w:r w:rsidRPr="00F469D4">
        <w:separator/>
      </w:r>
    </w:p>
  </w:endnote>
  <w:endnote w:type="continuationSeparator" w:id="0">
    <w:p w:rsidR="007D4090" w:rsidRPr="00F469D4" w:rsidRDefault="007D4090">
      <w:r w:rsidRPr="00F469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8AA" w:rsidRPr="00F469D4" w:rsidRDefault="00F469D4" w:rsidP="005A28AA">
    <w:pPr>
      <w:pStyle w:val="Sidfot"/>
    </w:pPr>
    <w:r w:rsidRPr="00F469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6166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8AA" w:rsidRDefault="005A28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4B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8AA" w:rsidRDefault="005A28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4B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C19" w:rsidRPr="00F469D4" w:rsidRDefault="00F469D4" w:rsidP="005A28AA">
    <w:pPr>
      <w:pStyle w:val="Sidfot"/>
    </w:pPr>
    <w:r w:rsidRPr="00F469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3859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8AA" w:rsidRDefault="005A2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4B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8AA" w:rsidRDefault="005A2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4B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C19" w:rsidRPr="00F469D4" w:rsidRDefault="00F469D4" w:rsidP="005A28AA">
    <w:pPr>
      <w:pStyle w:val="Sidfot"/>
    </w:pPr>
    <w:r w:rsidRPr="00F469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850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8AA" w:rsidRDefault="005A2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4B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8AA" w:rsidRDefault="005A2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4B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090" w:rsidRPr="00F469D4" w:rsidRDefault="007D4090">
      <w:r w:rsidRPr="00F469D4">
        <w:separator/>
      </w:r>
    </w:p>
  </w:footnote>
  <w:footnote w:type="continuationSeparator" w:id="0">
    <w:p w:rsidR="007D4090" w:rsidRPr="00F469D4" w:rsidRDefault="007D4090">
      <w:r w:rsidRPr="00F469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8AA" w:rsidRPr="00F469D4" w:rsidRDefault="00F469D4" w:rsidP="005A28AA">
    <w:pPr>
      <w:pStyle w:val="Sidhuvud"/>
    </w:pPr>
    <w:r w:rsidRPr="00F469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011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8AA" w:rsidRDefault="005A28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4B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4BC4"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8AA" w:rsidRDefault="005A28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4B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4BC4"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3C19" w:rsidRPr="00F469D4" w:rsidRDefault="00F469D4" w:rsidP="005A28AA">
    <w:pPr>
      <w:pStyle w:val="Sidhuvud"/>
    </w:pPr>
    <w:r w:rsidRPr="00F469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27731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8AA" w:rsidRDefault="005A28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4B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4BC4">
                            <w:t>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8AA" w:rsidRDefault="005A28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4B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4BC4">
                      <w:t>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8AA" w:rsidRPr="00F469D4" w:rsidRDefault="005A28AA">
    <w:pPr>
      <w:pStyle w:val="FSHNormal"/>
      <w:tabs>
        <w:tab w:val="right" w:pos="5840"/>
      </w:tabs>
    </w:pPr>
    <w:r w:rsidRPr="00F469D4">
      <w:br/>
    </w:r>
    <w:r w:rsidRPr="00F469D4">
      <w:fldChar w:fldCharType="begin" w:fldLock="1"/>
    </w:r>
    <w:r w:rsidRPr="00F469D4">
      <w:instrText xml:space="preserve"> DOCPROPERTY</w:instrText>
    </w:r>
    <w:r w:rsidRPr="00F469D4">
      <w:rPr>
        <w:sz w:val="18"/>
      </w:rPr>
      <w:instrText xml:space="preserve"> "YearUser" *\charformat </w:instrText>
    </w:r>
    <w:r w:rsidRPr="00F469D4">
      <w:fldChar w:fldCharType="separate"/>
    </w:r>
    <w:r w:rsidR="002E4BC4" w:rsidRPr="00F469D4">
      <w:t>2005/06</w:t>
    </w:r>
    <w:r w:rsidRPr="00F469D4">
      <w:fldChar w:fldCharType="end"/>
    </w:r>
    <w:r w:rsidRPr="00F469D4">
      <w:t xml:space="preserve"> </w:t>
    </w:r>
    <w:r w:rsidRPr="00F469D4">
      <w:tab/>
      <w:t xml:space="preserve">mnr: </w:t>
    </w:r>
    <w:r w:rsidRPr="00F469D4">
      <w:fldChar w:fldCharType="begin" w:fldLock="1"/>
    </w:r>
    <w:r w:rsidRPr="00F469D4">
      <w:instrText xml:space="preserve"> DOCPROPERTY</w:instrText>
    </w:r>
    <w:r w:rsidRPr="00F469D4">
      <w:rPr>
        <w:sz w:val="18"/>
      </w:rPr>
      <w:instrText xml:space="preserve"> "Motionsnummer" *\charformat </w:instrText>
    </w:r>
    <w:r w:rsidRPr="00F469D4">
      <w:fldChar w:fldCharType="separate"/>
    </w:r>
    <w:r w:rsidR="002E4BC4" w:rsidRPr="00F469D4">
      <w:t>U230</w:t>
    </w:r>
    <w:r w:rsidRPr="00F469D4">
      <w:fldChar w:fldCharType="end"/>
    </w:r>
    <w:r w:rsidRPr="00F469D4">
      <w:br/>
    </w:r>
    <w:r w:rsidRPr="00F469D4">
      <w:fldChar w:fldCharType="begin" w:fldLock="1"/>
    </w:r>
    <w:r w:rsidRPr="00F469D4">
      <w:instrText xml:space="preserve"> DOCPROPERTY</w:instrText>
    </w:r>
    <w:r w:rsidRPr="00F469D4">
      <w:rPr>
        <w:sz w:val="18"/>
      </w:rPr>
      <w:instrText xml:space="preserve"> "Samling" *\charformat </w:instrText>
    </w:r>
    <w:r w:rsidRPr="00F469D4">
      <w:fldChar w:fldCharType="end"/>
    </w:r>
    <w:r w:rsidRPr="00F469D4">
      <w:tab/>
      <w:t xml:space="preserve">pnr: </w:t>
    </w:r>
    <w:r w:rsidRPr="00F469D4">
      <w:fldChar w:fldCharType="begin" w:fldLock="1"/>
    </w:r>
    <w:r w:rsidRPr="00F469D4">
      <w:instrText xml:space="preserve"> DOCPROPERTY</w:instrText>
    </w:r>
    <w:r w:rsidRPr="00F469D4">
      <w:rPr>
        <w:sz w:val="18"/>
      </w:rPr>
      <w:instrText xml:space="preserve"> "Partinummer" *\charformat </w:instrText>
    </w:r>
    <w:r w:rsidRPr="00F469D4">
      <w:fldChar w:fldCharType="separate"/>
    </w:r>
    <w:r w:rsidR="002E4BC4" w:rsidRPr="00F469D4">
      <w:t>m1391</w:t>
    </w:r>
    <w:r w:rsidRPr="00F469D4">
      <w:fldChar w:fldCharType="end"/>
    </w:r>
  </w:p>
  <w:p w:rsidR="005A28AA" w:rsidRPr="00F469D4" w:rsidRDefault="005A28AA">
    <w:pPr>
      <w:pStyle w:val="FSHRub1"/>
    </w:pPr>
    <w:r w:rsidRPr="00F469D4">
      <w:t>Motion till riksdagen</w:t>
    </w:r>
    <w:r w:rsidRPr="00F469D4">
      <w:br/>
    </w:r>
    <w:r w:rsidRPr="00F469D4">
      <w:fldChar w:fldCharType="begin" w:fldLock="1"/>
    </w:r>
    <w:r w:rsidRPr="00F469D4">
      <w:instrText xml:space="preserve"> DOCPROPERTY "YearUser" *\charformat </w:instrText>
    </w:r>
    <w:r w:rsidRPr="00F469D4">
      <w:fldChar w:fldCharType="separate"/>
    </w:r>
    <w:r w:rsidR="002E4BC4" w:rsidRPr="00F469D4">
      <w:t>2005/06</w:t>
    </w:r>
    <w:r w:rsidRPr="00F469D4">
      <w:fldChar w:fldCharType="end"/>
    </w:r>
    <w:r w:rsidRPr="00F469D4">
      <w:t>:</w:t>
    </w:r>
    <w:r w:rsidRPr="00F469D4">
      <w:fldChar w:fldCharType="begin" w:fldLock="1"/>
    </w:r>
    <w:r w:rsidRPr="00F469D4">
      <w:instrText xml:space="preserve"> DOCPROPERTY "Motionsnummer" *\charformat </w:instrText>
    </w:r>
    <w:r w:rsidRPr="00F469D4">
      <w:fldChar w:fldCharType="separate"/>
    </w:r>
    <w:r w:rsidR="002E4BC4" w:rsidRPr="00F469D4">
      <w:t>U230</w:t>
    </w:r>
    <w:r w:rsidRPr="00F469D4">
      <w:fldChar w:fldCharType="end"/>
    </w:r>
  </w:p>
  <w:p w:rsidR="005A28AA" w:rsidRPr="00F469D4" w:rsidRDefault="005A28AA">
    <w:pPr>
      <w:pStyle w:val="FSHNormalS5"/>
    </w:pPr>
    <w:r w:rsidRPr="00F469D4">
      <w:fldChar w:fldCharType="begin" w:fldLock="1"/>
    </w:r>
    <w:r w:rsidRPr="00F469D4">
      <w:instrText xml:space="preserve"> DOCPROPERTY "MotionarText" *\charformat </w:instrText>
    </w:r>
    <w:r w:rsidRPr="00F469D4">
      <w:fldChar w:fldCharType="separate"/>
    </w:r>
    <w:r w:rsidR="002E4BC4" w:rsidRPr="00F469D4">
      <w:t>av Sten Tolgfors (m)</w:t>
    </w:r>
    <w:r w:rsidRPr="00F469D4">
      <w:fldChar w:fldCharType="end"/>
    </w:r>
    <w:r w:rsidRPr="00F469D4">
      <w:br/>
    </w:r>
    <w:r w:rsidRPr="00F469D4">
      <w:fldChar w:fldCharType="begin" w:fldLock="1"/>
    </w:r>
    <w:r w:rsidRPr="00F469D4">
      <w:instrText xml:space="preserve"> DOCPROPERTY "SvarFrasKort" *\charformat </w:instrText>
    </w:r>
    <w:r w:rsidRPr="00F469D4">
      <w:fldChar w:fldCharType="end"/>
    </w:r>
  </w:p>
  <w:p w:rsidR="005A28AA" w:rsidRPr="00F469D4" w:rsidRDefault="005A28AA">
    <w:pPr>
      <w:pStyle w:val="FSHTitel"/>
    </w:pPr>
    <w:r w:rsidRPr="00F469D4">
      <w:fldChar w:fldCharType="begin" w:fldLock="1"/>
    </w:r>
    <w:r w:rsidRPr="00F469D4">
      <w:instrText xml:space="preserve"> DOCPROPERTY</w:instrText>
    </w:r>
    <w:r w:rsidRPr="00F469D4">
      <w:rPr>
        <w:sz w:val="18"/>
      </w:rPr>
      <w:instrText xml:space="preserve"> "RubrikSvar" *\charformat </w:instrText>
    </w:r>
    <w:r w:rsidRPr="00F469D4">
      <w:fldChar w:fldCharType="separate"/>
    </w:r>
    <w:r w:rsidR="002E4BC4" w:rsidRPr="00F469D4">
      <w:t>Regeringens hantering av EU:s vapenexportembargo mot Kina</w:t>
    </w:r>
    <w:r w:rsidRPr="00F469D4">
      <w:fldChar w:fldCharType="end"/>
    </w:r>
  </w:p>
  <w:p w:rsidR="005A28AA" w:rsidRPr="00F469D4" w:rsidRDefault="005A28AA" w:rsidP="005A28A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933577"/>
    <w:multiLevelType w:val="multilevel"/>
    <w:tmpl w:val="D9F2D9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370595">
    <w:abstractNumId w:val="14"/>
  </w:num>
  <w:num w:numId="2" w16cid:durableId="577177322">
    <w:abstractNumId w:val="10"/>
  </w:num>
  <w:num w:numId="3" w16cid:durableId="1647779808">
    <w:abstractNumId w:val="12"/>
  </w:num>
  <w:num w:numId="4" w16cid:durableId="424692704">
    <w:abstractNumId w:val="13"/>
  </w:num>
  <w:num w:numId="5" w16cid:durableId="623971368">
    <w:abstractNumId w:val="8"/>
  </w:num>
  <w:num w:numId="6" w16cid:durableId="247232184">
    <w:abstractNumId w:val="3"/>
  </w:num>
  <w:num w:numId="7" w16cid:durableId="1108542571">
    <w:abstractNumId w:val="2"/>
  </w:num>
  <w:num w:numId="8" w16cid:durableId="672924338">
    <w:abstractNumId w:val="1"/>
  </w:num>
  <w:num w:numId="9" w16cid:durableId="136530900">
    <w:abstractNumId w:val="0"/>
  </w:num>
  <w:num w:numId="10" w16cid:durableId="1485733673">
    <w:abstractNumId w:val="9"/>
  </w:num>
  <w:num w:numId="11" w16cid:durableId="405150077">
    <w:abstractNumId w:val="7"/>
  </w:num>
  <w:num w:numId="12" w16cid:durableId="381682572">
    <w:abstractNumId w:val="6"/>
  </w:num>
  <w:num w:numId="13" w16cid:durableId="820731643">
    <w:abstractNumId w:val="5"/>
  </w:num>
  <w:num w:numId="14" w16cid:durableId="2116174662">
    <w:abstractNumId w:val="4"/>
  </w:num>
  <w:num w:numId="15" w16cid:durableId="325522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CB05A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E4BC4"/>
    <w:rsid w:val="00445271"/>
    <w:rsid w:val="0046108C"/>
    <w:rsid w:val="004A0504"/>
    <w:rsid w:val="004E38D9"/>
    <w:rsid w:val="005A28AA"/>
    <w:rsid w:val="00740D6D"/>
    <w:rsid w:val="00750278"/>
    <w:rsid w:val="00783C19"/>
    <w:rsid w:val="00794149"/>
    <w:rsid w:val="007B67A7"/>
    <w:rsid w:val="007C6092"/>
    <w:rsid w:val="007D4090"/>
    <w:rsid w:val="007E28A8"/>
    <w:rsid w:val="007E34F9"/>
    <w:rsid w:val="00945240"/>
    <w:rsid w:val="00A053C6"/>
    <w:rsid w:val="00B05035"/>
    <w:rsid w:val="00B13BF0"/>
    <w:rsid w:val="00C1285C"/>
    <w:rsid w:val="00C27B7D"/>
    <w:rsid w:val="00CB05AB"/>
    <w:rsid w:val="00D1174F"/>
    <w:rsid w:val="00DC6C70"/>
    <w:rsid w:val="00E157E2"/>
    <w:rsid w:val="00E22893"/>
    <w:rsid w:val="00E360DE"/>
    <w:rsid w:val="00E75D28"/>
    <w:rsid w:val="00E84F25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B8C973-7302-4905-89FB-58C25DCC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B05A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B05A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B05A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B05A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B05A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B05A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B05A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B05AB"/>
    <w:pPr>
      <w:outlineLvl w:val="7"/>
    </w:pPr>
  </w:style>
  <w:style w:type="paragraph" w:styleId="Rubrik9">
    <w:name w:val="heading 9"/>
    <w:basedOn w:val="Rubrik8"/>
    <w:next w:val="Normal"/>
    <w:qFormat/>
    <w:rsid w:val="00CB05A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A28A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A28A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45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535</Words>
  <Characters>3174</Characters>
  <Application>Microsoft Office Word</Application>
  <DocSecurity>4</DocSecurity>
  <Lines>66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U230</vt:lpstr>
    </vt:vector>
  </TitlesOfParts>
  <Company>Riksdagen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U230</dc:title>
  <dc:subject>U230</dc:subject>
  <dc:creator>Riksdagen</dc:creator>
  <cp:keywords>Riksdagen</cp:keywords>
  <dc:description/>
  <cp:lastModifiedBy>Lars Brink</cp:lastModifiedBy>
  <cp:revision>2</cp:revision>
  <cp:lastPrinted>2006-01-17T13:01:00Z</cp:lastPrinted>
  <dcterms:created xsi:type="dcterms:W3CDTF">2025-12-16T21:45:00Z</dcterms:created>
  <dcterms:modified xsi:type="dcterms:W3CDTF">2025-12-16T21:45:00Z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Regeringens hantering av EU:s vapenexportembargo mot Kina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Regeringens hantering av EU:s vapenexportembargo mot Kina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Tolgfors (m)</vt:lpwstr>
  </property>
  <property fmtid="{D5CDD505-2E9C-101B-9397-08002B2CF9AE}" pid="26" name="MotionarLista">
    <vt:lpwstr>Tolgfors, Sten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Tolgfors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20052006000000000109000013910069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20052006000000000109000013910069</vt:lpwstr>
  </property>
  <property fmtid="{D5CDD505-2E9C-101B-9397-08002B2CF9AE}" pid="50" name="nummer">
    <vt:lpwstr>230</vt:lpwstr>
  </property>
  <property fmtid="{D5CDD505-2E9C-101B-9397-08002B2CF9AE}" pid="51" name="utskottsbeteckning">
    <vt:lpwstr>U</vt:lpwstr>
  </property>
</Properties>
</file>