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6131F9F4"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9C77E6">
              <w:rPr>
                <w:b/>
              </w:rPr>
              <w:t>25</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2BDE616F" w:rsidR="00447E69" w:rsidRDefault="00BB7028" w:rsidP="007765ED">
            <w:r>
              <w:t>20</w:t>
            </w:r>
            <w:r w:rsidR="005F0E85">
              <w:t>2</w:t>
            </w:r>
            <w:r w:rsidR="002406D5">
              <w:t>5</w:t>
            </w:r>
            <w:r w:rsidR="00520D71">
              <w:t>-</w:t>
            </w:r>
            <w:r w:rsidR="009C77E6">
              <w:t>02</w:t>
            </w:r>
            <w:r w:rsidR="00520D71">
              <w:t>-</w:t>
            </w:r>
            <w:r w:rsidR="009C77E6">
              <w:t>18</w:t>
            </w:r>
          </w:p>
        </w:tc>
      </w:tr>
      <w:tr w:rsidR="00447E69" w14:paraId="55018730" w14:textId="77777777">
        <w:tc>
          <w:tcPr>
            <w:tcW w:w="1985" w:type="dxa"/>
          </w:tcPr>
          <w:p w14:paraId="664E9CD2" w14:textId="77777777" w:rsidR="00447E69" w:rsidRDefault="00447E69">
            <w:r>
              <w:t>TID</w:t>
            </w:r>
          </w:p>
        </w:tc>
        <w:tc>
          <w:tcPr>
            <w:tcW w:w="6463" w:type="dxa"/>
          </w:tcPr>
          <w:p w14:paraId="70E324A3" w14:textId="5138B177" w:rsidR="00447E69" w:rsidRDefault="009C77E6">
            <w:r>
              <w:t>11</w:t>
            </w:r>
            <w:r w:rsidR="00306F1B">
              <w:t>:00</w:t>
            </w:r>
            <w:r w:rsidR="00FA543D">
              <w:t>–</w:t>
            </w:r>
            <w:r w:rsidR="00C20876" w:rsidRPr="00C20876">
              <w:t>11</w:t>
            </w:r>
            <w:r w:rsidR="00A77DB6" w:rsidRPr="00C20876">
              <w:t>:</w:t>
            </w:r>
            <w:r w:rsidR="00C20876">
              <w:t>55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C77E6" w14:paraId="1FFA36CB" w14:textId="77777777" w:rsidTr="0001177E">
        <w:tc>
          <w:tcPr>
            <w:tcW w:w="567" w:type="dxa"/>
          </w:tcPr>
          <w:p w14:paraId="6F5FC333" w14:textId="77777777" w:rsidR="009C77E6" w:rsidRPr="003B4DE8" w:rsidRDefault="009C77E6" w:rsidP="003B4DE8">
            <w:pPr>
              <w:pStyle w:val="Liststycke"/>
              <w:numPr>
                <w:ilvl w:val="0"/>
                <w:numId w:val="2"/>
              </w:numPr>
              <w:tabs>
                <w:tab w:val="left" w:pos="1701"/>
              </w:tabs>
              <w:rPr>
                <w:b/>
                <w:snapToGrid w:val="0"/>
              </w:rPr>
            </w:pPr>
          </w:p>
        </w:tc>
        <w:tc>
          <w:tcPr>
            <w:tcW w:w="6946" w:type="dxa"/>
            <w:gridSpan w:val="2"/>
          </w:tcPr>
          <w:p w14:paraId="4EBE4DB8" w14:textId="67A99E2C" w:rsidR="009C77E6" w:rsidRDefault="009C77E6">
            <w:pPr>
              <w:tabs>
                <w:tab w:val="left" w:pos="1701"/>
              </w:tabs>
              <w:rPr>
                <w:b/>
              </w:rPr>
            </w:pPr>
            <w:r>
              <w:rPr>
                <w:b/>
              </w:rPr>
              <w:t xml:space="preserve">EU-överläggning </w:t>
            </w:r>
            <w:r w:rsidRPr="00E60646">
              <w:rPr>
                <w:b/>
              </w:rPr>
              <w:t xml:space="preserve">om </w:t>
            </w:r>
            <w:r w:rsidR="00210354">
              <w:rPr>
                <w:b/>
              </w:rPr>
              <w:t xml:space="preserve">utkast till </w:t>
            </w:r>
            <w:proofErr w:type="spellStart"/>
            <w:r w:rsidRPr="00E60646">
              <w:rPr>
                <w:b/>
              </w:rPr>
              <w:t>rådsslutsatser</w:t>
            </w:r>
            <w:proofErr w:type="spellEnd"/>
            <w:r w:rsidRPr="00E60646">
              <w:rPr>
                <w:b/>
              </w:rPr>
              <w:t xml:space="preserve"> om inkluderande, elevcentrerad utbildning inom förskola och skola</w:t>
            </w:r>
          </w:p>
          <w:p w14:paraId="3E3E7AF4" w14:textId="09E295AF" w:rsidR="009C77E6" w:rsidRDefault="009C77E6">
            <w:pPr>
              <w:tabs>
                <w:tab w:val="left" w:pos="1701"/>
              </w:tabs>
              <w:rPr>
                <w:b/>
              </w:rPr>
            </w:pPr>
          </w:p>
          <w:p w14:paraId="54950FD9" w14:textId="420DA417" w:rsidR="00210354" w:rsidRDefault="00210354">
            <w:pPr>
              <w:tabs>
                <w:tab w:val="left" w:pos="1701"/>
              </w:tabs>
              <w:rPr>
                <w:bCs/>
              </w:rPr>
            </w:pPr>
            <w:r>
              <w:rPr>
                <w:bCs/>
              </w:rPr>
              <w:t xml:space="preserve">Utskottet överlade med statssekreterare David Lindberg, biträdd av medarbetare från Utbildningsdepartementet, om ett utkast </w:t>
            </w:r>
            <w:r w:rsidRPr="00210354">
              <w:rPr>
                <w:bCs/>
              </w:rPr>
              <w:t xml:space="preserve">till </w:t>
            </w:r>
            <w:proofErr w:type="spellStart"/>
            <w:r w:rsidRPr="00210354">
              <w:rPr>
                <w:bCs/>
              </w:rPr>
              <w:t>rådsslutsatser</w:t>
            </w:r>
            <w:proofErr w:type="spellEnd"/>
            <w:r w:rsidRPr="00210354">
              <w:rPr>
                <w:bCs/>
              </w:rPr>
              <w:t xml:space="preserve"> om inkluderande, elevcentrerad utbildning inom förskola och skola</w:t>
            </w:r>
            <w:r>
              <w:rPr>
                <w:bCs/>
              </w:rPr>
              <w:t>.</w:t>
            </w:r>
          </w:p>
          <w:p w14:paraId="205CEAE9" w14:textId="77777777" w:rsidR="00210354" w:rsidRDefault="00210354">
            <w:pPr>
              <w:tabs>
                <w:tab w:val="left" w:pos="1701"/>
              </w:tabs>
              <w:rPr>
                <w:bCs/>
              </w:rPr>
            </w:pPr>
          </w:p>
          <w:p w14:paraId="55211149" w14:textId="396C03C5" w:rsidR="00210354" w:rsidRDefault="00210354">
            <w:pPr>
              <w:tabs>
                <w:tab w:val="left" w:pos="1701"/>
              </w:tabs>
              <w:rPr>
                <w:bCs/>
                <w:i/>
                <w:iCs/>
              </w:rPr>
            </w:pPr>
            <w:r w:rsidRPr="00210354">
              <w:rPr>
                <w:bCs/>
                <w:i/>
                <w:iCs/>
              </w:rPr>
              <w:t>Underlag för överläggningen</w:t>
            </w:r>
          </w:p>
          <w:p w14:paraId="3A1B59D2" w14:textId="77777777" w:rsidR="00210354" w:rsidRPr="00210354" w:rsidRDefault="00210354" w:rsidP="00210354">
            <w:pPr>
              <w:tabs>
                <w:tab w:val="left" w:pos="1701"/>
              </w:tabs>
              <w:rPr>
                <w:bCs/>
              </w:rPr>
            </w:pPr>
            <w:r w:rsidRPr="00210354">
              <w:rPr>
                <w:bCs/>
              </w:rPr>
              <w:t xml:space="preserve">Överläggningspromemoria från Utbildningsdepartementet (dnr </w:t>
            </w:r>
            <w:proofErr w:type="gramStart"/>
            <w:r w:rsidRPr="00210354">
              <w:rPr>
                <w:bCs/>
              </w:rPr>
              <w:t>1090-2024</w:t>
            </w:r>
            <w:proofErr w:type="gramEnd"/>
            <w:r w:rsidRPr="00210354">
              <w:rPr>
                <w:bCs/>
              </w:rPr>
              <w:t>/25)</w:t>
            </w:r>
          </w:p>
          <w:p w14:paraId="7FD96432" w14:textId="420776E1" w:rsidR="00210354" w:rsidRPr="00210354" w:rsidRDefault="00210354" w:rsidP="00210354">
            <w:pPr>
              <w:tabs>
                <w:tab w:val="left" w:pos="1701"/>
              </w:tabs>
              <w:rPr>
                <w:bCs/>
              </w:rPr>
            </w:pPr>
            <w:r w:rsidRPr="00210354">
              <w:rPr>
                <w:bCs/>
              </w:rPr>
              <w:t>Rådsdokument ST 5720/2025</w:t>
            </w:r>
          </w:p>
          <w:p w14:paraId="33687ECA" w14:textId="77777777" w:rsidR="00210354" w:rsidRDefault="00210354" w:rsidP="00210354">
            <w:pPr>
              <w:tabs>
                <w:tab w:val="left" w:pos="1701"/>
              </w:tabs>
              <w:rPr>
                <w:bCs/>
                <w:i/>
                <w:iCs/>
              </w:rPr>
            </w:pPr>
          </w:p>
          <w:p w14:paraId="4C9D6C9C" w14:textId="02D71C2F" w:rsidR="00210354" w:rsidRDefault="00210354">
            <w:pPr>
              <w:tabs>
                <w:tab w:val="left" w:pos="1701"/>
              </w:tabs>
              <w:rPr>
                <w:bCs/>
                <w:i/>
                <w:iCs/>
              </w:rPr>
            </w:pPr>
            <w:r w:rsidRPr="00210354">
              <w:rPr>
                <w:bCs/>
                <w:i/>
                <w:iCs/>
              </w:rPr>
              <w:t>Regeringens förslag till svensk ståndpunkt</w:t>
            </w:r>
          </w:p>
          <w:p w14:paraId="42ECFE0B" w14:textId="6210D911" w:rsidR="00210354" w:rsidRDefault="00210354" w:rsidP="00210354">
            <w:pPr>
              <w:tabs>
                <w:tab w:val="left" w:pos="1701"/>
              </w:tabs>
              <w:rPr>
                <w:bCs/>
              </w:rPr>
            </w:pPr>
            <w:r w:rsidRPr="00210354">
              <w:rPr>
                <w:bCs/>
              </w:rPr>
              <w:t xml:space="preserve">Regeringen anser att arbetet inom utbildningsområdet på EU-nivå inte ska gå utöver det som ryms inom EU:s befogenheter samt att de nationella systemen ska respekteras, vilket även gäller beslut om finansiering. </w:t>
            </w:r>
          </w:p>
          <w:p w14:paraId="3B64564B" w14:textId="77777777" w:rsidR="00210354" w:rsidRPr="00210354" w:rsidRDefault="00210354" w:rsidP="00210354">
            <w:pPr>
              <w:tabs>
                <w:tab w:val="left" w:pos="1701"/>
              </w:tabs>
              <w:rPr>
                <w:bCs/>
              </w:rPr>
            </w:pPr>
          </w:p>
          <w:p w14:paraId="18DAB940" w14:textId="6632DC91" w:rsidR="00210354" w:rsidRDefault="00210354" w:rsidP="00210354">
            <w:pPr>
              <w:tabs>
                <w:tab w:val="left" w:pos="1701"/>
              </w:tabs>
              <w:rPr>
                <w:bCs/>
              </w:rPr>
            </w:pPr>
            <w:r w:rsidRPr="00210354">
              <w:rPr>
                <w:bCs/>
              </w:rPr>
              <w:t xml:space="preserve">Regeringen stödjer arbete som betonar vikten av att alla ska ha samma tillgång till utbildning av hög kvalitet. Regeringen ställer sig även bakom insatser för att fler elever ska kunna tillgodogöra sig undervisningen och lyckas nå målen i de obligatoriska skolformerna, liksom arbete för att minska andelen elever som inte blir behöriga till gymnasieskolan och därmed också minska risken för skolavhopp. </w:t>
            </w:r>
          </w:p>
          <w:p w14:paraId="48449977" w14:textId="77777777" w:rsidR="00210354" w:rsidRPr="00210354" w:rsidRDefault="00210354" w:rsidP="00210354">
            <w:pPr>
              <w:tabs>
                <w:tab w:val="left" w:pos="1701"/>
              </w:tabs>
              <w:rPr>
                <w:bCs/>
              </w:rPr>
            </w:pPr>
          </w:p>
          <w:p w14:paraId="1A018A25" w14:textId="0AC04E90" w:rsidR="00210354" w:rsidRDefault="00210354" w:rsidP="00210354">
            <w:pPr>
              <w:tabs>
                <w:tab w:val="left" w:pos="1701"/>
              </w:tabs>
              <w:rPr>
                <w:bCs/>
              </w:rPr>
            </w:pPr>
            <w:r w:rsidRPr="00210354">
              <w:rPr>
                <w:bCs/>
              </w:rPr>
              <w:t>När det gäller inkludering vill regeringen framhålla att det inte är en självklarhet att alla elever med behov av stödinsatser bäst får dem inom ramarna för den ordinarie undervisningen. I en del fall behövs stödinsatser utanför den ordinarie undervisningen. Det kan bland annat handla om insatser för att höja baskunskaper inom läs- och skrivförmåga men också om stöd av speciallärare, tillgång till mindre undervisningsgrupper och tillgång till elevhälsa av god kvalité.</w:t>
            </w:r>
          </w:p>
          <w:p w14:paraId="0E92A61C" w14:textId="77777777" w:rsidR="00210354" w:rsidRPr="00210354" w:rsidRDefault="00210354" w:rsidP="00210354">
            <w:pPr>
              <w:tabs>
                <w:tab w:val="left" w:pos="1701"/>
              </w:tabs>
              <w:rPr>
                <w:bCs/>
              </w:rPr>
            </w:pPr>
          </w:p>
          <w:p w14:paraId="481D6244" w14:textId="19046676" w:rsidR="00210354" w:rsidRDefault="00210354" w:rsidP="00210354">
            <w:pPr>
              <w:tabs>
                <w:tab w:val="left" w:pos="1701"/>
              </w:tabs>
              <w:rPr>
                <w:bCs/>
              </w:rPr>
            </w:pPr>
            <w:r w:rsidRPr="00210354">
              <w:rPr>
                <w:bCs/>
              </w:rPr>
              <w:t>Regeringen vill vidare betona att stöd till elever inte ska omgärdas av betungande och ibland onödiga administrativa hinder. Det är avgörande att lärare får vara lärare i klassrummet. Stöd har för ofta hindrats av administrativa procedurer och för mycket inblandning i läraryrket.</w:t>
            </w:r>
          </w:p>
          <w:p w14:paraId="58DB8B17" w14:textId="77777777" w:rsidR="00210354" w:rsidRPr="00210354" w:rsidRDefault="00210354" w:rsidP="00210354">
            <w:pPr>
              <w:tabs>
                <w:tab w:val="left" w:pos="1701"/>
              </w:tabs>
              <w:rPr>
                <w:bCs/>
              </w:rPr>
            </w:pPr>
          </w:p>
          <w:p w14:paraId="2A4FA6B7" w14:textId="7973E378" w:rsidR="00210354" w:rsidRDefault="00210354" w:rsidP="00210354">
            <w:pPr>
              <w:tabs>
                <w:tab w:val="left" w:pos="1701"/>
              </w:tabs>
              <w:rPr>
                <w:bCs/>
              </w:rPr>
            </w:pPr>
            <w:r w:rsidRPr="00210354">
              <w:rPr>
                <w:bCs/>
              </w:rPr>
              <w:t xml:space="preserve">Regeringen betonar att utbildning och utbildningsreformer ska bygga på och utgå från vetenskaplig grund och beprövad erfarenhet. Det är av yttersta vikt att skola och utbildning tar till sig och kan använda sig av den bästa tillgängliga kunskapen. </w:t>
            </w:r>
          </w:p>
          <w:p w14:paraId="6DEA64EF" w14:textId="77777777" w:rsidR="00210354" w:rsidRPr="00210354" w:rsidRDefault="00210354" w:rsidP="00210354">
            <w:pPr>
              <w:tabs>
                <w:tab w:val="left" w:pos="1701"/>
              </w:tabs>
              <w:rPr>
                <w:bCs/>
              </w:rPr>
            </w:pPr>
          </w:p>
          <w:p w14:paraId="4CBB966B" w14:textId="0123C489" w:rsidR="00210354" w:rsidRDefault="00210354" w:rsidP="00210354">
            <w:pPr>
              <w:tabs>
                <w:tab w:val="left" w:pos="1701"/>
              </w:tabs>
              <w:rPr>
                <w:bCs/>
              </w:rPr>
            </w:pPr>
            <w:r w:rsidRPr="00210354">
              <w:rPr>
                <w:bCs/>
              </w:rPr>
              <w:t>Det är även av största vikt att arbeta för ett jämlikt och jämställt utbildningssystem som utjämnar livschanser. Detta främjar livslångt lärande för alla, oavsett exempelvis bakgrund, kön, ålder, funktionsnedsättning och bostadsort.</w:t>
            </w:r>
          </w:p>
          <w:p w14:paraId="54377311" w14:textId="77777777" w:rsidR="00210354" w:rsidRPr="00210354" w:rsidRDefault="00210354" w:rsidP="00210354">
            <w:pPr>
              <w:tabs>
                <w:tab w:val="left" w:pos="1701"/>
              </w:tabs>
              <w:rPr>
                <w:bCs/>
              </w:rPr>
            </w:pPr>
          </w:p>
          <w:p w14:paraId="53865BD7" w14:textId="6E462EF6" w:rsidR="00210354" w:rsidRDefault="00210354" w:rsidP="00210354">
            <w:pPr>
              <w:tabs>
                <w:tab w:val="left" w:pos="1701"/>
              </w:tabs>
              <w:rPr>
                <w:bCs/>
              </w:rPr>
            </w:pPr>
            <w:r w:rsidRPr="00210354">
              <w:rPr>
                <w:bCs/>
              </w:rPr>
              <w:t>Regeringen anser det värdefullt med ett fortsatt erfarenhetsutbyte mellan medlemsländerna om jämlikhet i utbildning, vilket innebär diskussioner både om erfarenheter från nationella insatser och möjliga åtgärder på EU-nivå.</w:t>
            </w:r>
          </w:p>
          <w:p w14:paraId="15848C3B" w14:textId="77777777" w:rsidR="00210354" w:rsidRPr="00210354" w:rsidRDefault="00210354" w:rsidP="00210354">
            <w:pPr>
              <w:tabs>
                <w:tab w:val="left" w:pos="1701"/>
              </w:tabs>
              <w:rPr>
                <w:bCs/>
              </w:rPr>
            </w:pPr>
          </w:p>
          <w:p w14:paraId="647E2031" w14:textId="77777777" w:rsidR="00210354" w:rsidRPr="00210354" w:rsidRDefault="00210354" w:rsidP="00210354">
            <w:pPr>
              <w:tabs>
                <w:tab w:val="left" w:pos="1701"/>
              </w:tabs>
              <w:rPr>
                <w:bCs/>
              </w:rPr>
            </w:pPr>
            <w:r w:rsidRPr="00210354">
              <w:rPr>
                <w:bCs/>
              </w:rPr>
              <w:t>Regeringen är tveksam till initiativ som innebär ett utökat insamlande av data på EU-nivå och förordar i stället att de data som redan samlas in används på ett så effektivt sätt som möjligt.</w:t>
            </w:r>
          </w:p>
          <w:p w14:paraId="1160D81F" w14:textId="4B4FD4B6" w:rsidR="00210354" w:rsidRDefault="00210354">
            <w:pPr>
              <w:tabs>
                <w:tab w:val="left" w:pos="1701"/>
              </w:tabs>
              <w:rPr>
                <w:bCs/>
                <w:i/>
                <w:iCs/>
              </w:rPr>
            </w:pPr>
          </w:p>
          <w:p w14:paraId="3D75833D" w14:textId="6CD68D24" w:rsidR="00210354" w:rsidRDefault="00210354" w:rsidP="00210354">
            <w:pPr>
              <w:tabs>
                <w:tab w:val="left" w:pos="1701"/>
              </w:tabs>
              <w:rPr>
                <w:bCs/>
              </w:rPr>
            </w:pPr>
            <w:r>
              <w:rPr>
                <w:bCs/>
                <w:i/>
                <w:iCs/>
              </w:rPr>
              <w:t>Överläggningen</w:t>
            </w:r>
            <w:r>
              <w:rPr>
                <w:bCs/>
                <w:i/>
                <w:iCs/>
              </w:rPr>
              <w:br/>
            </w:r>
            <w:r w:rsidRPr="00210354">
              <w:rPr>
                <w:bCs/>
              </w:rPr>
              <w:t>Ordföranden konstaterade att det fanns stöd för regeringens ståndpunkt.</w:t>
            </w:r>
          </w:p>
          <w:p w14:paraId="7DF19C07" w14:textId="38FBC5C9" w:rsidR="00210354" w:rsidRDefault="00210354" w:rsidP="00210354">
            <w:pPr>
              <w:tabs>
                <w:tab w:val="left" w:pos="1701"/>
              </w:tabs>
              <w:rPr>
                <w:bCs/>
              </w:rPr>
            </w:pPr>
          </w:p>
          <w:p w14:paraId="2DDF72A2" w14:textId="137DBD81" w:rsidR="00210354" w:rsidRDefault="00210354" w:rsidP="00210354">
            <w:pPr>
              <w:tabs>
                <w:tab w:val="left" w:pos="1701"/>
              </w:tabs>
              <w:rPr>
                <w:bCs/>
              </w:rPr>
            </w:pPr>
            <w:r w:rsidRPr="004B13A8">
              <w:rPr>
                <w:bCs/>
              </w:rPr>
              <w:t>Ledam</w:t>
            </w:r>
            <w:r w:rsidR="00D867B9" w:rsidRPr="004B13A8">
              <w:rPr>
                <w:bCs/>
              </w:rPr>
              <w:t>oten</w:t>
            </w:r>
            <w:r w:rsidRPr="004B13A8">
              <w:rPr>
                <w:bCs/>
              </w:rPr>
              <w:t xml:space="preserve"> från </w:t>
            </w:r>
            <w:r w:rsidR="00D867B9" w:rsidRPr="004B13A8">
              <w:rPr>
                <w:bCs/>
              </w:rPr>
              <w:t>Vänsterpartiet</w:t>
            </w:r>
            <w:r w:rsidRPr="004B13A8">
              <w:rPr>
                <w:bCs/>
              </w:rPr>
              <w:t xml:space="preserve"> anmälde följande avvikande ståndpunkt:</w:t>
            </w:r>
          </w:p>
          <w:p w14:paraId="59DBC891" w14:textId="5FAA402F" w:rsidR="00A753D3" w:rsidRDefault="00A753D3" w:rsidP="00210354">
            <w:pPr>
              <w:tabs>
                <w:tab w:val="left" w:pos="1701"/>
              </w:tabs>
              <w:rPr>
                <w:bCs/>
              </w:rPr>
            </w:pPr>
          </w:p>
          <w:p w14:paraId="216D3F4A" w14:textId="5F77E252" w:rsidR="00A753D3" w:rsidRDefault="00A753D3" w:rsidP="00210354">
            <w:pPr>
              <w:tabs>
                <w:tab w:val="left" w:pos="1701"/>
              </w:tabs>
              <w:rPr>
                <w:bCs/>
              </w:rPr>
            </w:pPr>
            <w:r>
              <w:rPr>
                <w:bCs/>
              </w:rPr>
              <w:t>Jag anser frågan vara inom ramen för nationell kompetens.</w:t>
            </w:r>
          </w:p>
          <w:p w14:paraId="2D051120" w14:textId="366ED0BE" w:rsidR="00C667D7" w:rsidRDefault="00C667D7" w:rsidP="00210354">
            <w:pPr>
              <w:tabs>
                <w:tab w:val="left" w:pos="1701"/>
              </w:tabs>
              <w:rPr>
                <w:bCs/>
              </w:rPr>
            </w:pPr>
          </w:p>
          <w:p w14:paraId="544AD3E0" w14:textId="552FD630" w:rsidR="00C667D7" w:rsidRPr="00210354" w:rsidRDefault="00C667D7" w:rsidP="00210354">
            <w:pPr>
              <w:tabs>
                <w:tab w:val="left" w:pos="1701"/>
              </w:tabs>
              <w:rPr>
                <w:bCs/>
                <w:i/>
                <w:iCs/>
              </w:rPr>
            </w:pPr>
            <w:r>
              <w:rPr>
                <w:bCs/>
              </w:rPr>
              <w:t>Denna paragraf förklarades omedelbart justerad.</w:t>
            </w:r>
          </w:p>
          <w:p w14:paraId="47D05FDB" w14:textId="75B8666E" w:rsidR="009C77E6" w:rsidRDefault="009C77E6">
            <w:pPr>
              <w:tabs>
                <w:tab w:val="left" w:pos="1701"/>
              </w:tabs>
              <w:rPr>
                <w:b/>
                <w:snapToGrid w:val="0"/>
              </w:rPr>
            </w:pPr>
          </w:p>
        </w:tc>
      </w:tr>
      <w:tr w:rsidR="009C77E6" w14:paraId="203ADB99" w14:textId="77777777" w:rsidTr="0001177E">
        <w:tc>
          <w:tcPr>
            <w:tcW w:w="567" w:type="dxa"/>
          </w:tcPr>
          <w:p w14:paraId="64D515CE" w14:textId="77777777" w:rsidR="009C77E6" w:rsidRPr="003B4DE8" w:rsidRDefault="009C77E6" w:rsidP="003B4DE8">
            <w:pPr>
              <w:pStyle w:val="Liststycke"/>
              <w:numPr>
                <w:ilvl w:val="0"/>
                <w:numId w:val="2"/>
              </w:numPr>
              <w:tabs>
                <w:tab w:val="left" w:pos="1701"/>
              </w:tabs>
              <w:rPr>
                <w:b/>
                <w:snapToGrid w:val="0"/>
              </w:rPr>
            </w:pPr>
          </w:p>
        </w:tc>
        <w:tc>
          <w:tcPr>
            <w:tcW w:w="6946" w:type="dxa"/>
            <w:gridSpan w:val="2"/>
          </w:tcPr>
          <w:p w14:paraId="70BA7BA9" w14:textId="77777777" w:rsidR="009C77E6" w:rsidRDefault="009C77E6">
            <w:pPr>
              <w:tabs>
                <w:tab w:val="left" w:pos="1701"/>
              </w:tabs>
              <w:rPr>
                <w:b/>
              </w:rPr>
            </w:pPr>
            <w:r w:rsidRPr="00E60646">
              <w:rPr>
                <w:b/>
              </w:rPr>
              <w:t>Information om Skolverkets rapport Lärarprognos 2024 (2025:2)</w:t>
            </w:r>
          </w:p>
          <w:p w14:paraId="337C90CC" w14:textId="77777777" w:rsidR="009C77E6" w:rsidRDefault="009C77E6">
            <w:pPr>
              <w:tabs>
                <w:tab w:val="left" w:pos="1701"/>
              </w:tabs>
              <w:rPr>
                <w:bCs/>
              </w:rPr>
            </w:pPr>
          </w:p>
          <w:p w14:paraId="49F91726" w14:textId="77777777" w:rsidR="009C77E6" w:rsidRDefault="009C77E6">
            <w:pPr>
              <w:tabs>
                <w:tab w:val="left" w:pos="1701"/>
              </w:tabs>
              <w:rPr>
                <w:bCs/>
              </w:rPr>
            </w:pPr>
            <w:r>
              <w:rPr>
                <w:bCs/>
              </w:rPr>
              <w:t xml:space="preserve">Medarbetare från Skolverket informerade om rapporten </w:t>
            </w:r>
            <w:r w:rsidRPr="009C77E6">
              <w:rPr>
                <w:bCs/>
              </w:rPr>
              <w:t>Lärarprognos 2024 (2025:2)</w:t>
            </w:r>
            <w:r>
              <w:rPr>
                <w:bCs/>
              </w:rPr>
              <w:t>.</w:t>
            </w:r>
          </w:p>
          <w:p w14:paraId="5DB26789" w14:textId="3DC85887" w:rsidR="009C77E6" w:rsidRPr="009C77E6" w:rsidRDefault="009C77E6">
            <w:pPr>
              <w:tabs>
                <w:tab w:val="left" w:pos="1701"/>
              </w:tabs>
              <w:rPr>
                <w:bCs/>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0B712B68"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FF2B62">
              <w:rPr>
                <w:snapToGrid w:val="0"/>
                <w:sz w:val="23"/>
                <w:szCs w:val="23"/>
              </w:rPr>
              <w:t>4</w:t>
            </w:r>
            <w:r w:rsidR="00267FC1" w:rsidRPr="008D4BF2">
              <w:rPr>
                <w:snapToGrid w:val="0"/>
                <w:sz w:val="23"/>
                <w:szCs w:val="23"/>
              </w:rPr>
              <w:t>/</w:t>
            </w:r>
            <w:r w:rsidR="00E362AB" w:rsidRPr="008D4BF2">
              <w:rPr>
                <w:snapToGrid w:val="0"/>
                <w:sz w:val="23"/>
                <w:szCs w:val="23"/>
              </w:rPr>
              <w:t>2</w:t>
            </w:r>
            <w:r w:rsidR="00FF2B62">
              <w:rPr>
                <w:snapToGrid w:val="0"/>
                <w:sz w:val="23"/>
                <w:szCs w:val="23"/>
              </w:rPr>
              <w:t>5</w:t>
            </w:r>
            <w:r w:rsidR="00A2367D" w:rsidRPr="008D4BF2">
              <w:rPr>
                <w:snapToGrid w:val="0"/>
                <w:sz w:val="23"/>
                <w:szCs w:val="23"/>
              </w:rPr>
              <w:t>:</w:t>
            </w:r>
            <w:r w:rsidR="009C77E6">
              <w:rPr>
                <w:snapToGrid w:val="0"/>
                <w:sz w:val="23"/>
                <w:szCs w:val="23"/>
              </w:rPr>
              <w:t>24</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4595FC45" w:rsidR="008D4BF2" w:rsidRDefault="009C77E6" w:rsidP="00BB7028">
            <w:pPr>
              <w:tabs>
                <w:tab w:val="left" w:pos="1701"/>
              </w:tabs>
              <w:rPr>
                <w:b/>
                <w:bCs/>
              </w:rPr>
            </w:pPr>
            <w:r w:rsidRPr="009C77E6">
              <w:rPr>
                <w:b/>
                <w:bCs/>
              </w:rPr>
              <w:t xml:space="preserve">Kommissionens arbetsprogram 2025 </w:t>
            </w:r>
          </w:p>
          <w:p w14:paraId="29B3A2CD" w14:textId="77777777" w:rsidR="00656420" w:rsidRDefault="00656420" w:rsidP="009C77E6">
            <w:pPr>
              <w:tabs>
                <w:tab w:val="left" w:pos="1701"/>
              </w:tabs>
            </w:pPr>
          </w:p>
          <w:p w14:paraId="2307583A" w14:textId="284A5B1F" w:rsidR="009C77E6" w:rsidRDefault="009C77E6" w:rsidP="009C77E6">
            <w:pPr>
              <w:tabs>
                <w:tab w:val="left" w:pos="1701"/>
              </w:tabs>
            </w:pPr>
            <w:r>
              <w:t>Utskottet behandlade frågan om yttrande till utrikesutskottet över Kommissionens arbetsprogram 2025</w:t>
            </w:r>
            <w:r w:rsidR="006F0696">
              <w:t xml:space="preserve">, </w:t>
            </w:r>
            <w:proofErr w:type="gramStart"/>
            <w:r w:rsidR="006F0696">
              <w:t>COM(</w:t>
            </w:r>
            <w:proofErr w:type="gramEnd"/>
            <w:r w:rsidR="006F0696">
              <w:t>2025) 45</w:t>
            </w:r>
            <w:r>
              <w:t xml:space="preserve">. </w:t>
            </w:r>
          </w:p>
          <w:p w14:paraId="382422DD" w14:textId="77777777" w:rsidR="009C77E6" w:rsidRDefault="009C77E6" w:rsidP="009C77E6">
            <w:pPr>
              <w:tabs>
                <w:tab w:val="left" w:pos="1701"/>
              </w:tabs>
            </w:pPr>
          </w:p>
          <w:p w14:paraId="3F98671E" w14:textId="77777777" w:rsidR="009C77E6" w:rsidRDefault="009C77E6" w:rsidP="009C77E6">
            <w:pPr>
              <w:tabs>
                <w:tab w:val="left" w:pos="1701"/>
              </w:tabs>
            </w:pPr>
            <w:r w:rsidRPr="00C20876">
              <w:t>Utskottet beslutade att inte yttra sig.</w:t>
            </w:r>
            <w:r>
              <w:t xml:space="preserve"> </w:t>
            </w:r>
          </w:p>
          <w:p w14:paraId="16211517" w14:textId="3ECBFCA8" w:rsidR="009C77E6" w:rsidRDefault="009C77E6" w:rsidP="009C77E6">
            <w:pPr>
              <w:tabs>
                <w:tab w:val="left" w:pos="1701"/>
              </w:tabs>
              <w:rPr>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2265A7DC"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6F0696">
              <w:rPr>
                <w:szCs w:val="24"/>
              </w:rPr>
              <w:t>tis</w:t>
            </w:r>
            <w:r w:rsidR="00BB7028">
              <w:rPr>
                <w:szCs w:val="24"/>
              </w:rPr>
              <w:t xml:space="preserve">dagen den </w:t>
            </w:r>
            <w:r w:rsidR="006F0696">
              <w:rPr>
                <w:szCs w:val="24"/>
              </w:rPr>
              <w:t>25 februari</w:t>
            </w:r>
            <w:r w:rsidR="008D4BF2">
              <w:rPr>
                <w:szCs w:val="24"/>
              </w:rPr>
              <w:t xml:space="preserve"> </w:t>
            </w:r>
            <w:r w:rsidR="00BB7028">
              <w:rPr>
                <w:szCs w:val="24"/>
              </w:rPr>
              <w:t>20</w:t>
            </w:r>
            <w:r w:rsidR="005F0E85">
              <w:rPr>
                <w:szCs w:val="24"/>
              </w:rPr>
              <w:t>2</w:t>
            </w:r>
            <w:r w:rsidR="002406D5">
              <w:rPr>
                <w:szCs w:val="24"/>
              </w:rPr>
              <w:t>5</w:t>
            </w:r>
            <w:r>
              <w:rPr>
                <w:szCs w:val="24"/>
              </w:rPr>
              <w:t xml:space="preserve"> kl. </w:t>
            </w:r>
            <w:r w:rsidR="006F0696">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lastRenderedPageBreak/>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5360867A" w:rsidR="00D817DA" w:rsidRDefault="006F0696"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2FDBB791" w:rsidR="00D817DA" w:rsidRDefault="00D817DA" w:rsidP="00D817DA">
            <w:pPr>
              <w:tabs>
                <w:tab w:val="left" w:pos="1701"/>
              </w:tabs>
            </w:pPr>
            <w:r w:rsidRPr="00C56172">
              <w:t xml:space="preserve">Justeras </w:t>
            </w:r>
            <w:r w:rsidR="006F0696">
              <w:t>tis</w:t>
            </w:r>
            <w:r w:rsidRPr="00C56172">
              <w:t xml:space="preserve">dagen </w:t>
            </w:r>
            <w:r w:rsidR="008D4BF2">
              <w:t xml:space="preserve">den </w:t>
            </w:r>
            <w:r w:rsidR="006F0696">
              <w:t>25</w:t>
            </w:r>
            <w:r w:rsidR="008D4BF2">
              <w:t xml:space="preserve"> </w:t>
            </w:r>
            <w:r w:rsidR="006F0696">
              <w:t>februari</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71B3EC54"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6F0696">
              <w:t>25</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60DD27F2"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CF165D">
              <w:rPr>
                <w:sz w:val="22"/>
              </w:rPr>
              <w:t>1-</w:t>
            </w:r>
            <w:r w:rsidR="00890FC6">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455B767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0E3676EE"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D6E2DA1" w:rsidR="00822AF4" w:rsidRDefault="00DA2E34" w:rsidP="007A14AA">
            <w:r>
              <w:t>O</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A09855E" w:rsidR="00822AF4" w:rsidRPr="00C145F4" w:rsidRDefault="009B47EF" w:rsidP="007A14AA">
            <w:pPr>
              <w:rPr>
                <w:sz w:val="22"/>
                <w:szCs w:val="22"/>
              </w:rPr>
            </w:pPr>
            <w:r>
              <w:rPr>
                <w:sz w:val="22"/>
                <w:szCs w:val="22"/>
              </w:rPr>
              <w:t>Noria Manouchi</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822AF4" w:rsidRDefault="007517AC"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149613A7" w:rsidR="00822AF4" w:rsidRDefault="00DA2E34" w:rsidP="007A14AA">
            <w:r>
              <w:t>O</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5A4E69AC" w:rsidR="00822AF4" w:rsidRDefault="009B47EF" w:rsidP="007A14AA">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E2C8D52"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45230DEE" w:rsidR="00822AF4" w:rsidRPr="009E1FCA" w:rsidRDefault="00DA2E3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199B5CF5"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33BAA010" w:rsidR="00822AF4" w:rsidRPr="009E1FCA" w:rsidRDefault="00DA2E3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68603042"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D28341C"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497DB84A" w:rsidR="00AB2E46" w:rsidRDefault="00AB2E46" w:rsidP="006F0696">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2FF7"/>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1F76DA"/>
    <w:rsid w:val="002059AD"/>
    <w:rsid w:val="00207D45"/>
    <w:rsid w:val="00210354"/>
    <w:rsid w:val="00210E6C"/>
    <w:rsid w:val="0022226E"/>
    <w:rsid w:val="00224EC3"/>
    <w:rsid w:val="00237DB6"/>
    <w:rsid w:val="002406D5"/>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B13A8"/>
    <w:rsid w:val="004C4C01"/>
    <w:rsid w:val="004C7522"/>
    <w:rsid w:val="004E024A"/>
    <w:rsid w:val="004E4037"/>
    <w:rsid w:val="00501D18"/>
    <w:rsid w:val="005054C4"/>
    <w:rsid w:val="00506F63"/>
    <w:rsid w:val="00520D71"/>
    <w:rsid w:val="005331E3"/>
    <w:rsid w:val="005349AA"/>
    <w:rsid w:val="005739C0"/>
    <w:rsid w:val="00575176"/>
    <w:rsid w:val="00576AFA"/>
    <w:rsid w:val="00587BBF"/>
    <w:rsid w:val="00590E57"/>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0696"/>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0FC6"/>
    <w:rsid w:val="008929D2"/>
    <w:rsid w:val="00895553"/>
    <w:rsid w:val="00896EBD"/>
    <w:rsid w:val="008B080B"/>
    <w:rsid w:val="008B4A0D"/>
    <w:rsid w:val="008B4E84"/>
    <w:rsid w:val="008C35C4"/>
    <w:rsid w:val="008D4BF2"/>
    <w:rsid w:val="008E2E78"/>
    <w:rsid w:val="008F2D58"/>
    <w:rsid w:val="008F6938"/>
    <w:rsid w:val="008F6C98"/>
    <w:rsid w:val="008F7983"/>
    <w:rsid w:val="009171C9"/>
    <w:rsid w:val="00923EFE"/>
    <w:rsid w:val="00925ABE"/>
    <w:rsid w:val="0094358D"/>
    <w:rsid w:val="0095212D"/>
    <w:rsid w:val="00960E59"/>
    <w:rsid w:val="00974B1C"/>
    <w:rsid w:val="00985715"/>
    <w:rsid w:val="009A1313"/>
    <w:rsid w:val="009A164A"/>
    <w:rsid w:val="009A1CEC"/>
    <w:rsid w:val="009A292F"/>
    <w:rsid w:val="009B47EF"/>
    <w:rsid w:val="009B52FA"/>
    <w:rsid w:val="009C77E6"/>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753D3"/>
    <w:rsid w:val="00A77DB6"/>
    <w:rsid w:val="00A84772"/>
    <w:rsid w:val="00A956F9"/>
    <w:rsid w:val="00AB2E46"/>
    <w:rsid w:val="00AB3B80"/>
    <w:rsid w:val="00AB5776"/>
    <w:rsid w:val="00AC33D3"/>
    <w:rsid w:val="00AD44A0"/>
    <w:rsid w:val="00AF0314"/>
    <w:rsid w:val="00AF4D2B"/>
    <w:rsid w:val="00AF62C3"/>
    <w:rsid w:val="00B1265F"/>
    <w:rsid w:val="00B22FB7"/>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45F4"/>
    <w:rsid w:val="00C150F8"/>
    <w:rsid w:val="00C20876"/>
    <w:rsid w:val="00C21DC4"/>
    <w:rsid w:val="00C24CCF"/>
    <w:rsid w:val="00C318F6"/>
    <w:rsid w:val="00C367F8"/>
    <w:rsid w:val="00C422E7"/>
    <w:rsid w:val="00C616C4"/>
    <w:rsid w:val="00C62BD3"/>
    <w:rsid w:val="00C667D7"/>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165D"/>
    <w:rsid w:val="00CF376E"/>
    <w:rsid w:val="00CF6815"/>
    <w:rsid w:val="00CF7C43"/>
    <w:rsid w:val="00D14067"/>
    <w:rsid w:val="00D16550"/>
    <w:rsid w:val="00D21331"/>
    <w:rsid w:val="00D26FA3"/>
    <w:rsid w:val="00D35718"/>
    <w:rsid w:val="00D4759F"/>
    <w:rsid w:val="00D63878"/>
    <w:rsid w:val="00D65276"/>
    <w:rsid w:val="00D67D14"/>
    <w:rsid w:val="00D73858"/>
    <w:rsid w:val="00D75785"/>
    <w:rsid w:val="00D817DA"/>
    <w:rsid w:val="00D81F84"/>
    <w:rsid w:val="00D85D67"/>
    <w:rsid w:val="00D867B9"/>
    <w:rsid w:val="00DA2684"/>
    <w:rsid w:val="00DA2E3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rdtext">
    <w:name w:val="Body Text"/>
    <w:basedOn w:val="Normal"/>
    <w:link w:val="BrdtextChar"/>
    <w:qFormat/>
    <w:rsid w:val="00210354"/>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210354"/>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5016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2025-02-25T13:11:00Z</dcterms:created>
  <dcterms:modified xsi:type="dcterms:W3CDTF">2025-02-25T13:11:00Z</dcterms:modified>
</cp:coreProperties>
</file>