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3D2" w:rsidRPr="00530A98" w:rsidRDefault="00CD43D2">
      <w:pPr>
        <w:pStyle w:val="Hemstlrubrik"/>
      </w:pPr>
      <w:r w:rsidRPr="00530A98">
        <w:t>Förslag till riksdagsbeslut</w:t>
      </w:r>
    </w:p>
    <w:p w:rsidR="00CD43D2" w:rsidRPr="00530A98" w:rsidRDefault="00CD43D2">
      <w:pPr>
        <w:pStyle w:val="Hemstlatt"/>
        <w:ind w:left="0"/>
      </w:pPr>
      <w:r w:rsidRPr="00530A98">
        <w:t>Riksdagen tillkännager för regeringen som sin mening vad som anförs i motionen om behovet av internationella överenskommelser om dubbelt medborgarskap.</w:t>
      </w:r>
    </w:p>
    <w:p w:rsidR="00CD43D2" w:rsidRPr="00530A98" w:rsidRDefault="00CD43D2">
      <w:pPr>
        <w:pStyle w:val="Rubrik1"/>
      </w:pPr>
      <w:r w:rsidRPr="00530A98">
        <w:t>Motivering</w:t>
      </w:r>
    </w:p>
    <w:p w:rsidR="00CD43D2" w:rsidRPr="00530A98" w:rsidRDefault="00CD43D2">
      <w:r w:rsidRPr="00530A98">
        <w:t>Med det dubbla medborgarskapet har skyddet för svenska medborgare min</w:t>
      </w:r>
      <w:r w:rsidRPr="00530A98">
        <w:t>s</w:t>
      </w:r>
      <w:r w:rsidRPr="00530A98">
        <w:t>kat. Lagen har också minskat staten Sveriges möjligheter att agera till stöd för svenska medborgare (med dubbelt medborgarskap) som hamnat i problem utomlands. I realiteten har möjligheten till dubbelt medborgarskap inneburit att Sverige idag har två olika former av medborgarskap, som gör skillnad mellan olika medborgare.</w:t>
      </w:r>
    </w:p>
    <w:p w:rsidR="00CD43D2" w:rsidRPr="00530A98" w:rsidRDefault="00CD43D2">
      <w:pPr>
        <w:pStyle w:val="Normaltindrag"/>
      </w:pPr>
      <w:r w:rsidRPr="00530A98">
        <w:t>Enligt den tidigare lagen (1950:382) om svenskt medborgarskap var det inte tillåtet med så kallat dubbelt medborgarskap. Den som sökte svenskt medborgarskap var tvungen att avsäga sig sit</w:t>
      </w:r>
      <w:r w:rsidRPr="00530A98">
        <w:t>t tidigare medborgarskap och en svensk medborgare som sökte och förvärvade ett annat medborgarskap förl</w:t>
      </w:r>
      <w:r w:rsidRPr="00530A98">
        <w:t>o</w:t>
      </w:r>
      <w:r w:rsidRPr="00530A98">
        <w:t>rade sitt svenska medborgarskap.</w:t>
      </w:r>
    </w:p>
    <w:p w:rsidR="00CD43D2" w:rsidRPr="00530A98" w:rsidRDefault="00CD43D2">
      <w:pPr>
        <w:pStyle w:val="Normaltindrag"/>
      </w:pPr>
      <w:r w:rsidRPr="00530A98">
        <w:t>År 1997 tillsatte regeringen en parlamentarisk kommitté med uppgift att se över lagen om svenskt medborgarskap. Genom ett tilläggsdirektiv 1998 gavs kommittén i uppdrag att förutsättningslöst utreda frågan om dubbelt medbo</w:t>
      </w:r>
      <w:r w:rsidRPr="00530A98">
        <w:t>r</w:t>
      </w:r>
      <w:r w:rsidRPr="00530A98">
        <w:t>garskap.</w:t>
      </w:r>
    </w:p>
    <w:p w:rsidR="00CD43D2" w:rsidRPr="00530A98" w:rsidRDefault="00CD43D2">
      <w:pPr>
        <w:pStyle w:val="Normaltindrag"/>
      </w:pPr>
      <w:r w:rsidRPr="00530A98">
        <w:t>I kommitténs betänkande, SOU 1999:34, slog man fast att en av ”</w:t>
      </w:r>
      <w:r w:rsidRPr="00530A98">
        <w:rPr>
          <w:i/>
          <w:iCs/>
        </w:rPr>
        <w:t>de allra viktigaste fördelarna</w:t>
      </w:r>
      <w:r w:rsidRPr="00530A98">
        <w:t>” för den enskilde med dubbelt medborgarskap kanske låg ”</w:t>
      </w:r>
      <w:r w:rsidRPr="00530A98">
        <w:rPr>
          <w:i/>
          <w:iCs/>
        </w:rPr>
        <w:t>på det känslomässiga planet</w:t>
      </w:r>
      <w:r w:rsidRPr="00530A98">
        <w:t>”. Utifrån denna ståndpunkt bedömde ko</w:t>
      </w:r>
      <w:r w:rsidRPr="00530A98">
        <w:t>m</w:t>
      </w:r>
      <w:r w:rsidRPr="00530A98">
        <w:t>mittén att den dåvarande ordningen, med hänsyn till de skäl som låg till grund för ”</w:t>
      </w:r>
      <w:r w:rsidRPr="00530A98">
        <w:rPr>
          <w:i/>
          <w:iCs/>
        </w:rPr>
        <w:t>ett stort antal människors önskemål att inneha dubbelt medborgarskap</w:t>
      </w:r>
      <w:r w:rsidRPr="00530A98">
        <w:t xml:space="preserve">”, enbart borde bestå om konkreta och betydande nackdelar kunde påvisas med </w:t>
      </w:r>
      <w:r w:rsidRPr="00530A98">
        <w:lastRenderedPageBreak/>
        <w:t>en ordning som i större utsträckning än tidigare tillåter dubbla medborga</w:t>
      </w:r>
      <w:r w:rsidRPr="00530A98">
        <w:t>r</w:t>
      </w:r>
      <w:r w:rsidRPr="00530A98">
        <w:t>skap.</w:t>
      </w:r>
    </w:p>
    <w:p w:rsidR="00CD43D2" w:rsidRPr="00530A98" w:rsidRDefault="00CD43D2">
      <w:pPr>
        <w:pStyle w:val="Normaltindrag"/>
      </w:pPr>
      <w:r w:rsidRPr="00530A98">
        <w:rPr>
          <w:bCs/>
        </w:rPr>
        <w:t xml:space="preserve">Försvarsmakten var en av de mest kritiska </w:t>
      </w:r>
      <w:r w:rsidRPr="00530A98">
        <w:t>remissinstanserna till förslaget. Man ansåg att grundprincipen att undvika dubbelt medborgarskap borde b</w:t>
      </w:r>
      <w:r w:rsidRPr="00530A98">
        <w:t>e</w:t>
      </w:r>
      <w:r w:rsidRPr="00530A98">
        <w:t>hållas och framhöll bland annat att de folkrättsliga problem som kunde uppstå med en ökning av dubbelt medborgarskap inte hade beaktats och utretts til</w:t>
      </w:r>
      <w:r w:rsidRPr="00530A98">
        <w:t>l</w:t>
      </w:r>
      <w:r w:rsidRPr="00530A98">
        <w:t>räckligt av kommittén.</w:t>
      </w:r>
    </w:p>
    <w:p w:rsidR="00CD43D2" w:rsidRPr="00530A98" w:rsidRDefault="00CD43D2">
      <w:pPr>
        <w:pStyle w:val="Normaltindrag"/>
        <w:rPr>
          <w:bCs/>
        </w:rPr>
      </w:pPr>
      <w:r w:rsidRPr="00530A98">
        <w:rPr>
          <w:bCs/>
        </w:rPr>
        <w:t>Frågan om dubbelt medborgarskap är inte bara en fråga om den enskildes rättigheter i förhållande till det land i vilket han/hon har medborgarskap, utan också om den enskildes skyldigheter – och inte minst statens skyldighet gen</w:t>
      </w:r>
      <w:r w:rsidRPr="00530A98">
        <w:rPr>
          <w:bCs/>
        </w:rPr>
        <w:t>t</w:t>
      </w:r>
      <w:r w:rsidRPr="00530A98">
        <w:rPr>
          <w:bCs/>
        </w:rPr>
        <w:t>emot sina medborgare.</w:t>
      </w:r>
    </w:p>
    <w:p w:rsidR="00CD43D2" w:rsidRPr="00530A98" w:rsidRDefault="00CD43D2">
      <w:pPr>
        <w:pStyle w:val="Normaltindrag"/>
      </w:pPr>
      <w:r w:rsidRPr="00530A98">
        <w:rPr>
          <w:bCs/>
        </w:rPr>
        <w:t>Inom folkrätten är det i princip</w:t>
      </w:r>
      <w:r w:rsidRPr="00530A98">
        <w:t xml:space="preserve"> så att den stat där man är medborgare själv bestämmer hur man ska behandla sina medborgare. I det så kallade järnväg</w:t>
      </w:r>
      <w:r w:rsidRPr="00530A98">
        <w:t>s</w:t>
      </w:r>
      <w:r w:rsidRPr="00530A98">
        <w:t>målet (PCIJ, Series A/B No. 76,) uttalade International Court of Justice att medborgarskapet utifrån folkrätten bygger på ett ”band mellan staten och individen som ålägger staten att garantera individen diplomatiskt skydd”. I de fall en individ har medborgarskap i mer än ett land har det visat sig att denna rätt till skydd inte (kan) tillämpas.</w:t>
      </w:r>
    </w:p>
    <w:p w:rsidR="00CD43D2" w:rsidRPr="00530A98" w:rsidRDefault="00CD43D2">
      <w:pPr>
        <w:pStyle w:val="Normaltindrag"/>
      </w:pPr>
      <w:r w:rsidRPr="00530A98">
        <w:t>Genom införandet av dubbelt medborgarskap har r</w:t>
      </w:r>
      <w:r w:rsidRPr="00530A98">
        <w:t>iksdagen frånhänt sig möjligheten för Sverige som stat enligt denna princip möjligheten att agera utifrån folkrätten i fall som rör enskilda svenska medborgare, både i förhå</w:t>
      </w:r>
      <w:r w:rsidRPr="00530A98">
        <w:t>l</w:t>
      </w:r>
      <w:r w:rsidRPr="00530A98">
        <w:t>lande till det andra land i vilket individen har medborgarskap och i förhålla</w:t>
      </w:r>
      <w:r w:rsidRPr="00530A98">
        <w:t>n</w:t>
      </w:r>
      <w:r w:rsidRPr="00530A98">
        <w:t>de till andra länder. I samma stund som en person får dubbelt medborgarskap tappar han/hon i princip det skydd som andra svenska medborgare – med enbart ett medborgarskap – skulle ha haft i en motsvarande situation: en mö</w:t>
      </w:r>
      <w:r w:rsidRPr="00530A98">
        <w:t>j</w:t>
      </w:r>
      <w:r w:rsidRPr="00530A98">
        <w:t>lighet för staten Sverige att agera ut</w:t>
      </w:r>
      <w:r w:rsidRPr="00530A98">
        <w:t>ifrån folkrätten.</w:t>
      </w:r>
    </w:p>
    <w:p w:rsidR="00CD43D2" w:rsidRPr="00530A98" w:rsidRDefault="00CD43D2">
      <w:pPr>
        <w:pStyle w:val="Normaltindrag"/>
        <w:rPr>
          <w:bCs/>
        </w:rPr>
      </w:pPr>
      <w:r w:rsidRPr="00530A98">
        <w:t>Frågan om dubbelt medborgarskap kan de facto inte lösas med lagstiftning i enskilda länder. De komplikationer som följer av att individer har medbo</w:t>
      </w:r>
      <w:r w:rsidRPr="00530A98">
        <w:t>r</w:t>
      </w:r>
      <w:r w:rsidRPr="00530A98">
        <w:t>garskap i två olika länder måste istället lösas genom internationella överen</w:t>
      </w:r>
      <w:r w:rsidRPr="00530A98">
        <w:t>s</w:t>
      </w:r>
      <w:r w:rsidRPr="00530A98">
        <w:t>kommelser eller konventioner. Regeringen bör aktualisera denna fråga i läm</w:t>
      </w:r>
      <w:r w:rsidRPr="00530A98">
        <w:t>p</w:t>
      </w:r>
      <w:r w:rsidRPr="00530A98">
        <w:t xml:space="preserve">liga fora. </w:t>
      </w:r>
      <w:r w:rsidRPr="00530A98">
        <w:rPr>
          <w:bCs/>
        </w:rPr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0A98">
        <w:trPr>
          <w:cantSplit/>
        </w:trPr>
        <w:tc>
          <w:tcPr>
            <w:tcW w:w="3046" w:type="dxa"/>
          </w:tcPr>
          <w:p w:rsidR="00CD43D2" w:rsidRPr="00530A98" w:rsidRDefault="00CD43D2">
            <w:pPr>
              <w:pStyle w:val="UnderskriftDatum"/>
              <w:spacing w:before="240"/>
            </w:pPr>
            <w:r w:rsidRPr="00530A98">
              <w:t>Stockholm den 1 oktober 2007</w:t>
            </w:r>
          </w:p>
        </w:tc>
        <w:tc>
          <w:tcPr>
            <w:tcW w:w="3047" w:type="dxa"/>
          </w:tcPr>
          <w:p w:rsidR="00CD43D2" w:rsidRPr="00530A98" w:rsidRDefault="00CD43D2">
            <w:pPr>
              <w:pStyle w:val="Underskrifter"/>
              <w:spacing w:before="240"/>
            </w:pPr>
          </w:p>
        </w:tc>
      </w:tr>
      <w:tr w:rsidR="00000000" w:rsidRPr="00530A98">
        <w:trPr>
          <w:cantSplit/>
        </w:trPr>
        <w:tc>
          <w:tcPr>
            <w:tcW w:w="3046" w:type="dxa"/>
          </w:tcPr>
          <w:p w:rsidR="00CD43D2" w:rsidRPr="00530A98" w:rsidRDefault="00CD43D2">
            <w:pPr>
              <w:pStyle w:val="Underskrifter"/>
            </w:pPr>
            <w:r w:rsidRPr="00530A98">
              <w:t>Lars Elinderson (m)</w:t>
            </w:r>
          </w:p>
        </w:tc>
        <w:tc>
          <w:tcPr>
            <w:tcW w:w="3046" w:type="dxa"/>
          </w:tcPr>
          <w:p w:rsidR="00CD43D2" w:rsidRPr="00530A98" w:rsidRDefault="00CD43D2">
            <w:pPr>
              <w:pStyle w:val="Underskrifter"/>
            </w:pPr>
          </w:p>
        </w:tc>
      </w:tr>
    </w:tbl>
    <w:p w:rsidR="00CD43D2" w:rsidRPr="00530A98" w:rsidRDefault="00CD43D2">
      <w:pPr>
        <w:pStyle w:val="Normaltindrag"/>
      </w:pPr>
    </w:p>
    <w:sectPr w:rsidR="00CD43D2" w:rsidRPr="00530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3D2" w:rsidRPr="00530A98" w:rsidRDefault="00CD43D2">
      <w:r w:rsidRPr="00530A98">
        <w:separator/>
      </w:r>
    </w:p>
  </w:endnote>
  <w:endnote w:type="continuationSeparator" w:id="0">
    <w:p w:rsidR="00CD43D2" w:rsidRPr="00530A98" w:rsidRDefault="00CD43D2">
      <w:r w:rsidRPr="00530A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3D2" w:rsidRPr="00530A98" w:rsidRDefault="00530A98">
    <w:pPr>
      <w:pStyle w:val="Sidfot"/>
    </w:pPr>
    <w:r w:rsidRPr="00530A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0724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3D2" w:rsidRDefault="00CD43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3D2" w:rsidRDefault="00CD43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3D2" w:rsidRPr="00530A98" w:rsidRDefault="00530A98">
    <w:pPr>
      <w:pStyle w:val="Sidfot"/>
    </w:pPr>
    <w:r w:rsidRPr="00530A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62390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3D2" w:rsidRDefault="00CD43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3D2" w:rsidRDefault="00CD43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3D2" w:rsidRPr="00530A98" w:rsidRDefault="00530A98">
    <w:pPr>
      <w:pStyle w:val="Sidfot"/>
    </w:pPr>
    <w:r w:rsidRPr="00530A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80536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3D2" w:rsidRDefault="00CD43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3D2" w:rsidRDefault="00CD43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3D2" w:rsidRPr="00530A98" w:rsidRDefault="00CD43D2">
      <w:r w:rsidRPr="00530A98">
        <w:separator/>
      </w:r>
    </w:p>
  </w:footnote>
  <w:footnote w:type="continuationSeparator" w:id="0">
    <w:p w:rsidR="00CD43D2" w:rsidRPr="00530A98" w:rsidRDefault="00CD43D2">
      <w:r w:rsidRPr="00530A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3D2" w:rsidRPr="00530A98" w:rsidRDefault="00530A98">
    <w:pPr>
      <w:pStyle w:val="Sidhuvud"/>
    </w:pPr>
    <w:r w:rsidRPr="00530A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79386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3D2" w:rsidRDefault="00CD43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3D2" w:rsidRDefault="00CD43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3D2" w:rsidRPr="00530A98" w:rsidRDefault="00530A98">
    <w:pPr>
      <w:pStyle w:val="Sidhuvud"/>
    </w:pPr>
    <w:r w:rsidRPr="00530A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6208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3D2" w:rsidRDefault="00CD43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3D2" w:rsidRDefault="00CD43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3D2" w:rsidRPr="00530A98" w:rsidRDefault="00CD43D2">
    <w:pPr>
      <w:pStyle w:val="FSHNormal"/>
      <w:tabs>
        <w:tab w:val="right" w:pos="5840"/>
      </w:tabs>
    </w:pPr>
    <w:r w:rsidRPr="00530A98">
      <w:br/>
    </w:r>
    <w:r w:rsidRPr="00530A98">
      <w:fldChar w:fldCharType="begin" w:fldLock="1"/>
    </w:r>
    <w:r w:rsidRPr="00530A98">
      <w:instrText xml:space="preserve"> DOCPROPERTY</w:instrText>
    </w:r>
    <w:r w:rsidRPr="00530A98">
      <w:rPr>
        <w:sz w:val="18"/>
      </w:rPr>
      <w:instrText xml:space="preserve"> "YearUser" *\charformat </w:instrText>
    </w:r>
    <w:r w:rsidRPr="00530A98">
      <w:fldChar w:fldCharType="separate"/>
    </w:r>
    <w:r w:rsidRPr="00530A98">
      <w:t>2007/08</w:t>
    </w:r>
    <w:r w:rsidRPr="00530A98">
      <w:fldChar w:fldCharType="end"/>
    </w:r>
    <w:r w:rsidRPr="00530A98">
      <w:t xml:space="preserve"> </w:t>
    </w:r>
    <w:r w:rsidRPr="00530A98">
      <w:tab/>
      <w:t xml:space="preserve">mnr: </w:t>
    </w:r>
    <w:r w:rsidRPr="00530A98">
      <w:fldChar w:fldCharType="begin" w:fldLock="1"/>
    </w:r>
    <w:r w:rsidRPr="00530A98">
      <w:instrText xml:space="preserve"> DOCPROPERTY</w:instrText>
    </w:r>
    <w:r w:rsidRPr="00530A98">
      <w:rPr>
        <w:sz w:val="18"/>
      </w:rPr>
      <w:instrText xml:space="preserve"> "Motionsnummer" *\charformat </w:instrText>
    </w:r>
    <w:r w:rsidRPr="00530A98">
      <w:fldChar w:fldCharType="separate"/>
    </w:r>
    <w:r w:rsidRPr="00530A98">
      <w:t>U214</w:t>
    </w:r>
    <w:r w:rsidRPr="00530A98">
      <w:fldChar w:fldCharType="end"/>
    </w:r>
    <w:r w:rsidRPr="00530A98">
      <w:br/>
    </w:r>
    <w:r w:rsidRPr="00530A98">
      <w:fldChar w:fldCharType="begin" w:fldLock="1"/>
    </w:r>
    <w:r w:rsidRPr="00530A98">
      <w:instrText xml:space="preserve"> DOCPROPERTY</w:instrText>
    </w:r>
    <w:r w:rsidRPr="00530A98">
      <w:rPr>
        <w:sz w:val="18"/>
      </w:rPr>
      <w:instrText xml:space="preserve"> "Samling" *\charformat </w:instrText>
    </w:r>
    <w:r w:rsidRPr="00530A98">
      <w:fldChar w:fldCharType="end"/>
    </w:r>
    <w:r w:rsidRPr="00530A98">
      <w:tab/>
      <w:t xml:space="preserve">pnr: </w:t>
    </w:r>
    <w:r w:rsidRPr="00530A98">
      <w:fldChar w:fldCharType="begin" w:fldLock="1"/>
    </w:r>
    <w:r w:rsidRPr="00530A98">
      <w:instrText xml:space="preserve"> DOCPROPERTY</w:instrText>
    </w:r>
    <w:r w:rsidRPr="00530A98">
      <w:rPr>
        <w:sz w:val="18"/>
      </w:rPr>
      <w:instrText xml:space="preserve"> "Partinummer" *\charformat </w:instrText>
    </w:r>
    <w:r w:rsidRPr="00530A98">
      <w:fldChar w:fldCharType="separate"/>
    </w:r>
    <w:r w:rsidRPr="00530A98">
      <w:t>m1394</w:t>
    </w:r>
    <w:r w:rsidRPr="00530A98">
      <w:fldChar w:fldCharType="end"/>
    </w:r>
  </w:p>
  <w:p w:rsidR="00CD43D2" w:rsidRPr="00530A98" w:rsidRDefault="00CD43D2">
    <w:pPr>
      <w:pStyle w:val="FSHRub1"/>
    </w:pPr>
    <w:r w:rsidRPr="00530A98">
      <w:t>Motion till riksdagen</w:t>
    </w:r>
    <w:r w:rsidRPr="00530A98">
      <w:br/>
    </w:r>
    <w:r w:rsidRPr="00530A98">
      <w:fldChar w:fldCharType="begin" w:fldLock="1"/>
    </w:r>
    <w:r w:rsidRPr="00530A98">
      <w:instrText xml:space="preserve"> DOCPROPERTY "YearUser" *\charformat </w:instrText>
    </w:r>
    <w:r w:rsidRPr="00530A98">
      <w:fldChar w:fldCharType="separate"/>
    </w:r>
    <w:r w:rsidRPr="00530A98">
      <w:t>2007/08</w:t>
    </w:r>
    <w:r w:rsidRPr="00530A98">
      <w:fldChar w:fldCharType="end"/>
    </w:r>
    <w:r w:rsidRPr="00530A98">
      <w:t>:</w:t>
    </w:r>
    <w:r w:rsidRPr="00530A98">
      <w:fldChar w:fldCharType="begin" w:fldLock="1"/>
    </w:r>
    <w:r w:rsidRPr="00530A98">
      <w:instrText xml:space="preserve"> DOCPROPERTY "Motionsnummer" *\charformat </w:instrText>
    </w:r>
    <w:r w:rsidRPr="00530A98">
      <w:fldChar w:fldCharType="separate"/>
    </w:r>
    <w:r w:rsidRPr="00530A98">
      <w:t>U214</w:t>
    </w:r>
    <w:r w:rsidRPr="00530A98">
      <w:fldChar w:fldCharType="end"/>
    </w:r>
  </w:p>
  <w:p w:rsidR="00CD43D2" w:rsidRPr="00530A98" w:rsidRDefault="00CD43D2">
    <w:pPr>
      <w:pStyle w:val="FSHNormalS5"/>
    </w:pPr>
    <w:r w:rsidRPr="00530A98">
      <w:fldChar w:fldCharType="begin" w:fldLock="1"/>
    </w:r>
    <w:r w:rsidRPr="00530A98">
      <w:instrText xml:space="preserve"> DOCPROPERTY "MotionarText" *\charformat </w:instrText>
    </w:r>
    <w:r w:rsidRPr="00530A98">
      <w:fldChar w:fldCharType="separate"/>
    </w:r>
    <w:r w:rsidRPr="00530A98">
      <w:t>av Lars Elinderson (m)</w:t>
    </w:r>
    <w:r w:rsidRPr="00530A98">
      <w:fldChar w:fldCharType="end"/>
    </w:r>
    <w:r w:rsidRPr="00530A98">
      <w:br/>
    </w:r>
    <w:r w:rsidRPr="00530A98">
      <w:fldChar w:fldCharType="begin" w:fldLock="1"/>
    </w:r>
    <w:r w:rsidRPr="00530A98">
      <w:instrText xml:space="preserve"> DOCPROPERTY "SvarFrasKort" *\charformat </w:instrText>
    </w:r>
    <w:r w:rsidRPr="00530A98">
      <w:fldChar w:fldCharType="end"/>
    </w:r>
  </w:p>
  <w:p w:rsidR="00CD43D2" w:rsidRPr="00530A98" w:rsidRDefault="00CD43D2">
    <w:pPr>
      <w:pStyle w:val="FSHTitel"/>
    </w:pPr>
    <w:r w:rsidRPr="00530A98">
      <w:fldChar w:fldCharType="begin" w:fldLock="1"/>
    </w:r>
    <w:r w:rsidRPr="00530A98">
      <w:instrText xml:space="preserve"> DOCPROPERTY</w:instrText>
    </w:r>
    <w:r w:rsidRPr="00530A98">
      <w:rPr>
        <w:sz w:val="18"/>
      </w:rPr>
      <w:instrText xml:space="preserve"> "RubrikSvar" *\charformat </w:instrText>
    </w:r>
    <w:r w:rsidRPr="00530A98">
      <w:fldChar w:fldCharType="separate"/>
    </w:r>
    <w:r w:rsidRPr="00530A98">
      <w:t>Dubbelt medborgarskap</w:t>
    </w:r>
    <w:r w:rsidRPr="00530A98">
      <w:fldChar w:fldCharType="end"/>
    </w:r>
  </w:p>
  <w:p w:rsidR="00CD43D2" w:rsidRPr="00530A98" w:rsidRDefault="00CD43D2">
    <w:pPr>
      <w:pStyle w:val="Normal00"/>
    </w:pPr>
  </w:p>
  <w:p w:rsidR="00CD43D2" w:rsidRPr="00530A98" w:rsidRDefault="00CD43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2321711">
    <w:abstractNumId w:val="8"/>
  </w:num>
  <w:num w:numId="2" w16cid:durableId="1114639057">
    <w:abstractNumId w:val="9"/>
  </w:num>
  <w:num w:numId="3" w16cid:durableId="686297334">
    <w:abstractNumId w:val="8"/>
  </w:num>
  <w:num w:numId="4" w16cid:durableId="1429235277">
    <w:abstractNumId w:val="9"/>
  </w:num>
  <w:num w:numId="5" w16cid:durableId="1678464149">
    <w:abstractNumId w:val="13"/>
  </w:num>
  <w:num w:numId="6" w16cid:durableId="743182806">
    <w:abstractNumId w:val="10"/>
  </w:num>
  <w:num w:numId="7" w16cid:durableId="45447006">
    <w:abstractNumId w:val="11"/>
  </w:num>
  <w:num w:numId="8" w16cid:durableId="422381999">
    <w:abstractNumId w:val="12"/>
  </w:num>
  <w:num w:numId="9" w16cid:durableId="986589771">
    <w:abstractNumId w:val="8"/>
  </w:num>
  <w:num w:numId="10" w16cid:durableId="1094745553">
    <w:abstractNumId w:val="3"/>
  </w:num>
  <w:num w:numId="11" w16cid:durableId="2098600673">
    <w:abstractNumId w:val="2"/>
  </w:num>
  <w:num w:numId="12" w16cid:durableId="1447386743">
    <w:abstractNumId w:val="1"/>
  </w:num>
  <w:num w:numId="13" w16cid:durableId="1145120988">
    <w:abstractNumId w:val="0"/>
  </w:num>
  <w:num w:numId="14" w16cid:durableId="681276906">
    <w:abstractNumId w:val="9"/>
  </w:num>
  <w:num w:numId="15" w16cid:durableId="1904218645">
    <w:abstractNumId w:val="7"/>
  </w:num>
  <w:num w:numId="16" w16cid:durableId="1588071579">
    <w:abstractNumId w:val="6"/>
  </w:num>
  <w:num w:numId="17" w16cid:durableId="988704683">
    <w:abstractNumId w:val="5"/>
  </w:num>
  <w:num w:numId="18" w16cid:durableId="1098480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22C744D-E38B-41E6-80EC-B97E5E6109DE}"/>
  </w:docVars>
  <w:rsids>
    <w:rsidRoot w:val="00E056AC"/>
    <w:rsid w:val="00530A98"/>
    <w:rsid w:val="00CD43D2"/>
    <w:rsid w:val="00E0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B095B5-ADD3-42D8-A67E-09D61FEA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3174</Characters>
  <Application>Microsoft Office Word</Application>
  <DocSecurity>4</DocSecurity>
  <Lines>62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m1394</vt:lpstr>
    </vt:vector>
  </TitlesOfParts>
  <Company>Riksdagen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m1394</dc:title>
  <dc:subject>m1394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2007-10-31T07:14:00Z</cp:lastPrinted>
  <dcterms:created xsi:type="dcterms:W3CDTF">2025-12-17T10:12:00Z</dcterms:created>
  <dcterms:modified xsi:type="dcterms:W3CDTF">2025-12-17T10:12:00Z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Dubbelt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maryse.forsgren@riksdagen.se</vt:lpwstr>
  </property>
  <property fmtid="{D5CDD505-2E9C-101B-9397-08002B2CF9AE}" pid="45" name="ReservUID">
    <vt:lpwstr>me0406aa</vt:lpwstr>
  </property>
  <property fmtid="{D5CDD505-2E9C-101B-9397-08002B2CF9AE}" pid="46" name="MotionID">
    <vt:lpwstr>20072008000000000109000013940069</vt:lpwstr>
  </property>
  <property fmtid="{D5CDD505-2E9C-101B-9397-08002B2CF9AE}" pid="47" name="datum">
    <vt:lpwstr>071001</vt:lpwstr>
  </property>
  <property fmtid="{D5CDD505-2E9C-101B-9397-08002B2CF9AE}" pid="48" name="avsändar-e-post">
    <vt:lpwstr>maryse.forsgren@riksdagen.se</vt:lpwstr>
  </property>
  <property fmtid="{D5CDD505-2E9C-101B-9397-08002B2CF9AE}" pid="49" name="id">
    <vt:lpwstr>20072008000000000109000013940069</vt:lpwstr>
  </property>
  <property fmtid="{D5CDD505-2E9C-101B-9397-08002B2CF9AE}" pid="50" name="nummer">
    <vt:lpwstr>214</vt:lpwstr>
  </property>
  <property fmtid="{D5CDD505-2E9C-101B-9397-08002B2CF9AE}" pid="51" name="utskottsbeteckning">
    <vt:lpwstr>U</vt:lpwstr>
  </property>
  <property fmtid="{D5CDD505-2E9C-101B-9397-08002B2CF9AE}" pid="52" name="GlobalUID">
    <vt:lpwstr>{73F20D50-50CB-407F-B78D-A22BC6B2E270}</vt:lpwstr>
  </property>
  <property fmtid="{D5CDD505-2E9C-101B-9397-08002B2CF9AE}" pid="53" name="Överföringar">
    <vt:i4>0</vt:i4>
  </property>
  <property fmtid="{D5CDD505-2E9C-101B-9397-08002B2CF9AE}" pid="54" name="Checksum">
    <vt:lpwstr>*1008820514973*</vt:lpwstr>
  </property>
  <property fmtid="{D5CDD505-2E9C-101B-9397-08002B2CF9AE}" pid="55" name="skuggnummer">
    <vt:lpwstr>640</vt:lpwstr>
  </property>
  <property fmtid="{D5CDD505-2E9C-101B-9397-08002B2CF9AE}" pid="56" name="urixVersion">
    <vt:lpwstr>3.2.0.8</vt:lpwstr>
  </property>
  <property fmtid="{D5CDD505-2E9C-101B-9397-08002B2CF9AE}" pid="57" name="urixOrigin">
    <vt:lpwstr>071031 08:14:37.127</vt:lpwstr>
  </property>
  <property fmtid="{D5CDD505-2E9C-101B-9397-08002B2CF9AE}" pid="58" name="urixGuid">
    <vt:lpwstr>{CF97A795-14C8-42D2-8306-A40C04DAB710}</vt:lpwstr>
  </property>
</Properties>
</file>