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075492">
        <w:tblPrEx>
          <w:tblCellMar>
            <w:top w:w="0" w:type="dxa"/>
            <w:bottom w:w="0" w:type="dxa"/>
          </w:tblCellMar>
        </w:tblPrEx>
        <w:trPr>
          <w:cantSplit/>
          <w:trHeight w:val="635"/>
        </w:trPr>
        <w:tc>
          <w:tcPr>
            <w:tcW w:w="5457" w:type="dxa"/>
            <w:gridSpan w:val="2"/>
            <w:vMerge w:val="restart"/>
            <w:tcBorders>
              <w:bottom w:val="nil"/>
            </w:tcBorders>
          </w:tcPr>
          <w:p w:rsidR="00547E7E" w:rsidRPr="00075492" w:rsidRDefault="00547E7E">
            <w:pPr>
              <w:pStyle w:val="HuvudRubrik"/>
              <w:spacing w:before="0"/>
              <w:rPr>
                <w:sz w:val="36"/>
              </w:rPr>
            </w:pPr>
            <w:r w:rsidRPr="00075492">
              <w:rPr>
                <w:sz w:val="36"/>
              </w:rPr>
              <w:t>Förslag till riksdagen</w:t>
            </w:r>
          </w:p>
          <w:p w:rsidR="00547E7E" w:rsidRPr="00075492" w:rsidRDefault="00547E7E">
            <w:pPr>
              <w:pStyle w:val="HuvudRubrik"/>
              <w:spacing w:before="0"/>
            </w:pPr>
            <w:r w:rsidRPr="00075492">
              <w:rPr>
                <w:sz w:val="36"/>
              </w:rPr>
              <w:t>2001/02:RR19</w:t>
            </w:r>
            <w:r w:rsidRPr="00075492">
              <w:t xml:space="preserve"> </w:t>
            </w:r>
          </w:p>
          <w:p w:rsidR="00547E7E" w:rsidRPr="00075492" w:rsidRDefault="00547E7E">
            <w:pPr>
              <w:pStyle w:val="HuvudRubrik"/>
              <w:spacing w:before="0"/>
            </w:pPr>
            <w:r w:rsidRPr="00075492">
              <w:t xml:space="preserve">Riksdagens revisorers förslag angående </w:t>
            </w:r>
            <w:bookmarkStart w:id="0" w:name="Mittenrubrik2"/>
            <w:bookmarkEnd w:id="0"/>
            <w:r w:rsidRPr="00075492">
              <w:t xml:space="preserve"> statens styrning av livsmedelstillsynen</w:t>
            </w:r>
          </w:p>
        </w:tc>
        <w:tc>
          <w:tcPr>
            <w:tcW w:w="2126" w:type="dxa"/>
          </w:tcPr>
          <w:p w:rsidR="00547E7E" w:rsidRPr="00075492" w:rsidRDefault="00075492">
            <w:pPr>
              <w:pStyle w:val="rtal"/>
              <w:spacing w:before="120"/>
              <w:ind w:left="0"/>
            </w:pPr>
            <w:r w:rsidRPr="00075492">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075492">
        <w:tblPrEx>
          <w:tblCellMar>
            <w:top w:w="0" w:type="dxa"/>
            <w:bottom w:w="0" w:type="dxa"/>
          </w:tblCellMar>
        </w:tblPrEx>
        <w:trPr>
          <w:cantSplit/>
          <w:trHeight w:val="313"/>
        </w:trPr>
        <w:tc>
          <w:tcPr>
            <w:tcW w:w="5457" w:type="dxa"/>
            <w:gridSpan w:val="2"/>
            <w:vMerge/>
            <w:tcBorders>
              <w:bottom w:val="nil"/>
            </w:tcBorders>
          </w:tcPr>
          <w:p w:rsidR="00547E7E" w:rsidRPr="00075492" w:rsidRDefault="00547E7E">
            <w:pPr>
              <w:pStyle w:val="HuvudRubrik"/>
            </w:pPr>
          </w:p>
        </w:tc>
        <w:tc>
          <w:tcPr>
            <w:tcW w:w="2126" w:type="dxa"/>
          </w:tcPr>
          <w:p w:rsidR="00547E7E" w:rsidRPr="00075492" w:rsidRDefault="00547E7E">
            <w:pPr>
              <w:pStyle w:val="rtal"/>
              <w:ind w:left="0"/>
            </w:pPr>
            <w:r w:rsidRPr="00075492">
              <w:t>2001/02</w:t>
            </w:r>
          </w:p>
        </w:tc>
      </w:tr>
      <w:tr w:rsidR="00000000" w:rsidRPr="00075492">
        <w:tblPrEx>
          <w:tblCellMar>
            <w:top w:w="0" w:type="dxa"/>
            <w:bottom w:w="0" w:type="dxa"/>
          </w:tblCellMar>
        </w:tblPrEx>
        <w:trPr>
          <w:cantSplit/>
          <w:trHeight w:val="635"/>
        </w:trPr>
        <w:tc>
          <w:tcPr>
            <w:tcW w:w="5457" w:type="dxa"/>
            <w:gridSpan w:val="2"/>
            <w:vMerge/>
            <w:tcBorders>
              <w:bottom w:val="single" w:sz="4" w:space="0" w:color="auto"/>
            </w:tcBorders>
          </w:tcPr>
          <w:p w:rsidR="00547E7E" w:rsidRPr="00075492" w:rsidRDefault="00547E7E">
            <w:pPr>
              <w:pStyle w:val="HuvudRubrik"/>
            </w:pPr>
          </w:p>
        </w:tc>
        <w:tc>
          <w:tcPr>
            <w:tcW w:w="2126" w:type="dxa"/>
            <w:tcBorders>
              <w:bottom w:val="single" w:sz="6" w:space="0" w:color="auto"/>
            </w:tcBorders>
          </w:tcPr>
          <w:p w:rsidR="00547E7E" w:rsidRPr="00075492" w:rsidRDefault="00547E7E">
            <w:pPr>
              <w:pStyle w:val="rtal"/>
              <w:ind w:left="0"/>
            </w:pPr>
            <w:r w:rsidRPr="00075492">
              <w:t>RR19</w:t>
            </w:r>
          </w:p>
        </w:tc>
      </w:tr>
      <w:tr w:rsidR="00000000" w:rsidRPr="00075492">
        <w:tblPrEx>
          <w:tblCellMar>
            <w:top w:w="0" w:type="dxa"/>
            <w:bottom w:w="0" w:type="dxa"/>
          </w:tblCellMar>
        </w:tblPrEx>
        <w:trPr>
          <w:cantSplit/>
          <w:trHeight w:hRule="exact" w:val="660"/>
        </w:trPr>
        <w:tc>
          <w:tcPr>
            <w:tcW w:w="3012" w:type="dxa"/>
          </w:tcPr>
          <w:p w:rsidR="00547E7E" w:rsidRPr="00075492" w:rsidRDefault="00547E7E">
            <w:pPr>
              <w:pStyle w:val="StatusSida1"/>
            </w:pPr>
          </w:p>
        </w:tc>
        <w:tc>
          <w:tcPr>
            <w:tcW w:w="2445" w:type="dxa"/>
          </w:tcPr>
          <w:p w:rsidR="00547E7E" w:rsidRPr="00075492" w:rsidRDefault="00547E7E">
            <w:pPr>
              <w:pStyle w:val="UtskriftsdatumSida1"/>
              <w:rPr>
                <w:b/>
                <w:sz w:val="28"/>
              </w:rPr>
            </w:pPr>
          </w:p>
        </w:tc>
        <w:tc>
          <w:tcPr>
            <w:tcW w:w="2126" w:type="dxa"/>
          </w:tcPr>
          <w:p w:rsidR="00547E7E" w:rsidRPr="00075492" w:rsidRDefault="00547E7E"/>
        </w:tc>
      </w:tr>
    </w:tbl>
    <w:p w:rsidR="00547E7E" w:rsidRPr="00075492" w:rsidRDefault="00547E7E">
      <w:pPr>
        <w:pStyle w:val="Rubrik1"/>
      </w:pPr>
      <w:bookmarkStart w:id="1" w:name="Textstart"/>
      <w:bookmarkStart w:id="2" w:name="_Toc4833257"/>
      <w:bookmarkStart w:id="3" w:name="_Toc6634496"/>
      <w:bookmarkStart w:id="4" w:name="_Toc6637078"/>
      <w:bookmarkEnd w:id="1"/>
      <w:r w:rsidRPr="00075492">
        <w:t>Revisorernas granskning</w:t>
      </w:r>
      <w:bookmarkEnd w:id="2"/>
      <w:bookmarkEnd w:id="3"/>
      <w:bookmarkEnd w:id="4"/>
    </w:p>
    <w:p w:rsidR="00547E7E" w:rsidRPr="00075492" w:rsidRDefault="00547E7E">
      <w:r w:rsidRPr="00075492">
        <w:t>I denna skrivelse behandlas livsmedelstillsynen. Syftet med granskningen är att belysa hur statliga styrinstrument har använts för att säkerställa önskvärda resultat vad gäller den kommunala livsmedelstillsynen. Häri ingår frågan om vilka möjligheter staten har att vidta åtgärder med anledning av rapporterade brister inom den kommunala livsmedelstillsynen. Granskningen är samtidigt en uppföljning av revisorernas tidigare granskning av livsmedelstillsynen (fö</w:t>
      </w:r>
      <w:r w:rsidRPr="00075492">
        <w:t>r</w:t>
      </w:r>
      <w:r w:rsidRPr="00075492">
        <w:t>slag 1994/95:RR8).</w:t>
      </w:r>
    </w:p>
    <w:p w:rsidR="00547E7E" w:rsidRPr="00075492" w:rsidRDefault="00547E7E">
      <w:pPr>
        <w:pStyle w:val="Normaltindrag"/>
      </w:pPr>
      <w:r w:rsidRPr="00075492">
        <w:t xml:space="preserve">Rapporten </w:t>
      </w:r>
      <w:r w:rsidRPr="00075492">
        <w:rPr>
          <w:i/>
        </w:rPr>
        <w:t>Hur styr staten livsmedelstillsynen?</w:t>
      </w:r>
      <w:r w:rsidRPr="00075492">
        <w:t xml:space="preserve"> publicerades i december 2001. Rapporten innehåller en samlad redovisning och analys av resultatet av den statliga styrningen av livsmedelstillsynen. Rapporten finns som bilaga 1 till denna skrivelse.</w:t>
      </w:r>
    </w:p>
    <w:p w:rsidR="00547E7E" w:rsidRPr="00075492" w:rsidRDefault="00547E7E">
      <w:pPr>
        <w:pStyle w:val="Normaltindrag"/>
      </w:pPr>
      <w:r w:rsidRPr="00075492">
        <w:t xml:space="preserve">Rapporten har remissbehandlats. 25 remissinstanser har yttrat sig, varav 5 har yttrat sig på eget initiativ. 3 instanser har avstått från att svara. </w:t>
      </w:r>
    </w:p>
    <w:p w:rsidR="00547E7E" w:rsidRPr="00075492" w:rsidRDefault="00547E7E">
      <w:pPr>
        <w:pStyle w:val="Normaltindrag"/>
      </w:pPr>
      <w:r w:rsidRPr="00075492">
        <w:t>Remissinstanserna tillstyrker i allt väsentligt revisorernas förslag. Det finns dock delade meningar om revisorernas förslag om avgiftssystemet, nuvara</w:t>
      </w:r>
      <w:r w:rsidRPr="00075492">
        <w:t>n</w:t>
      </w:r>
      <w:r w:rsidRPr="00075492">
        <w:t>de ansvarsfördelning mellan stat och kommun samt Livsmedelsverkets mö</w:t>
      </w:r>
      <w:r w:rsidRPr="00075492">
        <w:t>j</w:t>
      </w:r>
      <w:r w:rsidRPr="00075492">
        <w:t>ligheter att påverka och följa upp den kommunala verksamheten. En sa</w:t>
      </w:r>
      <w:r w:rsidRPr="00075492">
        <w:t>m</w:t>
      </w:r>
      <w:r w:rsidRPr="00075492">
        <w:t xml:space="preserve">manfattning av remissinstansernas svar finns i bilaga 2. </w:t>
      </w:r>
    </w:p>
    <w:p w:rsidR="00547E7E" w:rsidRPr="00075492" w:rsidRDefault="00547E7E">
      <w:pPr>
        <w:pStyle w:val="Rubrik1"/>
      </w:pPr>
      <w:bookmarkStart w:id="5" w:name="_Toc4833258"/>
      <w:bookmarkStart w:id="6" w:name="_Toc6634497"/>
      <w:bookmarkStart w:id="7" w:name="_Toc6637079"/>
      <w:r w:rsidRPr="00075492">
        <w:t>Revisorernas iakttagelser</w:t>
      </w:r>
      <w:bookmarkEnd w:id="5"/>
      <w:bookmarkEnd w:id="6"/>
      <w:bookmarkEnd w:id="7"/>
      <w:r w:rsidRPr="00075492">
        <w:t xml:space="preserve"> </w:t>
      </w:r>
    </w:p>
    <w:p w:rsidR="00547E7E" w:rsidRPr="00075492" w:rsidRDefault="00547E7E">
      <w:r w:rsidRPr="00075492">
        <w:t>Livsmedelstillsynen i Sverige karakteriseras av ett omfattande regelsystem och ett mycket komplicerat avgifts- och finansieringssystem. Tillsynen i Sverige har under senare år varit föremål för ett omfattande utredningsarbete. De frågor som framför allt har diskuterats är hur tillsynen ska finansieras och organiseras.</w:t>
      </w:r>
    </w:p>
    <w:p w:rsidR="00547E7E" w:rsidRPr="00075492" w:rsidRDefault="00547E7E">
      <w:pPr>
        <w:pStyle w:val="Normaltindrag"/>
      </w:pPr>
      <w:r w:rsidRPr="00075492">
        <w:t>Ansvaret för tillsynen är delat mellan Livsmedelsverket, länsstyrelserna och kommunerna. Livsmedelsverket svarar för att leda och samordna tills</w:t>
      </w:r>
      <w:r w:rsidRPr="00075492">
        <w:t>y</w:t>
      </w:r>
      <w:r w:rsidRPr="00075492">
        <w:t>nen. Verket har också ansvar för att utöva tillsyn över ca 600 större livsm</w:t>
      </w:r>
      <w:r w:rsidRPr="00075492">
        <w:t>e</w:t>
      </w:r>
      <w:r w:rsidRPr="00075492">
        <w:t xml:space="preserve">delsanläggningar, inklusive slakterier. Kommunerna svarar för tillsyn av ca 52 000 objekt, dvs. närmare 99 % av anläggningarna. Länsstyrelserna ska </w:t>
      </w:r>
      <w:r w:rsidRPr="00075492">
        <w:lastRenderedPageBreak/>
        <w:t>utöva den närmare tillsynen inom länet främst genom att följa och stödja kommunernas arbete.</w:t>
      </w:r>
    </w:p>
    <w:p w:rsidR="00547E7E" w:rsidRPr="00075492" w:rsidRDefault="00547E7E">
      <w:pPr>
        <w:pStyle w:val="Normaltindrag"/>
      </w:pPr>
      <w:r w:rsidRPr="00075492">
        <w:t>Lagstiftningen i Sverige är i hög grad harmoniserad med EU:s livsm</w:t>
      </w:r>
      <w:r w:rsidRPr="00075492">
        <w:t>e</w:t>
      </w:r>
      <w:r w:rsidRPr="00075492">
        <w:t>delslagstiftning. Däremot råder en betydande frihet för medlemsländerna vad gäller finansiering och organisation. I granskningen av statens styrning av livsmedelstillsynen konstateras att staten inte styr eller påverkar verksamh</w:t>
      </w:r>
      <w:r w:rsidRPr="00075492">
        <w:t>e</w:t>
      </w:r>
      <w:r w:rsidRPr="00075492">
        <w:t>ten i önskvärd utsträckning.</w:t>
      </w:r>
    </w:p>
    <w:p w:rsidR="00547E7E" w:rsidRPr="00075492" w:rsidRDefault="00547E7E">
      <w:pPr>
        <w:pStyle w:val="Normaltindrag"/>
      </w:pPr>
      <w:r w:rsidRPr="00075492">
        <w:t>Riksdagen har delegerat till regeringen eller den myndighet som regerin</w:t>
      </w:r>
      <w:r w:rsidRPr="00075492">
        <w:t>g</w:t>
      </w:r>
      <w:r w:rsidRPr="00075492">
        <w:t>en bestämmer att utfärda närmare bestämmelser om lagens tillämpning. Regeringen har i sin tur lämnat långtgående befogenheter till Livsmedelsve</w:t>
      </w:r>
      <w:r w:rsidRPr="00075492">
        <w:t>r</w:t>
      </w:r>
      <w:r w:rsidRPr="00075492">
        <w:t>ket att leda och samordna livsmedelstillsynen i Sverige. Livsmedelsverket har t.ex. rätt att återta tillsynsansvar för anläggningar från kommunerna. Verket har också rätt att genomföra normerande inspektioner i kommunerna.</w:t>
      </w:r>
    </w:p>
    <w:p w:rsidR="00547E7E" w:rsidRPr="00075492" w:rsidRDefault="00547E7E">
      <w:pPr>
        <w:pStyle w:val="Normaltindrag"/>
      </w:pPr>
      <w:r w:rsidRPr="00075492">
        <w:t>Revisorerna har konstaterat att Livsmedelsverket i ringa utsträckning a</w:t>
      </w:r>
      <w:r w:rsidRPr="00075492">
        <w:t>n</w:t>
      </w:r>
      <w:r w:rsidRPr="00075492">
        <w:t>vänder de befogenheter som regeringen har delegerat till verket. Livsmedel</w:t>
      </w:r>
      <w:r w:rsidRPr="00075492">
        <w:t>s</w:t>
      </w:r>
      <w:r w:rsidRPr="00075492">
        <w:t>verket har i stället riktat skarp kritik mot de kommunala tillsynsmyndigh</w:t>
      </w:r>
      <w:r w:rsidRPr="00075492">
        <w:t>e</w:t>
      </w:r>
      <w:r w:rsidRPr="00075492">
        <w:t>terna för bristande tillsyn. Verket har föreslagit att livsmedelstillsynen ska förstatligas.</w:t>
      </w:r>
    </w:p>
    <w:p w:rsidR="00547E7E" w:rsidRPr="00075492" w:rsidRDefault="00547E7E">
      <w:pPr>
        <w:pStyle w:val="Normaltindrag"/>
      </w:pPr>
      <w:r w:rsidRPr="00075492">
        <w:t>Revisorerna har konstaterat att finansierings- och avgiftssystemet har b</w:t>
      </w:r>
      <w:r w:rsidRPr="00075492">
        <w:t>e</w:t>
      </w:r>
      <w:r w:rsidRPr="00075492">
        <w:t>tydande brister som motverkar att tillsynen kan utövas utifrån det behov som finns. Det saknas också incitament för företag att följa gällande regelverk.</w:t>
      </w:r>
    </w:p>
    <w:p w:rsidR="00547E7E" w:rsidRPr="00075492" w:rsidRDefault="00547E7E">
      <w:pPr>
        <w:pStyle w:val="Normaltindrag"/>
      </w:pPr>
      <w:r w:rsidRPr="00075492">
        <w:t>Enligt granskningen har regeringen ett underlag som tydligt visar att fina</w:t>
      </w:r>
      <w:r w:rsidRPr="00075492">
        <w:t>n</w:t>
      </w:r>
      <w:r w:rsidRPr="00075492">
        <w:t>sierings- och avgiftssystemet behöver ändras. Det behövs enligt revisorernas uppfat</w:t>
      </w:r>
      <w:r w:rsidRPr="00075492">
        <w:t>t</w:t>
      </w:r>
      <w:r w:rsidRPr="00075492">
        <w:t xml:space="preserve">ning en grundläggande förändring av systemet. </w:t>
      </w:r>
    </w:p>
    <w:p w:rsidR="00547E7E" w:rsidRPr="00075492" w:rsidRDefault="00547E7E">
      <w:pPr>
        <w:pStyle w:val="Rubrik1"/>
      </w:pPr>
      <w:bookmarkStart w:id="8" w:name="_Toc4833259"/>
      <w:bookmarkStart w:id="9" w:name="_Toc6634498"/>
      <w:bookmarkStart w:id="10" w:name="_Toc6637080"/>
      <w:r w:rsidRPr="00075492">
        <w:t>Ny information</w:t>
      </w:r>
      <w:bookmarkEnd w:id="8"/>
      <w:bookmarkEnd w:id="9"/>
      <w:bookmarkEnd w:id="10"/>
      <w:r w:rsidRPr="00075492">
        <w:t xml:space="preserve"> </w:t>
      </w:r>
    </w:p>
    <w:p w:rsidR="00547E7E" w:rsidRPr="00075492" w:rsidRDefault="00547E7E">
      <w:r w:rsidRPr="00075492">
        <w:t>Viss information har tillkommit sedan revisorernas rapport publicerades.</w:t>
      </w:r>
    </w:p>
    <w:p w:rsidR="00547E7E" w:rsidRPr="00075492" w:rsidRDefault="00547E7E">
      <w:pPr>
        <w:pStyle w:val="Normaltindrag"/>
      </w:pPr>
      <w:r w:rsidRPr="00075492">
        <w:t>Den 10 december 2001 beslutade Riksrevisionsverket (RRV) om rapporten Livsmedelsverkets stöd till den lokala livsmedelstillsynen (2001:33). Syftet med RRV:s granskning var att dels pröva om Livsmedelsverket inom sitt nuvarande mandat kan förbättra den lokala livsmedelstillsynen, dels beskriva och förklara variationen mellan kommunerna när det gäller livsmedelstills</w:t>
      </w:r>
      <w:r w:rsidRPr="00075492">
        <w:t>y</w:t>
      </w:r>
      <w:r w:rsidRPr="00075492">
        <w:t>nens omfattning och utförande.</w:t>
      </w:r>
    </w:p>
    <w:p w:rsidR="00547E7E" w:rsidRPr="00075492" w:rsidRDefault="00547E7E">
      <w:pPr>
        <w:pStyle w:val="Normaltindrag"/>
      </w:pPr>
      <w:r w:rsidRPr="00075492">
        <w:t>RRV:s slutsatser sammanfaller med revisorernas slutsatser. Bland annat konstateras att Livsmedelsverket inom sitt nuvarande mandat kan förbättra stödet till den lokala tillsynen. RRV:s granskning visar också att kommune</w:t>
      </w:r>
      <w:r w:rsidRPr="00075492">
        <w:t>r</w:t>
      </w:r>
      <w:r w:rsidRPr="00075492">
        <w:t>na efte</w:t>
      </w:r>
      <w:r w:rsidRPr="00075492">
        <w:t>r</w:t>
      </w:r>
      <w:r w:rsidRPr="00075492">
        <w:t>frågar ett mer aktivt stöd från Livsmedelsverket.</w:t>
      </w:r>
    </w:p>
    <w:p w:rsidR="00547E7E" w:rsidRPr="00075492" w:rsidRDefault="00547E7E">
      <w:pPr>
        <w:pStyle w:val="Normaltindrag"/>
      </w:pPr>
      <w:r w:rsidRPr="00075492">
        <w:t>RRV har bl.a. undersökt hur företagen uppfattar den lokala livsmedelstil</w:t>
      </w:r>
      <w:r w:rsidRPr="00075492">
        <w:t>l</w:t>
      </w:r>
      <w:r w:rsidRPr="00075492">
        <w:t>synen. Resultaten visar att ur företagens synvinkel fungerar inspektionerna väl. 85 % av företagen var mycket positiva eller ganska positiva till att det egna företaget får besök av livsmedelsinspektören. Undersökningen tyder på att en aktiv tillsyn leder till en positiv inställning till tillsyn hos företagen. De företag som hade fått besök under det senaste året var mer positiva än de som inte hade fått något besök. Livsmedelsinspektörerna fick även mycket posit</w:t>
      </w:r>
      <w:r w:rsidRPr="00075492">
        <w:t>i</w:t>
      </w:r>
      <w:r w:rsidRPr="00075492">
        <w:t>va omdömen av företagarna.</w:t>
      </w:r>
    </w:p>
    <w:p w:rsidR="00547E7E" w:rsidRPr="00075492" w:rsidRDefault="00547E7E">
      <w:pPr>
        <w:pStyle w:val="Normaltindrag"/>
      </w:pPr>
      <w:r w:rsidRPr="00075492">
        <w:t>RRV har också un</w:t>
      </w:r>
      <w:r w:rsidRPr="00075492">
        <w:t xml:space="preserve">dersökt om jäv eller beroendeförhållanden är problem i den kommunala myndighetsutövningen. RRV konstaterar att det inte finns </w:t>
      </w:r>
      <w:r w:rsidRPr="00075492">
        <w:lastRenderedPageBreak/>
        <w:t>några uppgifter som stöder antagandet om att jäv är ett problem i landets kommuner. Inte heller finns det belägg för att den kommunala myndighet</w:t>
      </w:r>
      <w:r w:rsidRPr="00075492">
        <w:t>s</w:t>
      </w:r>
      <w:r w:rsidRPr="00075492">
        <w:t>utövningen skulle innebära att kommunerna värnar mer om arbetstillfällen än om en god livsm</w:t>
      </w:r>
      <w:r w:rsidRPr="00075492">
        <w:t>e</w:t>
      </w:r>
      <w:r w:rsidRPr="00075492">
        <w:t xml:space="preserve">delstillsyn. </w:t>
      </w:r>
    </w:p>
    <w:p w:rsidR="00547E7E" w:rsidRPr="00075492" w:rsidRDefault="00547E7E">
      <w:pPr>
        <w:pStyle w:val="Normaltindrag"/>
      </w:pPr>
      <w:r w:rsidRPr="00075492">
        <w:t>Livsmedelsverket publicerade i mars 2002 en rapport, Rapportering av livsmedelstillsyn 2000 – Kommunernas rapportering om livsmedelstil</w:t>
      </w:r>
      <w:r w:rsidRPr="00075492">
        <w:t>lsyn. Av rapporten framgår att det totala antalet årsarbetskrafter som arbetar med livsmedelstillsyn i kommunerna har ökat något, medan antalet inspektörer har minskat något. Antalet utförda inspektioner i kommunerna har minskat något jämfört med 1999. Tillsynsfrekvensen för olika företag varierar. Liv</w:t>
      </w:r>
      <w:r w:rsidRPr="00075492">
        <w:t>s</w:t>
      </w:r>
      <w:r w:rsidRPr="00075492">
        <w:t>medelsverket har inte närmare analyserat orsakerna till dessa förhålla</w:t>
      </w:r>
      <w:r w:rsidRPr="00075492">
        <w:t>n</w:t>
      </w:r>
      <w:r w:rsidRPr="00075492">
        <w:t xml:space="preserve">den. </w:t>
      </w:r>
    </w:p>
    <w:p w:rsidR="00547E7E" w:rsidRPr="00075492" w:rsidRDefault="00547E7E">
      <w:pPr>
        <w:pStyle w:val="Normaltindrag"/>
      </w:pPr>
      <w:r w:rsidRPr="00075492">
        <w:t>Den 21 mars 2002 beslutade RRV om revisionsberättelse för Livsmedel</w:t>
      </w:r>
      <w:r w:rsidRPr="00075492">
        <w:t>s</w:t>
      </w:r>
      <w:r w:rsidRPr="00075492">
        <w:t xml:space="preserve">verket för räkenskapsåret 2001. RRV invände mot att Livsmedelsverket hade utnyttjat sitt ramanslag utöver beviljad anslagskredit med närmare 2 miljoner kronor. </w:t>
      </w:r>
    </w:p>
    <w:p w:rsidR="00547E7E" w:rsidRPr="00075492" w:rsidRDefault="00547E7E">
      <w:pPr>
        <w:pStyle w:val="Normaltindrag"/>
      </w:pPr>
      <w:r w:rsidRPr="00075492">
        <w:t>Detta förhållande kontrasterar mot Livsmedelsverkets ekonomiska situ</w:t>
      </w:r>
      <w:r w:rsidRPr="00075492">
        <w:t>a</w:t>
      </w:r>
      <w:r w:rsidRPr="00075492">
        <w:t>tion föregående år. I juni 2001 beslutade regeringen att dra in Livsmedel</w:t>
      </w:r>
      <w:r w:rsidRPr="00075492">
        <w:t>s</w:t>
      </w:r>
      <w:r w:rsidRPr="00075492">
        <w:t>verkets anslagssparande, som översteg 3 % av anslaget. Beloppet uppgick till 10 miljoner kronor. Livsmedelsverket hade inte begärt att få disponera öve</w:t>
      </w:r>
      <w:r w:rsidRPr="00075492">
        <w:t>r</w:t>
      </w:r>
      <w:r w:rsidRPr="00075492">
        <w:t xml:space="preserve">fört anslagssparande.  </w:t>
      </w:r>
    </w:p>
    <w:p w:rsidR="00547E7E" w:rsidRPr="00075492" w:rsidRDefault="00547E7E">
      <w:pPr>
        <w:pStyle w:val="Rubrik1"/>
      </w:pPr>
      <w:bookmarkStart w:id="11" w:name="_Toc4833260"/>
      <w:bookmarkStart w:id="12" w:name="_Toc6634499"/>
      <w:bookmarkStart w:id="13" w:name="_Toc6637081"/>
      <w:r w:rsidRPr="00075492">
        <w:t>Revisorernas överväganden och förslag</w:t>
      </w:r>
      <w:bookmarkEnd w:id="11"/>
      <w:bookmarkEnd w:id="12"/>
      <w:bookmarkEnd w:id="13"/>
    </w:p>
    <w:p w:rsidR="00547E7E" w:rsidRPr="00075492" w:rsidRDefault="00547E7E">
      <w:pPr>
        <w:pStyle w:val="Rubrik2"/>
      </w:pPr>
      <w:bookmarkStart w:id="14" w:name="_Toc4833261"/>
      <w:bookmarkStart w:id="15" w:name="_Toc6634500"/>
      <w:bookmarkStart w:id="16" w:name="_Toc6637082"/>
      <w:r w:rsidRPr="00075492">
        <w:t>Information om regelverket</w:t>
      </w:r>
      <w:bookmarkEnd w:id="14"/>
      <w:bookmarkEnd w:id="15"/>
      <w:bookmarkEnd w:id="16"/>
    </w:p>
    <w:p w:rsidR="00547E7E" w:rsidRPr="00075492" w:rsidRDefault="00547E7E">
      <w:pPr>
        <w:rPr>
          <w:i/>
        </w:rPr>
      </w:pPr>
      <w:r w:rsidRPr="00075492">
        <w:rPr>
          <w:i/>
        </w:rPr>
        <w:t>Rapporten</w:t>
      </w:r>
    </w:p>
    <w:p w:rsidR="00547E7E" w:rsidRPr="00075492" w:rsidRDefault="00547E7E">
      <w:r w:rsidRPr="00075492">
        <w:t>Det finns många regler om livsmedelstillsyn. Exempelvis har Livsmedel</w:t>
      </w:r>
      <w:r w:rsidRPr="00075492">
        <w:t>s</w:t>
      </w:r>
      <w:r w:rsidRPr="00075492">
        <w:t xml:space="preserve">verket utfärdat mer än 100 föreskrifter inom området. Föreskrifterna omfattar omkring 1 500 sidor. </w:t>
      </w:r>
    </w:p>
    <w:p w:rsidR="00547E7E" w:rsidRPr="00075492" w:rsidRDefault="00547E7E">
      <w:pPr>
        <w:pStyle w:val="Normaltindrag"/>
      </w:pPr>
      <w:r w:rsidRPr="00075492">
        <w:t>Den svenska lagstiftningen inom livsmedelsområdet är i hög grad harm</w:t>
      </w:r>
      <w:r w:rsidRPr="00075492">
        <w:t>o</w:t>
      </w:r>
      <w:r w:rsidRPr="00075492">
        <w:t xml:space="preserve">niserad med EU:s lagstiftning. I EU:s regelverk fastställs hur kontroller bör gå till och vad som ska kontrolleras. Det råder däremot en betydande frihet för medlemsländerna vad gäller organisation och finansiering. </w:t>
      </w:r>
    </w:p>
    <w:p w:rsidR="00547E7E" w:rsidRPr="00075492" w:rsidRDefault="00547E7E">
      <w:pPr>
        <w:pStyle w:val="Normaltindrag"/>
      </w:pPr>
      <w:r w:rsidRPr="00075492">
        <w:t xml:space="preserve">EU:s regler om livsmedelstillsynen är omfattande, komplicerade och svåra att överblicka. Informationen om EU-lagstiftningen är i vissa fall bristfällig och ofullständig. Detta avser särskilt förordningar som gäller direkt i lag. Det saknas en komplett förteckning över gällande förordningar. </w:t>
      </w:r>
    </w:p>
    <w:p w:rsidR="00547E7E" w:rsidRPr="00075492" w:rsidRDefault="00547E7E">
      <w:pPr>
        <w:pStyle w:val="Normaltindrag"/>
        <w:ind w:right="84"/>
      </w:pPr>
      <w:r w:rsidRPr="00075492">
        <w:t xml:space="preserve">Den omfattande regelmängden i kombination med bristfällig information om förordningar skapar problem för både de företag som ska följa reglerna och de tillsynsmyndigheter som ska kontrollera att reglerna följs. </w:t>
      </w:r>
    </w:p>
    <w:p w:rsidR="00547E7E" w:rsidRPr="00075492" w:rsidRDefault="00547E7E">
      <w:pPr>
        <w:rPr>
          <w:i/>
        </w:rPr>
      </w:pPr>
      <w:r w:rsidRPr="00075492">
        <w:rPr>
          <w:i/>
        </w:rPr>
        <w:br w:type="page"/>
      </w:r>
      <w:r w:rsidRPr="00075492">
        <w:rPr>
          <w:i/>
        </w:rPr>
        <w:lastRenderedPageBreak/>
        <w:t>Remissinstansernas synpunkter</w:t>
      </w:r>
    </w:p>
    <w:p w:rsidR="00547E7E" w:rsidRPr="00075492" w:rsidRDefault="00547E7E">
      <w:r w:rsidRPr="00075492">
        <w:t>Remissinstanserna delar i stor utsträckning revisorernas uppfattning om regelsystemet. Flertalet remissinstanser, t.ex. kommunerna, Svenska Ko</w:t>
      </w:r>
      <w:r w:rsidRPr="00075492">
        <w:t>m</w:t>
      </w:r>
      <w:r w:rsidRPr="00075492">
        <w:t>munförbundet och Svensk Dagligvaruhandel, betonar vikten av att reglerna blir mer lättillgängliga och överskådliga. Några kommuner framhåller även vikten av att Livsmedelsverket ger ett bättre stöd när det gäller tolkning av lagstif</w:t>
      </w:r>
      <w:r w:rsidRPr="00075492">
        <w:t>t</w:t>
      </w:r>
      <w:r w:rsidRPr="00075492">
        <w:t xml:space="preserve">ningen. </w:t>
      </w:r>
    </w:p>
    <w:p w:rsidR="00547E7E" w:rsidRPr="00075492" w:rsidRDefault="00547E7E">
      <w:pPr>
        <w:pStyle w:val="Normaltindrag"/>
      </w:pPr>
      <w:r w:rsidRPr="00075492">
        <w:t>Livsmedelsverket</w:t>
      </w:r>
      <w:r w:rsidRPr="00075492">
        <w:rPr>
          <w:i/>
        </w:rPr>
        <w:t xml:space="preserve"> </w:t>
      </w:r>
      <w:r w:rsidRPr="00075492">
        <w:t>framhåller att verket med hög intensitet fullföljer tidig</w:t>
      </w:r>
      <w:r w:rsidRPr="00075492">
        <w:t>a</w:t>
      </w:r>
      <w:r w:rsidRPr="00075492">
        <w:t>re fastställd plan för översyn av icke EG-relaterade föreskrifter. Verket anger att det nu finns en komplett förteckning över EG-förordningar inom verkets ansvarsområde. För att underlätta tillämpningen av dessa förordningar avser verket att vid behov utarbeta vägledningar eller information om förordnin</w:t>
      </w:r>
      <w:r w:rsidRPr="00075492">
        <w:t>g</w:t>
      </w:r>
      <w:r w:rsidRPr="00075492">
        <w:t xml:space="preserve">arna. </w:t>
      </w:r>
    </w:p>
    <w:p w:rsidR="00547E7E" w:rsidRPr="00075492" w:rsidRDefault="00547E7E">
      <w:pPr>
        <w:rPr>
          <w:i/>
        </w:rPr>
      </w:pPr>
      <w:r w:rsidRPr="00075492">
        <w:rPr>
          <w:i/>
        </w:rPr>
        <w:t>Revisorernas överväganden och förslag</w:t>
      </w:r>
    </w:p>
    <w:p w:rsidR="00547E7E" w:rsidRPr="00075492" w:rsidRDefault="00547E7E">
      <w:r w:rsidRPr="00075492">
        <w:t>Det är positivt att Livsmedelsverket fullföljer påbörjad översyn av föreskri</w:t>
      </w:r>
      <w:r w:rsidRPr="00075492">
        <w:t>f</w:t>
      </w:r>
      <w:r w:rsidRPr="00075492">
        <w:t>terna och att det nu finns en komplett förteckning över gällande förordningar. Enligt revisorernas uppfattning bör Livsmedelsverket på alla tänkbara sätt underlätta för tillsynsmyndigheterna att tillämpa regelverket korrekt. Verket bör löpande revidera sina regler och tillhandahålla lättillgänglig information om samtliga regler. Revisorerna utgår från att Livsmedelsverket rapporterar resultatet av översynen till reg</w:t>
      </w:r>
      <w:r w:rsidRPr="00075492">
        <w:t>e</w:t>
      </w:r>
      <w:r w:rsidRPr="00075492">
        <w:t>ringen.</w:t>
      </w:r>
    </w:p>
    <w:p w:rsidR="00547E7E" w:rsidRPr="00075492" w:rsidRDefault="00547E7E">
      <w:pPr>
        <w:pStyle w:val="Rubrik2"/>
      </w:pPr>
      <w:bookmarkStart w:id="17" w:name="_Toc4833262"/>
      <w:bookmarkStart w:id="18" w:name="_Toc6634501"/>
      <w:bookmarkStart w:id="19" w:name="_Toc6637083"/>
      <w:r w:rsidRPr="00075492">
        <w:t>Europeiska kommissionens utvärderingar</w:t>
      </w:r>
      <w:bookmarkEnd w:id="17"/>
      <w:bookmarkEnd w:id="18"/>
      <w:bookmarkEnd w:id="19"/>
      <w:r w:rsidRPr="00075492">
        <w:t xml:space="preserve">  </w:t>
      </w:r>
    </w:p>
    <w:p w:rsidR="00547E7E" w:rsidRPr="00075492" w:rsidRDefault="00547E7E">
      <w:pPr>
        <w:rPr>
          <w:i/>
        </w:rPr>
      </w:pPr>
      <w:r w:rsidRPr="00075492">
        <w:rPr>
          <w:i/>
        </w:rPr>
        <w:t>Rapporten</w:t>
      </w:r>
    </w:p>
    <w:p w:rsidR="00547E7E" w:rsidRPr="00075492" w:rsidRDefault="00547E7E">
      <w:r w:rsidRPr="00075492">
        <w:t>Europeiska kommissionen övervakar medlemsländernas efterlevnad av r</w:t>
      </w:r>
      <w:r w:rsidRPr="00075492">
        <w:t>e</w:t>
      </w:r>
      <w:r w:rsidRPr="00075492">
        <w:t>gelverket genom utvärderingar. Kommissionens utvärderingar av den sven</w:t>
      </w:r>
      <w:r w:rsidRPr="00075492">
        <w:t>s</w:t>
      </w:r>
      <w:r w:rsidRPr="00075492">
        <w:t xml:space="preserve">ka livsmedelstillsynen visar att både Livsmedelsverkets och kommunernas tillsyn har brister vad gäller tillsynsfrekvens, tillvägagångssätt och resurser. </w:t>
      </w:r>
    </w:p>
    <w:p w:rsidR="00547E7E" w:rsidRPr="00075492" w:rsidRDefault="00547E7E">
      <w:pPr>
        <w:pStyle w:val="Normaltindrag"/>
        <w:ind w:right="84"/>
      </w:pPr>
      <w:r w:rsidRPr="00075492">
        <w:t>Kommissionen anser att orsaken till variationen i kommunernas tillsyn</w:t>
      </w:r>
      <w:r w:rsidRPr="00075492">
        <w:t>s</w:t>
      </w:r>
      <w:r w:rsidRPr="00075492">
        <w:t>verksamhet bl.a. är bristande styrning från Livsmedelsverket. Kommissi</w:t>
      </w:r>
      <w:r w:rsidRPr="00075492">
        <w:t>o</w:t>
      </w:r>
      <w:r w:rsidRPr="00075492">
        <w:t xml:space="preserve">nen anser att Livsmedelsverkets styrning kan bli bättre. Livsmedelsverket får också kritik för styrningen av besiktningsveterinärsorganisationen som ligger inom verkets egen organisation. </w:t>
      </w:r>
    </w:p>
    <w:p w:rsidR="00547E7E" w:rsidRPr="00075492" w:rsidRDefault="00547E7E">
      <w:pPr>
        <w:pStyle w:val="Normaltindrag"/>
        <w:ind w:right="84"/>
      </w:pPr>
      <w:r w:rsidRPr="00075492">
        <w:t>Revisorerna föreslog att regeringen skulle uppdra åt Livsmedelsverket att i sin årsredovisning dels redovisa kommissionens synpunkter på livsm</w:t>
      </w:r>
      <w:r w:rsidRPr="00075492">
        <w:t>e</w:t>
      </w:r>
      <w:r w:rsidRPr="00075492">
        <w:t>delstillsynen i Sverige, dels redovisa de åtgärder som verket har vidtagit med a</w:t>
      </w:r>
      <w:r w:rsidRPr="00075492">
        <w:t>n</w:t>
      </w:r>
      <w:r w:rsidRPr="00075492">
        <w:t>ledning av kommissionens kritik.</w:t>
      </w:r>
    </w:p>
    <w:p w:rsidR="00547E7E" w:rsidRPr="00075492" w:rsidRDefault="00547E7E">
      <w:pPr>
        <w:rPr>
          <w:i/>
        </w:rPr>
      </w:pPr>
      <w:r w:rsidRPr="00075492">
        <w:rPr>
          <w:i/>
        </w:rPr>
        <w:t xml:space="preserve">Remissinstanserna </w:t>
      </w:r>
    </w:p>
    <w:p w:rsidR="00547E7E" w:rsidRPr="00075492" w:rsidRDefault="00547E7E">
      <w:r w:rsidRPr="00075492">
        <w:t>Med undantag för Livsmedelsverket tillstyrker remissinstanserna revisore</w:t>
      </w:r>
      <w:r w:rsidRPr="00075492">
        <w:t>r</w:t>
      </w:r>
      <w:r w:rsidRPr="00075492">
        <w:t xml:space="preserve">nas förslag om att Livsmedelsverket bör redovisa kommissionens kritik och de åtgärder som vidtas till följd av denna. Enligt Livsmedelsverket redovisar kommissionen vanligtvis sina iakttagelser på ett tekniskt och detaljerat sätt. Med hänsyn till regeringens instruktion för hur en myndighets årsredovisning </w:t>
      </w:r>
      <w:r w:rsidRPr="00075492">
        <w:lastRenderedPageBreak/>
        <w:t>ska utformas är det endast möjligt att i årsredovisningen redovisa den vikt</w:t>
      </w:r>
      <w:r w:rsidRPr="00075492">
        <w:t>i</w:t>
      </w:r>
      <w:r w:rsidRPr="00075492">
        <w:t>gaste kritiken från kommissionen och de viktigaste åtgärderna, däremot inte samtliga punkter som kommissionen har krit</w:t>
      </w:r>
      <w:r w:rsidRPr="00075492">
        <w:t>i</w:t>
      </w:r>
      <w:r w:rsidRPr="00075492">
        <w:t xml:space="preserve">serat. </w:t>
      </w:r>
    </w:p>
    <w:p w:rsidR="00547E7E" w:rsidRPr="00075492" w:rsidRDefault="00547E7E">
      <w:pPr>
        <w:rPr>
          <w:i/>
        </w:rPr>
      </w:pPr>
      <w:r w:rsidRPr="00075492">
        <w:rPr>
          <w:i/>
        </w:rPr>
        <w:t>Revisorernas överväganden och förslag</w:t>
      </w:r>
    </w:p>
    <w:p w:rsidR="00547E7E" w:rsidRPr="00075492" w:rsidRDefault="00547E7E">
      <w:r w:rsidRPr="00075492">
        <w:t>Revisorerna delar inte Livsmedelsverkets uppfattning att kommissionens kritik generellt redovisas på ett teknisk och detaljerat sätt. Enligt revisorernas mening hindrar inte heller förordningen om årsredovisning och budgetu</w:t>
      </w:r>
      <w:r w:rsidRPr="00075492">
        <w:t>n</w:t>
      </w:r>
      <w:r w:rsidRPr="00075492">
        <w:t>derlag Livsmedelsverket från att redovisa kommissionens kritik i verkets årsredovisning (2000:605). Där bör även verket redogöra för de åtgärder som vidtas med a</w:t>
      </w:r>
      <w:r w:rsidRPr="00075492">
        <w:t>n</w:t>
      </w:r>
      <w:r w:rsidRPr="00075492">
        <w:t xml:space="preserve">ledning av kritiken. </w:t>
      </w:r>
    </w:p>
    <w:p w:rsidR="00547E7E" w:rsidRPr="00075492" w:rsidRDefault="00547E7E">
      <w:pPr>
        <w:pStyle w:val="Normaltindrag"/>
      </w:pPr>
      <w:r w:rsidRPr="00075492">
        <w:t>Revisorerna anser att kommissionens utvärderingar av livsmedelstillsynen i Sverige har ett stort informationsvärde. En utomstående granskning av livsmedelstillsynen i Sverige bör vara av betydelse för regeringens uppföl</w:t>
      </w:r>
      <w:r w:rsidRPr="00075492">
        <w:t>j</w:t>
      </w:r>
      <w:r w:rsidRPr="00075492">
        <w:t xml:space="preserve">ning och prövning av verksamheten. </w:t>
      </w:r>
    </w:p>
    <w:p w:rsidR="00547E7E" w:rsidRPr="00075492" w:rsidRDefault="00547E7E">
      <w:pPr>
        <w:pStyle w:val="Normaltindrag"/>
      </w:pPr>
      <w:r w:rsidRPr="00075492">
        <w:t>Revisorerna föreslår att regeringen uppdrar åt Livsmedelsverket att i sin årsredovisning redovisa dels kommissionens synpunkter på livsmedelstills</w:t>
      </w:r>
      <w:r w:rsidRPr="00075492">
        <w:t>y</w:t>
      </w:r>
      <w:r w:rsidRPr="00075492">
        <w:t xml:space="preserve">nen i Sverige, dels de åtgärder som verket har vidtagit med anledning av kommissionens kritik. </w:t>
      </w:r>
    </w:p>
    <w:p w:rsidR="00547E7E" w:rsidRPr="00075492" w:rsidRDefault="00547E7E">
      <w:pPr>
        <w:pStyle w:val="Rubrik2"/>
      </w:pPr>
      <w:bookmarkStart w:id="20" w:name="_Toc4833263"/>
      <w:bookmarkStart w:id="21" w:name="_Toc6634502"/>
      <w:bookmarkStart w:id="22" w:name="_Toc6637084"/>
      <w:r w:rsidRPr="00075492">
        <w:t>Reformera finansierings- och avgiftssystemet</w:t>
      </w:r>
      <w:bookmarkEnd w:id="20"/>
      <w:bookmarkEnd w:id="21"/>
      <w:bookmarkEnd w:id="22"/>
    </w:p>
    <w:p w:rsidR="00547E7E" w:rsidRPr="00075492" w:rsidRDefault="00547E7E">
      <w:pPr>
        <w:rPr>
          <w:i/>
        </w:rPr>
      </w:pPr>
      <w:r w:rsidRPr="00075492">
        <w:rPr>
          <w:i/>
        </w:rPr>
        <w:t>Rapporten</w:t>
      </w:r>
    </w:p>
    <w:p w:rsidR="00547E7E" w:rsidRPr="00075492" w:rsidRDefault="00547E7E">
      <w:r w:rsidRPr="00075492">
        <w:t xml:space="preserve">Vid revisorernas granskning 1994 fick nuvarande avgiftssystem kritik. En översyn av avgiftssystemet föreslogs. Även överföringen av medel från kommunerna till Livsmedelsverket ifrågasattes. Riksdagen gav regeringen till känna vad revisorerna hade anfört (bet. 1994/95:LU20, rskr. 1994/95:268, 269). </w:t>
      </w:r>
    </w:p>
    <w:p w:rsidR="00547E7E" w:rsidRPr="00075492" w:rsidRDefault="00547E7E">
      <w:pPr>
        <w:pStyle w:val="Normaltindrag"/>
      </w:pPr>
      <w:r w:rsidRPr="00075492">
        <w:t>Regeringen tillsatte 1997 en kommitté med uppgift att göra en översyn av livsmedelstillsynen inklusive avgiftssystemet. Kommittén föreslog ett a</w:t>
      </w:r>
      <w:r w:rsidRPr="00075492">
        <w:t>v</w:t>
      </w:r>
      <w:r w:rsidRPr="00075492">
        <w:t>giftssystem som skulle göra det möjligt för tillsynsmyndigheterna att ta ut de avgifter som krävs för att tillsynen skulle få tillräckliga resurser (SOU 1998:61). Det nya avgiftssystemet skulle också skapa incitament för en bättre efterlevnad av reglerna. Därefter har Livsmedelsverket föreslagit att livsm</w:t>
      </w:r>
      <w:r w:rsidRPr="00075492">
        <w:t>e</w:t>
      </w:r>
      <w:r w:rsidRPr="00075492">
        <w:t>delstillsynen i huvudsak ska anslagsfinansieras. Regeringen har ännu inte lämnat något förslag till riksd</w:t>
      </w:r>
      <w:r w:rsidRPr="00075492">
        <w:t>a</w:t>
      </w:r>
      <w:r w:rsidRPr="00075492">
        <w:t xml:space="preserve">gen. </w:t>
      </w:r>
    </w:p>
    <w:p w:rsidR="00547E7E" w:rsidRPr="00075492" w:rsidRDefault="00547E7E">
      <w:pPr>
        <w:pStyle w:val="Normaltindrag"/>
      </w:pPr>
      <w:r w:rsidRPr="00075492">
        <w:t>Rapporten visar att revisorernas tidigare kritik av finansierings- och a</w:t>
      </w:r>
      <w:r w:rsidRPr="00075492">
        <w:t>v</w:t>
      </w:r>
      <w:r w:rsidRPr="00075492">
        <w:t xml:space="preserve">giftssystemet fortfarande äger stor giltighet. </w:t>
      </w:r>
    </w:p>
    <w:p w:rsidR="00547E7E" w:rsidRPr="00075492" w:rsidRDefault="00547E7E">
      <w:pPr>
        <w:pStyle w:val="Normaltindrag"/>
        <w:ind w:right="84"/>
      </w:pPr>
      <w:r w:rsidRPr="00075492">
        <w:t>Nuvarande avgiftssystem är komplicerat. Livsmedelsverket bestämmer avgifternas storlek med vissa undantag. Totalt finns 14 olika avgifter. Vissa avser prövning av tillstånd, andra utgår för olika verksamheter med vari</w:t>
      </w:r>
      <w:r w:rsidRPr="00075492">
        <w:t>e</w:t>
      </w:r>
      <w:r w:rsidRPr="00075492">
        <w:t>rande avgiftsuttag utifrån olika principer. I vissa fall eftersträvas full kos</w:t>
      </w:r>
      <w:r w:rsidRPr="00075492">
        <w:t>t</w:t>
      </w:r>
      <w:r w:rsidRPr="00075492">
        <w:t>nadstäckning för tillsynen medan tillsynen i andra fall skattefina</w:t>
      </w:r>
      <w:r w:rsidRPr="00075492">
        <w:t>n</w:t>
      </w:r>
      <w:r w:rsidRPr="00075492">
        <w:t xml:space="preserve">sieras. </w:t>
      </w:r>
    </w:p>
    <w:p w:rsidR="00547E7E" w:rsidRPr="00075492" w:rsidRDefault="00547E7E">
      <w:pPr>
        <w:pStyle w:val="Normaltindrag"/>
        <w:ind w:right="84"/>
      </w:pPr>
      <w:r w:rsidRPr="00075492">
        <w:t>Betydande negativa effekter av avgiftssystemet har redovisats. Det gäller  för såväl företag som tillsynsmyndigheter. Företag får inte tillräckliga inc</w:t>
      </w:r>
      <w:r w:rsidRPr="00075492">
        <w:t>i</w:t>
      </w:r>
      <w:r w:rsidRPr="00075492">
        <w:t>tament att följa gällande regelverk. Det finns inte heller några garantier för att myndigheterna får tillräckliga resurser för tillsyn.</w:t>
      </w:r>
    </w:p>
    <w:p w:rsidR="00547E7E" w:rsidRPr="00075492" w:rsidRDefault="00547E7E">
      <w:pPr>
        <w:pStyle w:val="Normaltindrag"/>
      </w:pPr>
      <w:r w:rsidRPr="00075492">
        <w:lastRenderedPageBreak/>
        <w:t>Kommunerna överför  15 % av de årliga tillsynsavgifterna till Livsmedel</w:t>
      </w:r>
      <w:r w:rsidRPr="00075492">
        <w:t>s</w:t>
      </w:r>
      <w:r w:rsidRPr="00075492">
        <w:t>verket. Revisorerna konstaterade att Livsmedelsverket inte fullt ut har använt dessa medel för samordning av och stöd till komm</w:t>
      </w:r>
      <w:r w:rsidRPr="00075492">
        <w:t>u</w:t>
      </w:r>
      <w:r w:rsidRPr="00075492">
        <w:t xml:space="preserve">nerna. </w:t>
      </w:r>
    </w:p>
    <w:p w:rsidR="00547E7E" w:rsidRPr="00075492" w:rsidRDefault="00547E7E">
      <w:pPr>
        <w:pStyle w:val="Normaltindrag"/>
      </w:pPr>
      <w:r w:rsidRPr="00075492">
        <w:t>Mot denna bakgrund föreslog revisorerna att regeringen bör genomföra åtgärder så att finansierings- och avgiftssystemet skapar incitament för ver</w:t>
      </w:r>
      <w:r w:rsidRPr="00075492">
        <w:t>k</w:t>
      </w:r>
      <w:r w:rsidRPr="00075492">
        <w:t>samhetsutövare att följa gällande regelverk och ge tillsynsmyndigheterna förutsättningar att anpassa sina resurser efter behovet av tillsyn. Regeringen bör även utarbeta ett förslag som innebär att överföringen av medel från komm</w:t>
      </w:r>
      <w:r w:rsidRPr="00075492">
        <w:t>u</w:t>
      </w:r>
      <w:r w:rsidRPr="00075492">
        <w:t>nerna till Livsmedelsverket upphör.</w:t>
      </w:r>
    </w:p>
    <w:p w:rsidR="00547E7E" w:rsidRPr="00075492" w:rsidRDefault="00547E7E">
      <w:pPr>
        <w:rPr>
          <w:i/>
        </w:rPr>
      </w:pPr>
      <w:r w:rsidRPr="00075492">
        <w:rPr>
          <w:i/>
        </w:rPr>
        <w:t>Remissinstansernas synpunkter</w:t>
      </w:r>
    </w:p>
    <w:p w:rsidR="00547E7E" w:rsidRPr="00075492" w:rsidRDefault="00547E7E">
      <w:r w:rsidRPr="00075492">
        <w:t>Remissinstanserna delar revisorernas uppfattning att finansierings- och a</w:t>
      </w:r>
      <w:r w:rsidRPr="00075492">
        <w:t>v</w:t>
      </w:r>
      <w:r w:rsidRPr="00075492">
        <w:t>giftssystemet behöver reformeras. Huvuddelen av remissinstanserna tillsty</w:t>
      </w:r>
      <w:r w:rsidRPr="00075492">
        <w:t>r</w:t>
      </w:r>
      <w:r w:rsidRPr="00075492">
        <w:t>ker förslaget om en reformerad avgiftsfinansiering. Livsmedelsverket, branschorganisationer samt länsstyrelserna i Östergötlands och Norrbottens län anser däremot att livsmedelstillsynen helt eller huvudsakligen ska fina</w:t>
      </w:r>
      <w:r w:rsidRPr="00075492">
        <w:t>n</w:t>
      </w:r>
      <w:r w:rsidRPr="00075492">
        <w:t>sieras över a</w:t>
      </w:r>
      <w:r w:rsidRPr="00075492">
        <w:t>n</w:t>
      </w:r>
      <w:r w:rsidRPr="00075492">
        <w:t xml:space="preserve">slag. </w:t>
      </w:r>
    </w:p>
    <w:p w:rsidR="00547E7E" w:rsidRPr="00075492" w:rsidRDefault="00547E7E">
      <w:pPr>
        <w:pStyle w:val="Normaltindrag"/>
      </w:pPr>
      <w:r w:rsidRPr="00075492">
        <w:t>Ett antal remissinstanser, t.ex. Livsmedelsverket, länsstyrelserna i Öste</w:t>
      </w:r>
      <w:r w:rsidRPr="00075492">
        <w:t>r</w:t>
      </w:r>
      <w:r w:rsidRPr="00075492">
        <w:t>götlands och Norrbottens län samt Miljö- och hälsoskyddsförvaltningen i Kristinehamns kommun framhåller behovet av resurser för tillsyn. Livsm</w:t>
      </w:r>
      <w:r w:rsidRPr="00075492">
        <w:t>e</w:t>
      </w:r>
      <w:r w:rsidRPr="00075492">
        <w:t>delsverket betonar även vikten av utökade resurser för att livsmedelstillsynen ska kunna bedrivas på en betydligt högre nivå än i dag. Många är också kritiska mot att beslut om finansiering och avgifter har dröjt.</w:t>
      </w:r>
    </w:p>
    <w:p w:rsidR="00547E7E" w:rsidRPr="00075492" w:rsidRDefault="00547E7E">
      <w:pPr>
        <w:pStyle w:val="Normaltindrag"/>
      </w:pPr>
      <w:r w:rsidRPr="00075492">
        <w:t>Samtliga kommuner, Svenska Kommunförbundet och Livsmedelsverket tillstyrker förslaget om att slopa överföringen av medel från kommunerna till Livsmedelsve</w:t>
      </w:r>
      <w:r w:rsidRPr="00075492">
        <w:t>rket. Verket påpekar dock att detta förutsätter att verket ko</w:t>
      </w:r>
      <w:r w:rsidRPr="00075492">
        <w:t>m</w:t>
      </w:r>
      <w:r w:rsidRPr="00075492">
        <w:t xml:space="preserve">penseras med höjda anslag. </w:t>
      </w:r>
    </w:p>
    <w:p w:rsidR="00547E7E" w:rsidRPr="00075492" w:rsidRDefault="00547E7E">
      <w:pPr>
        <w:rPr>
          <w:i/>
        </w:rPr>
      </w:pPr>
      <w:r w:rsidRPr="00075492">
        <w:rPr>
          <w:i/>
        </w:rPr>
        <w:t>Revisorernas överväganden och förslag</w:t>
      </w:r>
    </w:p>
    <w:p w:rsidR="00547E7E" w:rsidRPr="00075492" w:rsidRDefault="00547E7E">
      <w:r w:rsidRPr="00075492">
        <w:t>Revisorerna anser att det är angeläget att finansierings- och avgiftssystemet reformeras från grunden. Avgiftssystemet bör skapa incitament för verksa</w:t>
      </w:r>
      <w:r w:rsidRPr="00075492">
        <w:t>m</w:t>
      </w:r>
      <w:r w:rsidRPr="00075492">
        <w:t>hetsutövare att följa gällande regler. Det ska också ge tillsynsmyndigheterna förutsättningar att kontrollera att företagen följer dessa regler. Regeringen bör även behandla möjligheterna att förenkla nuvarande system. Dessutom bör regeringen utarbeta ett förslag som innebär att överföringen av medel från kommunerna till Livsmedelsve</w:t>
      </w:r>
      <w:r w:rsidRPr="00075492">
        <w:t>r</w:t>
      </w:r>
      <w:r w:rsidRPr="00075492">
        <w:t>ket upphör.</w:t>
      </w:r>
    </w:p>
    <w:p w:rsidR="00547E7E" w:rsidRPr="00075492" w:rsidRDefault="00547E7E">
      <w:pPr>
        <w:pStyle w:val="Normaltindrag"/>
      </w:pPr>
      <w:r w:rsidRPr="00075492">
        <w:t>Motiven för att genomföra en reformerad avgiftsfinansiering har stärkts efter remissbehandlingen. Bland annat Livsmedelsverket framhåller i sitt remissvar att livs</w:t>
      </w:r>
      <w:r w:rsidRPr="00075492">
        <w:t>medelstillsynen behöver få utökade resurser. EU-kommissionen har också i sina utvärderingar av livsmedelstillsynen i Sverige påtalat bristande resurser för livsm</w:t>
      </w:r>
      <w:r w:rsidRPr="00075492">
        <w:t>e</w:t>
      </w:r>
      <w:r w:rsidRPr="00075492">
        <w:t>delstillsyn.</w:t>
      </w:r>
    </w:p>
    <w:p w:rsidR="00547E7E" w:rsidRPr="00075492" w:rsidRDefault="00547E7E">
      <w:pPr>
        <w:pStyle w:val="Normaltindrag"/>
      </w:pPr>
      <w:r w:rsidRPr="00075492">
        <w:t>Remissvaren från bransch- och konsumentorganisationer samt tillsyn</w:t>
      </w:r>
      <w:r w:rsidRPr="00075492">
        <w:t>s</w:t>
      </w:r>
      <w:r w:rsidRPr="00075492">
        <w:t xml:space="preserve">myndigheter inklusive Livsmedelsverket visar också på behovet av tillsyn. </w:t>
      </w:r>
    </w:p>
    <w:p w:rsidR="00547E7E" w:rsidRPr="00075492" w:rsidRDefault="00547E7E">
      <w:pPr>
        <w:pStyle w:val="Normaltindrag"/>
      </w:pPr>
      <w:r w:rsidRPr="00075492">
        <w:t>Regeringen bör därför utarbeta ett förslag till riksdagen som grundas på det förslag som lämnades i betänkandet Livsmedelstillsynen i Sverige (SOU 1998:61). En reformerad avgiftsfinansiering syftar till att säkerställa de r</w:t>
      </w:r>
      <w:r w:rsidRPr="00075492">
        <w:t>e</w:t>
      </w:r>
      <w:r w:rsidRPr="00075492">
        <w:t>surser som livsmedelstillsynen behöver. Iakttagelser om brister i hygien och redlighet bör leda till ökad tillsyn vars kostnader betalas av dem som föro</w:t>
      </w:r>
      <w:r w:rsidRPr="00075492">
        <w:t>r</w:t>
      </w:r>
      <w:r w:rsidRPr="00075492">
        <w:lastRenderedPageBreak/>
        <w:t>sakar den. Därigenom får försumliga företag anledning att förbättra sin liv</w:t>
      </w:r>
      <w:r w:rsidRPr="00075492">
        <w:t>s</w:t>
      </w:r>
      <w:r w:rsidRPr="00075492">
        <w:t>medelshantering samtidigt som myndigheterna får intäkter för att förstärka livsmedelstillsynen efter behov.</w:t>
      </w:r>
    </w:p>
    <w:p w:rsidR="00547E7E" w:rsidRPr="00075492" w:rsidRDefault="00547E7E">
      <w:pPr>
        <w:pStyle w:val="Normaltindrag"/>
      </w:pPr>
      <w:r w:rsidRPr="00075492">
        <w:t>Förslaget om anslagsfinansiering som har framförts av Livsmedelsverket tillgodoser enligt revisorernas mening inte behovet av en flexibel anpassning av tillsynsresurserna til</w:t>
      </w:r>
      <w:r w:rsidRPr="00075492">
        <w:t>l varierande behov. Vid en avgiftsfinansiering drabbas försumliga företag direkt av ökade tillsynskostnader. När tillsynen anslagsf</w:t>
      </w:r>
      <w:r w:rsidRPr="00075492">
        <w:t>i</w:t>
      </w:r>
      <w:r w:rsidRPr="00075492">
        <w:t xml:space="preserve">nansieras måste denna direkta påverkan på företag ersättas med tungrodda och ofta ineffektiva administrativa åtgärder. </w:t>
      </w:r>
    </w:p>
    <w:p w:rsidR="00547E7E" w:rsidRPr="00075492" w:rsidRDefault="00547E7E">
      <w:pPr>
        <w:pStyle w:val="Rubrik2"/>
      </w:pPr>
      <w:bookmarkStart w:id="23" w:name="_Toc4833264"/>
      <w:bookmarkStart w:id="24" w:name="_Toc6634503"/>
      <w:bookmarkStart w:id="25" w:name="_Toc6637085"/>
      <w:r w:rsidRPr="00075492">
        <w:t>Redovisa kostnaderna</w:t>
      </w:r>
      <w:bookmarkEnd w:id="23"/>
      <w:bookmarkEnd w:id="24"/>
      <w:bookmarkEnd w:id="25"/>
    </w:p>
    <w:p w:rsidR="00547E7E" w:rsidRPr="00075492" w:rsidRDefault="00547E7E">
      <w:pPr>
        <w:rPr>
          <w:i/>
        </w:rPr>
      </w:pPr>
      <w:r w:rsidRPr="00075492">
        <w:rPr>
          <w:i/>
        </w:rPr>
        <w:t>Rapporten</w:t>
      </w:r>
    </w:p>
    <w:p w:rsidR="00547E7E" w:rsidRPr="00075492" w:rsidRDefault="00547E7E">
      <w:r w:rsidRPr="00075492">
        <w:t>Det saknas tillförlitliga uppgifter om kommunernas kostnader för livsm</w:t>
      </w:r>
      <w:r w:rsidRPr="00075492">
        <w:t>e</w:t>
      </w:r>
      <w:r w:rsidRPr="00075492">
        <w:t>delstillsynen. I det nya rapporteringssystemet, där kommunerna lämnar up</w:t>
      </w:r>
      <w:r w:rsidRPr="00075492">
        <w:t>p</w:t>
      </w:r>
      <w:r w:rsidRPr="00075492">
        <w:t>gifter till Livsmedelsverket om tillsynen, har frågan om kommunernas kos</w:t>
      </w:r>
      <w:r w:rsidRPr="00075492">
        <w:t>t</w:t>
      </w:r>
      <w:r w:rsidRPr="00075492">
        <w:t>nader för verksamheten utgått. Därmed föreligger inget krav på kommunerna att rapportera kostnaderna för verksamheten.</w:t>
      </w:r>
    </w:p>
    <w:p w:rsidR="00547E7E" w:rsidRPr="00075492" w:rsidRDefault="00547E7E">
      <w:pPr>
        <w:pStyle w:val="Normaltindrag"/>
      </w:pPr>
      <w:r w:rsidRPr="00075492">
        <w:t>Revisorerna föreslog i rapporten att regeringen tar initiativ till att åsta</w:t>
      </w:r>
      <w:r w:rsidRPr="00075492">
        <w:t>d</w:t>
      </w:r>
      <w:r w:rsidRPr="00075492">
        <w:t>komma en tillfö</w:t>
      </w:r>
      <w:r w:rsidRPr="00075492">
        <w:t>r</w:t>
      </w:r>
      <w:r w:rsidRPr="00075492">
        <w:t>litlig redovisning av kostnaderna för livsmedelstillsynen.</w:t>
      </w:r>
    </w:p>
    <w:p w:rsidR="00547E7E" w:rsidRPr="00075492" w:rsidRDefault="00547E7E">
      <w:pPr>
        <w:rPr>
          <w:i/>
        </w:rPr>
      </w:pPr>
      <w:r w:rsidRPr="00075492">
        <w:rPr>
          <w:i/>
        </w:rPr>
        <w:t xml:space="preserve">Remissinstanserna </w:t>
      </w:r>
    </w:p>
    <w:p w:rsidR="00547E7E" w:rsidRPr="00075492" w:rsidRDefault="00547E7E">
      <w:r w:rsidRPr="00075492">
        <w:t>Med undantag av Livsmedelsverket är remissinstanserna positiva till revis</w:t>
      </w:r>
      <w:r w:rsidRPr="00075492">
        <w:t>o</w:t>
      </w:r>
      <w:r w:rsidRPr="00075492">
        <w:t xml:space="preserve">rernas förslag. Livsmedelsverket pekar på att kommunernas uppgifter om personal, tillsynens omfattning och resultat av tillsynen är tillräckliga för verkets behov. </w:t>
      </w:r>
    </w:p>
    <w:p w:rsidR="00547E7E" w:rsidRPr="00075492" w:rsidRDefault="00547E7E">
      <w:pPr>
        <w:rPr>
          <w:i/>
        </w:rPr>
      </w:pPr>
      <w:r w:rsidRPr="00075492">
        <w:rPr>
          <w:i/>
        </w:rPr>
        <w:t>Revisorernas överv</w:t>
      </w:r>
      <w:r w:rsidRPr="00075492">
        <w:rPr>
          <w:i/>
        </w:rPr>
        <w:t>ä</w:t>
      </w:r>
      <w:r w:rsidRPr="00075492">
        <w:rPr>
          <w:i/>
        </w:rPr>
        <w:t>ganden och förslag</w:t>
      </w:r>
    </w:p>
    <w:p w:rsidR="00547E7E" w:rsidRPr="00075492" w:rsidRDefault="00547E7E">
      <w:r w:rsidRPr="00075492">
        <w:t>Revisorerna anser att en tillförlitlig kostnadsredovisning är väsentlig för alla verksamheter. Livsmedelstillsynen är inget undantag. Revisorerna föreslår att regeringen tar initiativ till en tillförlitlig redovisning av kostnaderna för livsmedelstillsynen. För att få ett jämförbart underlag bör de uppgifter som ska ingå i kostnadsredovisningen specific</w:t>
      </w:r>
      <w:r w:rsidRPr="00075492">
        <w:t>e</w:t>
      </w:r>
      <w:r w:rsidRPr="00075492">
        <w:t>ras.</w:t>
      </w:r>
    </w:p>
    <w:p w:rsidR="00547E7E" w:rsidRPr="00075492" w:rsidRDefault="00547E7E">
      <w:pPr>
        <w:pStyle w:val="Rubrik2"/>
      </w:pPr>
      <w:bookmarkStart w:id="26" w:name="_Toc4833265"/>
      <w:bookmarkStart w:id="27" w:name="_Toc6634504"/>
      <w:bookmarkStart w:id="28" w:name="_Toc6637086"/>
      <w:r w:rsidRPr="00075492">
        <w:t>Tydliggör företagens ansvar</w:t>
      </w:r>
      <w:bookmarkEnd w:id="26"/>
      <w:bookmarkEnd w:id="27"/>
      <w:bookmarkEnd w:id="28"/>
    </w:p>
    <w:p w:rsidR="00547E7E" w:rsidRPr="00075492" w:rsidRDefault="00547E7E">
      <w:pPr>
        <w:rPr>
          <w:i/>
        </w:rPr>
      </w:pPr>
      <w:r w:rsidRPr="00075492">
        <w:rPr>
          <w:i/>
        </w:rPr>
        <w:t>Rapporten</w:t>
      </w:r>
    </w:p>
    <w:p w:rsidR="00547E7E" w:rsidRPr="00075492" w:rsidRDefault="00547E7E">
      <w:r w:rsidRPr="00075492">
        <w:t>Företagens ansvar är mycket tydligt i lagstiftningen. Grundläggande krav måste uppfyllas för att livsmedel ska få produceras och hanteras för försäl</w:t>
      </w:r>
      <w:r w:rsidRPr="00075492">
        <w:t>j</w:t>
      </w:r>
      <w:r w:rsidRPr="00075492">
        <w:t>ning och i storhushåll. Det finns bl.a. krav på att företagen ska utföra ko</w:t>
      </w:r>
      <w:r w:rsidRPr="00075492">
        <w:t>n</w:t>
      </w:r>
      <w:r w:rsidRPr="00075492">
        <w:t>troller och utarbeta s.k. egenkontrollprogram. Företagens egenkontrollpr</w:t>
      </w:r>
      <w:r w:rsidRPr="00075492">
        <w:t>o</w:t>
      </w:r>
      <w:r w:rsidRPr="00075492">
        <w:t xml:space="preserve">gram ska fastställas av tillsynsmyndigheten. Detta krav har kritiserats bl.a. för att det kan leda till otydlighet om företagens ansvar. </w:t>
      </w:r>
    </w:p>
    <w:p w:rsidR="00547E7E" w:rsidRPr="00075492" w:rsidRDefault="00547E7E">
      <w:pPr>
        <w:pStyle w:val="Normaltindrag"/>
      </w:pPr>
      <w:r w:rsidRPr="00075492">
        <w:t xml:space="preserve">I betänkandet Livsmedelstillsynen i Sverige utvärderades systemet med egenkontroll. I utredningen föreslogs att kravet på att tillsynsmyndigheterna ska fastställa företagens egenkontrollprogram skulle avskaffas. Revisorerna </w:t>
      </w:r>
      <w:r w:rsidRPr="00075492">
        <w:t>ansåg i rapporten att utredningens förslag bör geno</w:t>
      </w:r>
      <w:r w:rsidRPr="00075492">
        <w:t>m</w:t>
      </w:r>
      <w:r w:rsidRPr="00075492">
        <w:t xml:space="preserve">föras. </w:t>
      </w:r>
    </w:p>
    <w:p w:rsidR="00547E7E" w:rsidRPr="00075492" w:rsidRDefault="00547E7E">
      <w:pPr>
        <w:rPr>
          <w:i/>
        </w:rPr>
      </w:pPr>
      <w:r w:rsidRPr="00075492">
        <w:rPr>
          <w:i/>
        </w:rPr>
        <w:lastRenderedPageBreak/>
        <w:t>Remissinstanserna</w:t>
      </w:r>
    </w:p>
    <w:p w:rsidR="00547E7E" w:rsidRPr="00075492" w:rsidRDefault="00547E7E">
      <w:r w:rsidRPr="00075492">
        <w:t>Merparten av remissinstanserna tillstyrker förslaget att avskaffa kravet på att tillsynsmyndigheterna ska fastställa företagens egenkontrollprogram. Sver</w:t>
      </w:r>
      <w:r w:rsidRPr="00075492">
        <w:t>i</w:t>
      </w:r>
      <w:r w:rsidRPr="00075492">
        <w:t>ges hotell- och restaurangföretagare, SHR, pekar på att lagändringar har genomförts utan tillräckliga förberedelser. Beslutet om fastställande av ege</w:t>
      </w:r>
      <w:r w:rsidRPr="00075492">
        <w:t>n</w:t>
      </w:r>
      <w:r w:rsidRPr="00075492">
        <w:t xml:space="preserve">kontrollprogram är ett sådant exempel. Vissa remissinstanser föreslår att krav på utbildning för verksamhetsutövare och de personer som ska arbeta med livsmedel utreds eller införs. </w:t>
      </w:r>
    </w:p>
    <w:p w:rsidR="00547E7E" w:rsidRPr="00075492" w:rsidRDefault="00547E7E">
      <w:pPr>
        <w:jc w:val="left"/>
        <w:rPr>
          <w:i/>
        </w:rPr>
      </w:pPr>
      <w:r w:rsidRPr="00075492">
        <w:rPr>
          <w:i/>
        </w:rPr>
        <w:t>Revisorernas överväganden och förslag</w:t>
      </w:r>
    </w:p>
    <w:p w:rsidR="00547E7E" w:rsidRPr="00075492" w:rsidRDefault="00547E7E">
      <w:r w:rsidRPr="00075492">
        <w:t>Revisorerna delar remissinstansernas synpunkter att det skulle vara önskvärt att ställa krav på utbildning för verksamhetsutövare och de personer som ska arbeta med livsmedel. Frågan är dock komplicerad. Det behövs sannolikt olika typer av utbildning för olika branscher och verksamheter. Utbildnin</w:t>
      </w:r>
      <w:r w:rsidRPr="00075492">
        <w:t>g</w:t>
      </w:r>
      <w:r w:rsidRPr="00075492">
        <w:t>arna behöver genomföras kontinuerligt. Vilka krav som ska uppfyllas kan också variera över tiden. Dessutom beh</w:t>
      </w:r>
      <w:r w:rsidRPr="00075492">
        <w:t>ö</w:t>
      </w:r>
      <w:r w:rsidRPr="00075492">
        <w:t xml:space="preserve">ver frågan om finansiering lösas. </w:t>
      </w:r>
    </w:p>
    <w:p w:rsidR="00547E7E" w:rsidRPr="00075492" w:rsidRDefault="00547E7E">
      <w:pPr>
        <w:pStyle w:val="Normaltindrag"/>
      </w:pPr>
      <w:r w:rsidRPr="00075492">
        <w:t>En utgångspunkt måste också vara att det är företagens och branschorgan</w:t>
      </w:r>
      <w:r w:rsidRPr="00075492">
        <w:t>i</w:t>
      </w:r>
      <w:r w:rsidRPr="00075492">
        <w:t>sationernas ansvar att se till att de anställda har de kunskaper som livsm</w:t>
      </w:r>
      <w:r w:rsidRPr="00075492">
        <w:t>e</w:t>
      </w:r>
      <w:r w:rsidRPr="00075492">
        <w:t>delshanteringen kräver. Av revisorernas rapport framgår vilka branscher som i samarbete med Livsmedelsverket har tagit fram utbildningsprogram. Rev</w:t>
      </w:r>
      <w:r w:rsidRPr="00075492">
        <w:t>i</w:t>
      </w:r>
      <w:r w:rsidRPr="00075492">
        <w:t xml:space="preserve">sorerna bedömer att dessa insatser skulle kunna utvecklas ytterligare. </w:t>
      </w:r>
    </w:p>
    <w:p w:rsidR="00547E7E" w:rsidRPr="00075492" w:rsidRDefault="00547E7E">
      <w:pPr>
        <w:pStyle w:val="Normaltindrag"/>
      </w:pPr>
      <w:r w:rsidRPr="00075492">
        <w:t>Kravet på att tillsynsmyndigheterna ska fastställa företagens egenkontrol</w:t>
      </w:r>
      <w:r w:rsidRPr="00075492">
        <w:t>l</w:t>
      </w:r>
      <w:r w:rsidRPr="00075492">
        <w:t xml:space="preserve">program bör avskaffas. </w:t>
      </w:r>
    </w:p>
    <w:p w:rsidR="00547E7E" w:rsidRPr="00075492" w:rsidRDefault="00547E7E">
      <w:pPr>
        <w:pStyle w:val="Rubrik2"/>
      </w:pPr>
      <w:bookmarkStart w:id="29" w:name="_Toc4833266"/>
      <w:bookmarkStart w:id="30" w:name="_Toc6634505"/>
      <w:bookmarkStart w:id="31" w:name="_Toc6637087"/>
      <w:r w:rsidRPr="00075492">
        <w:t>Livsmedelsverkets styrning och uppföljning</w:t>
      </w:r>
      <w:bookmarkEnd w:id="29"/>
      <w:bookmarkEnd w:id="30"/>
      <w:bookmarkEnd w:id="31"/>
    </w:p>
    <w:p w:rsidR="00547E7E" w:rsidRPr="00075492" w:rsidRDefault="00547E7E">
      <w:pPr>
        <w:rPr>
          <w:i/>
        </w:rPr>
      </w:pPr>
      <w:r w:rsidRPr="00075492">
        <w:rPr>
          <w:i/>
        </w:rPr>
        <w:t>Rapporten</w:t>
      </w:r>
    </w:p>
    <w:p w:rsidR="00547E7E" w:rsidRPr="00075492" w:rsidRDefault="00547E7E">
      <w:r w:rsidRPr="00075492">
        <w:t xml:space="preserve">I rapporten konstaterades att Livsmedelsverkets styrning och uppföljning av den kommunala tillsynen kan förbättras inom verkets nuvarande mandat. </w:t>
      </w:r>
    </w:p>
    <w:p w:rsidR="00547E7E" w:rsidRPr="00075492" w:rsidRDefault="00547E7E">
      <w:pPr>
        <w:pStyle w:val="Normaltindrag"/>
      </w:pPr>
      <w:r w:rsidRPr="00075492">
        <w:t>Regeringen har lämnat långtgående befogenheter till verket att leda och samordna den kommunala tillsynen. Livsmedelsverket kan återta tillsynsa</w:t>
      </w:r>
      <w:r w:rsidRPr="00075492">
        <w:t>n</w:t>
      </w:r>
      <w:r w:rsidRPr="00075492">
        <w:t xml:space="preserve">svar för anläggningar som står under kommunal tillsyn. Verket har dock aldrig använt denna möjlighet vid konstaterade brister i den kommunala tillsynen. </w:t>
      </w:r>
    </w:p>
    <w:p w:rsidR="00547E7E" w:rsidRPr="00075492" w:rsidRDefault="00547E7E">
      <w:pPr>
        <w:pStyle w:val="Normaltindrag"/>
      </w:pPr>
      <w:r w:rsidRPr="00075492">
        <w:t>Tillsynsansvaret kan också överföras i motsatt riktning, från Livsmedel</w:t>
      </w:r>
      <w:r w:rsidRPr="00075492">
        <w:t>s</w:t>
      </w:r>
      <w:r w:rsidRPr="00075492">
        <w:t>verket till kommunerna. Det är relativt vanligt. Exempelvis har Livsmedel</w:t>
      </w:r>
      <w:r w:rsidRPr="00075492">
        <w:t>s</w:t>
      </w:r>
      <w:r w:rsidRPr="00075492">
        <w:t>verket överfört tillsynsansvaret för anläggningar till Stockholms kommun och Göt</w:t>
      </w:r>
      <w:r w:rsidRPr="00075492">
        <w:t>e</w:t>
      </w:r>
      <w:r w:rsidRPr="00075492">
        <w:t xml:space="preserve">borgs kommun. </w:t>
      </w:r>
    </w:p>
    <w:p w:rsidR="00547E7E" w:rsidRPr="00075492" w:rsidRDefault="00547E7E">
      <w:pPr>
        <w:pStyle w:val="Normaltindrag"/>
      </w:pPr>
      <w:r w:rsidRPr="00075492">
        <w:t xml:space="preserve">Livsmedelsverket har också rätt att utföra s.k. normerande inspektioner i kommunerna. Denna verksamhet har minskat betydligt de senaste åren, trots att regeringen har beviljat extra medel för bl.a. sådana inspektioner. </w:t>
      </w:r>
    </w:p>
    <w:p w:rsidR="00547E7E" w:rsidRPr="00075492" w:rsidRDefault="00547E7E">
      <w:pPr>
        <w:pStyle w:val="Normaltindrag"/>
      </w:pPr>
      <w:r w:rsidRPr="00075492">
        <w:t>Livsmedelsverkets inspektioner i kommunerna kan innebära att verket b</w:t>
      </w:r>
      <w:r w:rsidRPr="00075492">
        <w:t>e</w:t>
      </w:r>
      <w:r w:rsidRPr="00075492">
        <w:t>gär yttrande från den berörda kommunen med anledning av uppmärksamm</w:t>
      </w:r>
      <w:r w:rsidRPr="00075492">
        <w:t>a</w:t>
      </w:r>
      <w:r w:rsidRPr="00075492">
        <w:t>de brister. Tillgängliga uppgifter om hur ofta verket begär yttrande avser år 1999. Då begärde Livsmedelsverket yttrande endast från åtta ko</w:t>
      </w:r>
      <w:r w:rsidRPr="00075492">
        <w:t>m</w:t>
      </w:r>
      <w:r w:rsidRPr="00075492">
        <w:t>muner.</w:t>
      </w:r>
    </w:p>
    <w:p w:rsidR="00547E7E" w:rsidRPr="00075492" w:rsidRDefault="00547E7E">
      <w:pPr>
        <w:pStyle w:val="Normaltindrag"/>
      </w:pPr>
      <w:r w:rsidRPr="00075492">
        <w:lastRenderedPageBreak/>
        <w:t>I rapporten föreslog revisorerna att regeringen uppdrar åt Livsmedelsve</w:t>
      </w:r>
      <w:r w:rsidRPr="00075492">
        <w:t>r</w:t>
      </w:r>
      <w:r w:rsidRPr="00075492">
        <w:t>ket att upprätta en åtgärdsplan för att komma till rätta med de brister som verket har up</w:t>
      </w:r>
      <w:r w:rsidRPr="00075492">
        <w:t>p</w:t>
      </w:r>
      <w:r w:rsidRPr="00075492">
        <w:t xml:space="preserve">märksammat inom den kommunala tillsynsverksamheten. </w:t>
      </w:r>
    </w:p>
    <w:p w:rsidR="00547E7E" w:rsidRPr="00075492" w:rsidRDefault="00547E7E">
      <w:pPr>
        <w:rPr>
          <w:i/>
        </w:rPr>
      </w:pPr>
      <w:r w:rsidRPr="00075492">
        <w:rPr>
          <w:i/>
        </w:rPr>
        <w:t>Remissinstanserna</w:t>
      </w:r>
    </w:p>
    <w:p w:rsidR="00547E7E" w:rsidRPr="00075492" w:rsidRDefault="00547E7E">
      <w:r w:rsidRPr="00075492">
        <w:t>Remissinstanserna delar i stor utsträckning revisorernas uppfattning. U</w:t>
      </w:r>
      <w:r w:rsidRPr="00075492">
        <w:t>n</w:t>
      </w:r>
      <w:r w:rsidRPr="00075492">
        <w:t>dantagen är Livsmedelsverket, Livsmedelsföretagen (livsmedelsindustrin) och Länsstyre</w:t>
      </w:r>
      <w:r w:rsidRPr="00075492">
        <w:t>l</w:t>
      </w:r>
      <w:r w:rsidRPr="00075492">
        <w:t xml:space="preserve">sen i Norrbottens län. </w:t>
      </w:r>
    </w:p>
    <w:p w:rsidR="00547E7E" w:rsidRPr="00075492" w:rsidRDefault="00547E7E">
      <w:pPr>
        <w:pStyle w:val="Normaltindrag"/>
      </w:pPr>
      <w:r w:rsidRPr="00075492">
        <w:t>Ekonomistyrningsverket anser att det tydligt framgår av rapporten att Livsmedelsverket inte klarar sin styrningsuppgift. Verket anser att det mot</w:t>
      </w:r>
      <w:r w:rsidRPr="00075492">
        <w:t>i</w:t>
      </w:r>
      <w:r w:rsidRPr="00075492">
        <w:t>verar en närmare studie av Livsmedelsverkets interna organisation. Även kontakterna mellan Livsmedelsverket och kommunerna behöver studeras. Flertalet instanser, i synnerhet kommuner och Svenska Kommunförbundet men även Statskontoret och länsstyrelsen i Östergötlands län, betonar vikten av att Livsm</w:t>
      </w:r>
      <w:r w:rsidRPr="00075492">
        <w:t>e</w:t>
      </w:r>
      <w:r w:rsidRPr="00075492">
        <w:t>delsverket både stöder och styr den kommunala tillsynen.</w:t>
      </w:r>
    </w:p>
    <w:p w:rsidR="00547E7E" w:rsidRPr="00075492" w:rsidRDefault="00547E7E">
      <w:pPr>
        <w:pStyle w:val="Normaltindrag"/>
      </w:pPr>
      <w:r w:rsidRPr="00075492">
        <w:t>Livsmedelsverket ifrågasätter om verket kan styra en kommunal verksa</w:t>
      </w:r>
      <w:r w:rsidRPr="00075492">
        <w:t>m</w:t>
      </w:r>
      <w:r w:rsidRPr="00075492">
        <w:t>het. Styrning förutsätter sanktionsmöjligheter i de fall oacceptabla brister uppdagas. Verket anser att dess uppdrag snarare är att följa upp och stödja den lokala livsmedelstillsynen. Vidare redovisas att uppföljningen av ko</w:t>
      </w:r>
      <w:r w:rsidRPr="00075492">
        <w:t>m</w:t>
      </w:r>
      <w:r w:rsidRPr="00075492">
        <w:t>munerna ”nyligen har förfinats”. Antalet kommuninspektioner och norm</w:t>
      </w:r>
      <w:r w:rsidRPr="00075492">
        <w:t>e</w:t>
      </w:r>
      <w:r w:rsidRPr="00075492">
        <w:t>rande inspektioner har fördubblats år 2001 jämfört med året innan. Enligt verket begränsas inspektionerna i ko</w:t>
      </w:r>
      <w:r w:rsidRPr="00075492">
        <w:t>m</w:t>
      </w:r>
      <w:r w:rsidRPr="00075492">
        <w:t>munerna av tillgängliga resurser.</w:t>
      </w:r>
    </w:p>
    <w:p w:rsidR="00547E7E" w:rsidRPr="00075492" w:rsidRDefault="00547E7E">
      <w:pPr>
        <w:pStyle w:val="Normaltindrag"/>
      </w:pPr>
      <w:r w:rsidRPr="00075492">
        <w:t>Livsmedelsverket anser att det finns ett mycket stort behov av stöd til</w:t>
      </w:r>
      <w:r w:rsidRPr="00075492">
        <w:t>l kommunerna. Grundläggande brister, t.ex. att kommunerna saknar förutsät</w:t>
      </w:r>
      <w:r w:rsidRPr="00075492">
        <w:t>t</w:t>
      </w:r>
      <w:r w:rsidRPr="00075492">
        <w:t xml:space="preserve">ningar för att bedriva en bra tillsyn, kan dock inte avhjälpas med ökat stöd från verket. </w:t>
      </w:r>
    </w:p>
    <w:p w:rsidR="00547E7E" w:rsidRPr="00075492" w:rsidRDefault="00547E7E">
      <w:pPr>
        <w:pStyle w:val="Normaltindrag"/>
      </w:pPr>
      <w:r w:rsidRPr="00075492">
        <w:t>Livsmedelsföretagen ställer sig tveksamma till om Livsmedelsverkets b</w:t>
      </w:r>
      <w:r w:rsidRPr="00075492">
        <w:t>e</w:t>
      </w:r>
      <w:r w:rsidRPr="00075492">
        <w:t>fogenheter är tillräckligt långtgående för att uppnå en likvärdig tillsyn. För</w:t>
      </w:r>
      <w:r w:rsidRPr="00075492">
        <w:t>e</w:t>
      </w:r>
      <w:r w:rsidRPr="00075492">
        <w:t>tagen anser att om det inte finns någon tillsyn att samordna är uppdraget svårt. Livsmedelsföretagen kommenterar också frågan om varför Livsm</w:t>
      </w:r>
      <w:r w:rsidRPr="00075492">
        <w:t>e</w:t>
      </w:r>
      <w:r w:rsidRPr="00075492">
        <w:t>delsverket inte övertar tillsynen över kommunala tillsynsobjekt. ”Anledningen till att detta inte har skett trots konstaterade brister beror sa</w:t>
      </w:r>
      <w:r w:rsidRPr="00075492">
        <w:t>n</w:t>
      </w:r>
      <w:r w:rsidRPr="00075492">
        <w:t>nolikt på att det är en ganska kraftlös sanktion samt att det med nuvarande organisation oftast är praktiskt svårt för Livsmedelsverket att överta</w:t>
      </w:r>
      <w:r w:rsidRPr="00075492">
        <w:t xml:space="preserve"> kontro</w:t>
      </w:r>
      <w:r w:rsidRPr="00075492">
        <w:t>l</w:t>
      </w:r>
      <w:r w:rsidRPr="00075492">
        <w:t xml:space="preserve">len.” </w:t>
      </w:r>
    </w:p>
    <w:p w:rsidR="00547E7E" w:rsidRPr="00075492" w:rsidRDefault="00547E7E">
      <w:pPr>
        <w:pStyle w:val="Normaltindrag"/>
      </w:pPr>
      <w:r w:rsidRPr="00075492">
        <w:t>Livsmedelsföretagen anser dock att verket kan stödja kommunernas tillsyn genom inspektioner. Samtidigt framhålls: ”Med kännedom om Livsmedel</w:t>
      </w:r>
      <w:r w:rsidRPr="00075492">
        <w:t>s</w:t>
      </w:r>
      <w:r w:rsidRPr="00075492">
        <w:t>verkets bristande ekonomiska resurser kan omfattningen av detta arbete dock knappast få större omfattning än i dag om verket inte får ökade resu</w:t>
      </w:r>
      <w:r w:rsidRPr="00075492">
        <w:t>r</w:t>
      </w:r>
      <w:r w:rsidRPr="00075492">
        <w:t>ser.”</w:t>
      </w:r>
    </w:p>
    <w:p w:rsidR="00547E7E" w:rsidRPr="00075492" w:rsidRDefault="00547E7E">
      <w:pPr>
        <w:rPr>
          <w:i/>
        </w:rPr>
      </w:pPr>
      <w:r w:rsidRPr="00075492">
        <w:rPr>
          <w:i/>
        </w:rPr>
        <w:t>Revisorernas överväganden och förslag</w:t>
      </w:r>
    </w:p>
    <w:p w:rsidR="00547E7E" w:rsidRPr="00075492" w:rsidRDefault="00547E7E">
      <w:r w:rsidRPr="00075492">
        <w:t>Revisorerna understryker vikten av att Livsmedelsverkets styrning och up</w:t>
      </w:r>
      <w:r w:rsidRPr="00075492">
        <w:t>p</w:t>
      </w:r>
      <w:r w:rsidRPr="00075492">
        <w:t>följning av den kommunala tills</w:t>
      </w:r>
      <w:r w:rsidRPr="00075492">
        <w:t>y</w:t>
      </w:r>
      <w:r w:rsidRPr="00075492">
        <w:t>nen förbättras.</w:t>
      </w:r>
    </w:p>
    <w:p w:rsidR="00547E7E" w:rsidRPr="00075492" w:rsidRDefault="00547E7E">
      <w:pPr>
        <w:pStyle w:val="Normaltindrag"/>
      </w:pPr>
      <w:r w:rsidRPr="00075492">
        <w:t xml:space="preserve">Revisorerna anser att det är positivt att verkets normerande inspektioner och kommuninspektioner har fördubblats till 80 inspektioner mellan åren 2000 och 2001. Livsmedelsverket har dock inte redovisat hur många av dessa inspektioner som har resulterat i att verket har begärt yttrande från den berörda kommunen där brister har uppmärksammats. Om den kommunala </w:t>
      </w:r>
      <w:r w:rsidRPr="00075492">
        <w:lastRenderedPageBreak/>
        <w:t>tillsynen är så undermålig som bl.a. remissvaren från Livsmedelsverket och Livsmedelsföretagen gör gällande borde uppgiften redovisas.</w:t>
      </w:r>
    </w:p>
    <w:p w:rsidR="00547E7E" w:rsidRPr="00075492" w:rsidRDefault="00547E7E">
      <w:pPr>
        <w:pStyle w:val="Normaltindrag"/>
      </w:pPr>
      <w:r w:rsidRPr="00075492">
        <w:t>Livsmedelsföretagens missnöje med den kommunala tillsynen är inte sa</w:t>
      </w:r>
      <w:r w:rsidRPr="00075492">
        <w:t>m</w:t>
      </w:r>
      <w:r w:rsidRPr="00075492">
        <w:t>stämmigt med resultat från RRV:s utredning, (rapport 2001:33), som bl.a. omfattar en undersökning av företagens uppfattning om den kommunala tillsynen. Enligt RRV:s undersökning fungerar inspektionerna väl. 85 % av företagen var mycket positiva eller ganska positiva till att det egna företaget fick besök av livsmedelsinspektören.</w:t>
      </w:r>
    </w:p>
    <w:p w:rsidR="00547E7E" w:rsidRPr="00075492" w:rsidRDefault="00547E7E">
      <w:pPr>
        <w:pStyle w:val="Normaltindrag"/>
      </w:pPr>
      <w:r w:rsidRPr="00075492">
        <w:t>Enligt revisorernas uppfattning är Livsmedelsverkets möjlighet att återta tillsynsansvar för anläggningar ett kraftfullt medel för att påverka de ko</w:t>
      </w:r>
      <w:r w:rsidRPr="00075492">
        <w:t>m</w:t>
      </w:r>
      <w:r w:rsidRPr="00075492">
        <w:t>munala tillsynsmyndigheterna. Livsmedelsverket har dock inte prövat sty</w:t>
      </w:r>
      <w:r w:rsidRPr="00075492">
        <w:t>r</w:t>
      </w:r>
      <w:r w:rsidRPr="00075492">
        <w:t>kan i denna åtgärd, eftersom den aldrig har tillämpats vid konstaterade brister i den kommunala livsmedelstillsynen.</w:t>
      </w:r>
    </w:p>
    <w:p w:rsidR="00547E7E" w:rsidRPr="00075492" w:rsidRDefault="00547E7E">
      <w:pPr>
        <w:pStyle w:val="Normaltindrag"/>
      </w:pPr>
      <w:r w:rsidRPr="00075492">
        <w:t>Även rätten att inspektera anläggningar som står under kommunal tillsyn  torde vara en god möjlighet för verket att påverka de kommunala tillsyn</w:t>
      </w:r>
      <w:r w:rsidRPr="00075492">
        <w:t>s</w:t>
      </w:r>
      <w:r w:rsidRPr="00075492">
        <w:t>myndi</w:t>
      </w:r>
      <w:r w:rsidRPr="00075492">
        <w:t>g</w:t>
      </w:r>
      <w:r w:rsidRPr="00075492">
        <w:t>heterna.</w:t>
      </w:r>
    </w:p>
    <w:p w:rsidR="00547E7E" w:rsidRPr="00075492" w:rsidRDefault="00547E7E">
      <w:pPr>
        <w:pStyle w:val="Normaltindrag"/>
      </w:pPr>
      <w:r w:rsidRPr="00075492">
        <w:t>Livsmedelsverket ska enligt sin instruktion ”utöva tillsyn enligt livs</w:t>
      </w:r>
      <w:r w:rsidRPr="00075492">
        <w:softHyphen/>
        <w:t xml:space="preserve">medelslagen samt leda och samordna livsmedelstillsynen”. Uppgiften har inte förändrats i den förordning som regeringen utfärdade den 13 december 2001. Livsmedelsverket anser att verkets uppgift är att ”följa upp och stödja den kommunala tillsynen”.  </w:t>
      </w:r>
    </w:p>
    <w:p w:rsidR="00547E7E" w:rsidRPr="00075492" w:rsidRDefault="00547E7E">
      <w:pPr>
        <w:pStyle w:val="Normaltindrag"/>
      </w:pPr>
      <w:r w:rsidRPr="00075492">
        <w:t xml:space="preserve"> Ekonomistyrningsverket påpekar i sitt remissyttrande att det finns motiv för en närmare studie av Livsmedelsverkets interna organisation. I betänka</w:t>
      </w:r>
      <w:r w:rsidRPr="00075492">
        <w:t>n</w:t>
      </w:r>
      <w:r w:rsidRPr="00075492">
        <w:t>det Livsmedelstillsynen i Sverige (SOU 1998:61) föreslogs också en översyn av verkets organisation för att tydligt skilja de centrala myndighetsuppgifte</w:t>
      </w:r>
      <w:r w:rsidRPr="00075492">
        <w:t>r</w:t>
      </w:r>
      <w:r w:rsidRPr="00075492">
        <w:t xml:space="preserve">na från den operativa tillsynen. </w:t>
      </w:r>
    </w:p>
    <w:p w:rsidR="00547E7E" w:rsidRPr="00075492" w:rsidRDefault="00547E7E">
      <w:pPr>
        <w:pStyle w:val="Normaltindrag"/>
      </w:pPr>
      <w:r w:rsidRPr="00075492">
        <w:t>Livsmedelsverket genomförde år 2000 på eget initiativ en omorganisation. Syftet med omorganisationen var  bl.a. att skilja verkets regel- och förhan</w:t>
      </w:r>
      <w:r w:rsidRPr="00075492">
        <w:t>d</w:t>
      </w:r>
      <w:r w:rsidRPr="00075492">
        <w:t>lingsa</w:t>
      </w:r>
      <w:r w:rsidRPr="00075492">
        <w:t>r</w:t>
      </w:r>
      <w:r w:rsidRPr="00075492">
        <w:t xml:space="preserve">bete från tillsyn och annan myndighetsutövning. </w:t>
      </w:r>
    </w:p>
    <w:p w:rsidR="00547E7E" w:rsidRPr="00075492" w:rsidRDefault="00547E7E">
      <w:pPr>
        <w:pStyle w:val="Normaltindrag"/>
      </w:pPr>
      <w:r w:rsidRPr="00075492">
        <w:t>RRV har i sin rapport (2001:33) pekat på att Livsmedelsverket måste komma till rätta med sina interna problem. Omorganisationen år 2000 har enligt rapporten lett till att personal har slutat och att stödet till kommunerna har minskat. Enligt rapporten har dock verket börjat vidta åtgärder för att förbät</w:t>
      </w:r>
      <w:r w:rsidRPr="00075492">
        <w:t>t</w:t>
      </w:r>
      <w:r w:rsidRPr="00075492">
        <w:t xml:space="preserve">ra arbetssituationen inom verket. </w:t>
      </w:r>
    </w:p>
    <w:p w:rsidR="00547E7E" w:rsidRPr="00075492" w:rsidRDefault="00547E7E">
      <w:pPr>
        <w:pStyle w:val="Normaltindrag"/>
      </w:pPr>
      <w:r w:rsidRPr="00075492">
        <w:t>I revisionsberättelsen för Livsmedelsverket för räkenskapsåret 2001 invä</w:t>
      </w:r>
      <w:r w:rsidRPr="00075492">
        <w:t>n</w:t>
      </w:r>
      <w:r w:rsidRPr="00075492">
        <w:t>de RRV mot att Livsmedelsverket hade överskridit sin anslagskredit med  närmare två miljoner kronor. Föregående år beslutade regeringen om en indragning av verkets anslagssparande. Livsmedelsverket förlorade rätten att disponera anslagsmedel på 10 miljoner kronor. Verket hade inte begärt att få behålla dessa medel.</w:t>
      </w:r>
    </w:p>
    <w:p w:rsidR="00547E7E" w:rsidRPr="00075492" w:rsidRDefault="00547E7E">
      <w:pPr>
        <w:pStyle w:val="Normaltindrag"/>
      </w:pPr>
      <w:r w:rsidRPr="00075492">
        <w:t>Sammantaget finns det enligt revisorernas mening flera motiv till att r</w:t>
      </w:r>
      <w:r w:rsidRPr="00075492">
        <w:t>e</w:t>
      </w:r>
      <w:r w:rsidRPr="00075492">
        <w:t>geringen bör ta initiativ till en översyn av Livsmedelsverket uppgifter. Ve</w:t>
      </w:r>
      <w:r w:rsidRPr="00075492">
        <w:t>r</w:t>
      </w:r>
      <w:r w:rsidRPr="00075492">
        <w:t>kets samtliga uppgifter bör bli föremål för utomstående granskning. Detta omfattar bl.a. ledning och samordning av kommunernas livsmedelstillsyn och den operativa tillsynen som verket självt utför.  Översynen bör syfta till att tydliggöra och renodla verkets myndighetsup</w:t>
      </w:r>
      <w:r w:rsidRPr="00075492">
        <w:t>p</w:t>
      </w:r>
      <w:r w:rsidRPr="00075492">
        <w:t xml:space="preserve">gifter. </w:t>
      </w:r>
    </w:p>
    <w:p w:rsidR="00547E7E" w:rsidRPr="00075492" w:rsidRDefault="00547E7E">
      <w:pPr>
        <w:pStyle w:val="Rubrik2"/>
      </w:pPr>
      <w:bookmarkStart w:id="32" w:name="_Toc4833267"/>
      <w:bookmarkStart w:id="33" w:name="_Toc6634506"/>
      <w:bookmarkStart w:id="34" w:name="_Toc6637088"/>
      <w:r w:rsidRPr="00075492">
        <w:lastRenderedPageBreak/>
        <w:t>Länsstyrelsernas uppgifter</w:t>
      </w:r>
      <w:bookmarkEnd w:id="32"/>
      <w:bookmarkEnd w:id="33"/>
      <w:bookmarkEnd w:id="34"/>
    </w:p>
    <w:p w:rsidR="00547E7E" w:rsidRPr="00075492" w:rsidRDefault="00547E7E">
      <w:pPr>
        <w:rPr>
          <w:i/>
        </w:rPr>
      </w:pPr>
      <w:r w:rsidRPr="00075492">
        <w:rPr>
          <w:i/>
        </w:rPr>
        <w:t xml:space="preserve">Rapporten </w:t>
      </w:r>
    </w:p>
    <w:p w:rsidR="00547E7E" w:rsidRPr="00075492" w:rsidRDefault="00547E7E">
      <w:pPr>
        <w:ind w:right="84"/>
      </w:pPr>
      <w:r w:rsidRPr="00075492">
        <w:t>Revisorerna har vid en tidigare granskning uppmärksammat behovet av att länsstyrelsernas uppgifter preciseras. Utredningen om livsmedelstillsynen föreslog att länsstyrelsernas uppgifter enligt livsmedelslagen skulle utgå. Regeringen har inte fattat något beslut med anledning av förslaget som lä</w:t>
      </w:r>
      <w:r w:rsidRPr="00075492">
        <w:t>m</w:t>
      </w:r>
      <w:r w:rsidRPr="00075492">
        <w:t xml:space="preserve">nades 1998. </w:t>
      </w:r>
    </w:p>
    <w:p w:rsidR="00547E7E" w:rsidRPr="00075492" w:rsidRDefault="00547E7E">
      <w:pPr>
        <w:pStyle w:val="Normaltindrag"/>
      </w:pPr>
      <w:r w:rsidRPr="00075492">
        <w:t>Revisorerna ansåg i rapporten att länsstyrelsernas nuvarande roll inom livsmedelstillsynen bör ändras. Antingen bör länsstyrelsernas uppgifter pr</w:t>
      </w:r>
      <w:r w:rsidRPr="00075492">
        <w:t>e</w:t>
      </w:r>
      <w:r w:rsidRPr="00075492">
        <w:t>ciseras eller så bör uppgifterna utgå. Om regering och riksdag väljer att pr</w:t>
      </w:r>
      <w:r w:rsidRPr="00075492">
        <w:t>e</w:t>
      </w:r>
      <w:r w:rsidRPr="00075492">
        <w:t>cisera länsstyrelsernas uppgifter måste resurser för verksamheten säkerstä</w:t>
      </w:r>
      <w:r w:rsidRPr="00075492">
        <w:t>l</w:t>
      </w:r>
      <w:r w:rsidRPr="00075492">
        <w:t>las. Det kan inte vara möjligt att med nuvarande resursinsats, dvs. totalt  6 årsarbetskrafter spridda över hela landet, vilket motsvarar ca 0,2 årsarbet</w:t>
      </w:r>
      <w:r w:rsidRPr="00075492">
        <w:t>s</w:t>
      </w:r>
      <w:r w:rsidRPr="00075492">
        <w:t>krafter per län, åstadkomma några resultat inom ett område som är så omfa</w:t>
      </w:r>
      <w:r w:rsidRPr="00075492">
        <w:t>t</w:t>
      </w:r>
      <w:r w:rsidRPr="00075492">
        <w:t>tande som livsmedelstillsynen och som dessutom karakteriseras av ett så komplicerat rege</w:t>
      </w:r>
      <w:r w:rsidRPr="00075492">
        <w:t>l</w:t>
      </w:r>
      <w:r w:rsidRPr="00075492">
        <w:t xml:space="preserve">verk. </w:t>
      </w:r>
    </w:p>
    <w:p w:rsidR="00547E7E" w:rsidRPr="00075492" w:rsidRDefault="00547E7E">
      <w:pPr>
        <w:pStyle w:val="Normaltindrag"/>
        <w:ind w:right="84"/>
      </w:pPr>
      <w:r w:rsidRPr="00075492">
        <w:t>Revisorernas rapport visar att Livs</w:t>
      </w:r>
      <w:r w:rsidRPr="00075492">
        <w:t>medelsverket inte i någon större u</w:t>
      </w:r>
      <w:r w:rsidRPr="00075492">
        <w:t>t</w:t>
      </w:r>
      <w:r w:rsidRPr="00075492">
        <w:t>sträckning har använt länsstyrelsernas kompetens inom livsmedelstills</w:t>
      </w:r>
      <w:r w:rsidRPr="00075492">
        <w:t>y</w:t>
      </w:r>
      <w:r w:rsidRPr="00075492">
        <w:t>nen.</w:t>
      </w:r>
    </w:p>
    <w:p w:rsidR="00547E7E" w:rsidRPr="00075492" w:rsidRDefault="00547E7E">
      <w:pPr>
        <w:rPr>
          <w:i/>
        </w:rPr>
      </w:pPr>
      <w:r w:rsidRPr="00075492">
        <w:rPr>
          <w:i/>
        </w:rPr>
        <w:t>Remissinstanserna</w:t>
      </w:r>
    </w:p>
    <w:p w:rsidR="00547E7E" w:rsidRPr="00075492" w:rsidRDefault="00547E7E">
      <w:r w:rsidRPr="00075492">
        <w:t>Remissinstanserna instämmer i uppfattningen att länsstyrelsernas uppgifter behöver ändras. En förstärkning av länsstyrelserna förordas av länsstyrelse</w:t>
      </w:r>
      <w:r w:rsidRPr="00075492">
        <w:t>r</w:t>
      </w:r>
      <w:r w:rsidRPr="00075492">
        <w:t>na i Östergötlands län, Dalarnas län, Gävleborgs län, Norrbottens län, Milj</w:t>
      </w:r>
      <w:r w:rsidRPr="00075492">
        <w:t>ö</w:t>
      </w:r>
      <w:r w:rsidRPr="00075492">
        <w:t>nämnden i Borlänge och Svenska Kommunförbundet. Ett par remissinsta</w:t>
      </w:r>
      <w:r w:rsidRPr="00075492">
        <w:t>n</w:t>
      </w:r>
      <w:r w:rsidRPr="00075492">
        <w:t xml:space="preserve">ser, Ekonomistyrningsverket och Miljönämnden i Helsingborgs stad, anser att länsstyrelsernas uppgifter behöver utredas ytterligare. Miljönämnderna i Göteborgs kommun och Malmö stad anser att länsstyrelsernas uppgifter bör utgå. </w:t>
      </w:r>
    </w:p>
    <w:p w:rsidR="00547E7E" w:rsidRPr="00075492" w:rsidRDefault="00547E7E">
      <w:pPr>
        <w:rPr>
          <w:i/>
        </w:rPr>
      </w:pPr>
      <w:r w:rsidRPr="00075492">
        <w:rPr>
          <w:i/>
        </w:rPr>
        <w:t>Revisorernas överväganden och förslag</w:t>
      </w:r>
    </w:p>
    <w:p w:rsidR="00547E7E" w:rsidRPr="00075492" w:rsidRDefault="00547E7E">
      <w:r w:rsidRPr="00075492">
        <w:t xml:space="preserve">Revisorerna gör efter ytterligare överväganden bedömningen att det skulle behövas en avsevärd resursförstärkning vid respektive länsstyrelse för att skapa förutsättningar för att länsstyrelserna ska kunna stödja och samordna kommunernas livsmedelstillsyn. Det är en fördel att statens resurser inom livsmedelstillsynen koncentreras till en myndighet. Mot denna bakgrund föreslår revisorerna att länsstyrelsernas uppgifter enligt livsmedelslagen bör utgå. </w:t>
      </w:r>
    </w:p>
    <w:p w:rsidR="00547E7E" w:rsidRPr="00075492" w:rsidRDefault="00547E7E">
      <w:pPr>
        <w:pStyle w:val="Rubrik2"/>
      </w:pPr>
      <w:bookmarkStart w:id="35" w:name="_Toc6634507"/>
      <w:bookmarkStart w:id="36" w:name="_Toc6637089"/>
      <w:r w:rsidRPr="00075492">
        <w:t>Kommunernas resurser</w:t>
      </w:r>
      <w:bookmarkEnd w:id="35"/>
      <w:bookmarkEnd w:id="36"/>
    </w:p>
    <w:p w:rsidR="00547E7E" w:rsidRPr="00075492" w:rsidRDefault="00547E7E">
      <w:pPr>
        <w:rPr>
          <w:i/>
        </w:rPr>
      </w:pPr>
      <w:r w:rsidRPr="00075492">
        <w:rPr>
          <w:i/>
        </w:rPr>
        <w:t>Rapporten</w:t>
      </w:r>
    </w:p>
    <w:p w:rsidR="00547E7E" w:rsidRPr="00075492" w:rsidRDefault="00547E7E">
      <w:r w:rsidRPr="00075492">
        <w:t>I rapporten konstaterades att det inte finns några tillgängliga uppgifter som visar att kommunerna har minskat resurserna för livsmedelstillsynen.</w:t>
      </w:r>
    </w:p>
    <w:p w:rsidR="00547E7E" w:rsidRPr="00075492" w:rsidRDefault="00547E7E">
      <w:pPr>
        <w:pStyle w:val="Normaltindrag"/>
        <w:ind w:right="84"/>
      </w:pPr>
      <w:r w:rsidRPr="00075492">
        <w:t>Kommunernas tillsynsfrekvens för samtliga företag har totalt sett min</w:t>
      </w:r>
      <w:r w:rsidRPr="00075492">
        <w:t>s</w:t>
      </w:r>
      <w:r w:rsidRPr="00075492">
        <w:t>kat. Tillsynsfrekvensen vid olika typer av företag varierar. Tillsynsfrekve</w:t>
      </w:r>
      <w:r w:rsidRPr="00075492">
        <w:t>n</w:t>
      </w:r>
      <w:r w:rsidRPr="00075492">
        <w:t>sen har minskat för storhushåll, butiker och vattenverk. Tillsynen över in</w:t>
      </w:r>
      <w:r w:rsidRPr="00075492">
        <w:lastRenderedPageBreak/>
        <w:t>d</w:t>
      </w:r>
      <w:r w:rsidRPr="00075492">
        <w:t>u</w:t>
      </w:r>
      <w:r w:rsidRPr="00075492">
        <w:t>strianläggningar har ökat. Livsmedelsverket har inte närmare analyserat orsakerna till dessa förhå</w:t>
      </w:r>
      <w:r w:rsidRPr="00075492">
        <w:t>l</w:t>
      </w:r>
      <w:r w:rsidRPr="00075492">
        <w:t>landen. En sådan analys skulle behövas.</w:t>
      </w:r>
    </w:p>
    <w:p w:rsidR="00547E7E" w:rsidRPr="00075492" w:rsidRDefault="00547E7E">
      <w:pPr>
        <w:pStyle w:val="Normaltindrag"/>
        <w:ind w:right="84"/>
      </w:pPr>
      <w:r w:rsidRPr="00075492">
        <w:t xml:space="preserve">En tolkning som ligger nära till hands är, enligt revisorernas mening, att kommunernas tillsynsaktiviteter ökar där det finns möjlighet att finansiera inspektionsverksamheten. De största möjligheterna för kommunerna att </w:t>
      </w:r>
      <w:r w:rsidRPr="00075492">
        <w:t>ta ut avgifter finns näml</w:t>
      </w:r>
      <w:r w:rsidRPr="00075492">
        <w:t>i</w:t>
      </w:r>
      <w:r w:rsidRPr="00075492">
        <w:t xml:space="preserve">gen för industrianläggningar. </w:t>
      </w:r>
    </w:p>
    <w:p w:rsidR="00547E7E" w:rsidRPr="00075492" w:rsidRDefault="00547E7E">
      <w:pPr>
        <w:pStyle w:val="Normaltindrag"/>
        <w:ind w:right="84"/>
      </w:pPr>
      <w:r w:rsidRPr="00075492">
        <w:t>I betänkandet Livsmedelstillsynen i Sverige (1998:61) föreslogs dels att livsmedelslagen skulle ändras för att underlätta för kommunerna att sa</w:t>
      </w:r>
      <w:r w:rsidRPr="00075492">
        <w:t>m</w:t>
      </w:r>
      <w:r w:rsidRPr="00075492">
        <w:t>verka med varandra, dels att regeringen skulle kunna besluta om att til</w:t>
      </w:r>
      <w:r w:rsidRPr="00075492">
        <w:t>l</w:t>
      </w:r>
      <w:r w:rsidRPr="00075492">
        <w:t>synsansvaret för en hel kommun skulle kunna överföras till Livsmedelsve</w:t>
      </w:r>
      <w:r w:rsidRPr="00075492">
        <w:t>r</w:t>
      </w:r>
      <w:r w:rsidRPr="00075492">
        <w:t>ket.  Regeringen har inte behandlat frågan. Revisorerna ansåg i rapporten att utrednin</w:t>
      </w:r>
      <w:r w:rsidRPr="00075492">
        <w:t>g</w:t>
      </w:r>
      <w:r w:rsidRPr="00075492">
        <w:t xml:space="preserve">ens förslag bör genomföras. </w:t>
      </w:r>
    </w:p>
    <w:p w:rsidR="00547E7E" w:rsidRPr="00075492" w:rsidRDefault="00547E7E">
      <w:pPr>
        <w:rPr>
          <w:i/>
        </w:rPr>
      </w:pPr>
      <w:r w:rsidRPr="00075492">
        <w:rPr>
          <w:i/>
        </w:rPr>
        <w:t>Remissinstanserna</w:t>
      </w:r>
    </w:p>
    <w:p w:rsidR="00547E7E" w:rsidRPr="00075492" w:rsidRDefault="00547E7E">
      <w:r w:rsidRPr="00075492">
        <w:t>Merparten av remissinstanserna tillstyrker förslaget om en förändring av livsmedelslagen för att underlätta för kommunerna att samverka med va</w:t>
      </w:r>
      <w:r w:rsidRPr="00075492">
        <w:t>r</w:t>
      </w:r>
      <w:r w:rsidRPr="00075492">
        <w:t xml:space="preserve">andra vad gäller livsmedelstillsynen. </w:t>
      </w:r>
    </w:p>
    <w:p w:rsidR="00547E7E" w:rsidRPr="00075492" w:rsidRDefault="00547E7E">
      <w:pPr>
        <w:pStyle w:val="Normaltindrag"/>
      </w:pPr>
      <w:r w:rsidRPr="00075492">
        <w:t>Svensk Dagligvaruhandel</w:t>
      </w:r>
      <w:r w:rsidRPr="00075492">
        <w:rPr>
          <w:i/>
        </w:rPr>
        <w:t xml:space="preserve"> </w:t>
      </w:r>
      <w:r w:rsidRPr="00075492">
        <w:t>föreslår i stället att Livsmedelsverket bör ansv</w:t>
      </w:r>
      <w:r w:rsidRPr="00075492">
        <w:t>a</w:t>
      </w:r>
      <w:r w:rsidRPr="00075492">
        <w:t>ra för att en adekvat tillsynsverksamhet organiseras i resursfattiga komm</w:t>
      </w:r>
      <w:r w:rsidRPr="00075492">
        <w:t>u</w:t>
      </w:r>
      <w:r w:rsidRPr="00075492">
        <w:t xml:space="preserve">ner. Länsstyrelsen i Östergötlands län föreslår att länsstyrelsen ska kunna ta över tillsynsansvar i kommunerna genom att anställa personal som verkar i flera kommuner. </w:t>
      </w:r>
    </w:p>
    <w:p w:rsidR="00547E7E" w:rsidRPr="00075492" w:rsidRDefault="00547E7E">
      <w:r w:rsidRPr="00075492">
        <w:t>Vad gäller förslaget om att regeringen ska kunna besluta om att tillsynsa</w:t>
      </w:r>
      <w:r w:rsidRPr="00075492">
        <w:t>n</w:t>
      </w:r>
      <w:r w:rsidRPr="00075492">
        <w:t>svaret för en hel kommun ska överföras till Livsmedelsverket är de remissi</w:t>
      </w:r>
      <w:r w:rsidRPr="00075492">
        <w:t>n</w:t>
      </w:r>
      <w:r w:rsidRPr="00075492">
        <w:t>stanser som har yttrat sig i frågan negativa.</w:t>
      </w:r>
      <w:r w:rsidRPr="00075492">
        <w:rPr>
          <w:i/>
        </w:rPr>
        <w:t xml:space="preserve"> </w:t>
      </w:r>
      <w:r w:rsidRPr="00075492">
        <w:t>Statskontoret, Livsmedelsverket, Miljönämnden i Borlänge kommun och Svenska Kommunförbundet avsty</w:t>
      </w:r>
      <w:r w:rsidRPr="00075492">
        <w:t>r</w:t>
      </w:r>
      <w:r w:rsidRPr="00075492">
        <w:t xml:space="preserve">ker förslaget. </w:t>
      </w:r>
    </w:p>
    <w:p w:rsidR="00547E7E" w:rsidRPr="00075492" w:rsidRDefault="00547E7E">
      <w:pPr>
        <w:pStyle w:val="Normaltindrag"/>
      </w:pPr>
      <w:r w:rsidRPr="00075492">
        <w:t>Livsmedelsverket anser exempelvis att det vore bättre att tydliggöra ko</w:t>
      </w:r>
      <w:r w:rsidRPr="00075492">
        <w:t>m</w:t>
      </w:r>
      <w:r w:rsidRPr="00075492">
        <w:t>munernas åligganden och ge staten möjlighet att komma till rätta med ko</w:t>
      </w:r>
      <w:r w:rsidRPr="00075492">
        <w:t>m</w:t>
      </w:r>
      <w:r w:rsidRPr="00075492">
        <w:t>muner som inte fullföljer sitt uppdrag.</w:t>
      </w:r>
    </w:p>
    <w:p w:rsidR="00547E7E" w:rsidRPr="00075492" w:rsidRDefault="00547E7E">
      <w:pPr>
        <w:rPr>
          <w:i/>
        </w:rPr>
      </w:pPr>
      <w:r w:rsidRPr="00075492">
        <w:rPr>
          <w:i/>
        </w:rPr>
        <w:t>Revisorernas överväganden och förslag</w:t>
      </w:r>
    </w:p>
    <w:p w:rsidR="00547E7E" w:rsidRPr="00075492" w:rsidRDefault="00547E7E">
      <w:r w:rsidRPr="00075492">
        <w:t>Revisorerna har tagit del av Livsmedelsverkets rapport 2 – 2002, Rapport</w:t>
      </w:r>
      <w:r w:rsidRPr="00075492">
        <w:t>e</w:t>
      </w:r>
      <w:r w:rsidRPr="00075492">
        <w:t>ring av livsmedelstillsynen 2000 – Kommunernas rapportering om livsm</w:t>
      </w:r>
      <w:r w:rsidRPr="00075492">
        <w:t>e</w:t>
      </w:r>
      <w:r w:rsidRPr="00075492">
        <w:t>delstillsynen. Av rapporten framgår bl.a. att tillsynen fortfarande varierar mellan olika företag. Tillsynsfrekvensen för industriföretag har dock minskat jämfört med år 1999. Fortfarande saknas en närmare analys av orsakerna till detta förhållande.</w:t>
      </w:r>
    </w:p>
    <w:p w:rsidR="00547E7E" w:rsidRPr="00075492" w:rsidRDefault="00547E7E">
      <w:pPr>
        <w:pStyle w:val="Normaltindrag"/>
      </w:pPr>
      <w:r w:rsidRPr="00075492">
        <w:t>Revisorerna delar de synpunkter som har framförts av utredningen Liv</w:t>
      </w:r>
      <w:r w:rsidRPr="00075492">
        <w:t>s</w:t>
      </w:r>
      <w:r w:rsidRPr="00075492">
        <w:t xml:space="preserve">medelstillsynen i Sverige och flertalet remissinstanser, nämligen att det är angeläget att livsmedelslagen ändras för att underlätta för kommunerna att samverka med varandra. </w:t>
      </w:r>
    </w:p>
    <w:p w:rsidR="00547E7E" w:rsidRPr="00075492" w:rsidRDefault="00547E7E">
      <w:pPr>
        <w:pStyle w:val="Normaltindrag"/>
      </w:pPr>
      <w:r w:rsidRPr="00075492">
        <w:t>Revisorerna förordar även ett genomförande av förslaget att regeringen ska besluta om att tillsynsansvaret för en hel kommun överförs till Livsmedel</w:t>
      </w:r>
      <w:r w:rsidRPr="00075492">
        <w:t>s</w:t>
      </w:r>
      <w:r w:rsidRPr="00075492">
        <w:t xml:space="preserve">verket. </w:t>
      </w:r>
    </w:p>
    <w:p w:rsidR="00547E7E" w:rsidRPr="00075492" w:rsidRDefault="00547E7E">
      <w:pPr>
        <w:pStyle w:val="Normaltindrag"/>
      </w:pPr>
      <w:r w:rsidRPr="00075492">
        <w:t>Det finns redan möjlighet för Livsmedelsverket att återta tillsyn för a</w:t>
      </w:r>
      <w:r w:rsidRPr="00075492">
        <w:t>n</w:t>
      </w:r>
      <w:r w:rsidRPr="00075492">
        <w:t xml:space="preserve">läggningar som står under kommunal tillsyn. Principiellt skulle det vara </w:t>
      </w:r>
      <w:r w:rsidRPr="00075492">
        <w:lastRenderedPageBreak/>
        <w:t>möjligt för verket att överta tillsynen för alla anläggningar i en kommun. Det är dock lämpligt att regeringen beslutar om en sådan åtgärd i enlighet med de utgångspunkter som redovisades i betänkandet Livsmedelstillsynen i Sverige (SOU 1998:61).</w:t>
      </w:r>
    </w:p>
    <w:p w:rsidR="00547E7E" w:rsidRPr="00075492" w:rsidRDefault="00547E7E">
      <w:pPr>
        <w:pStyle w:val="Rubrik2"/>
      </w:pPr>
      <w:bookmarkStart w:id="37" w:name="_Toc4833269"/>
      <w:bookmarkStart w:id="38" w:name="_Toc6634508"/>
      <w:bookmarkStart w:id="39" w:name="_Toc6637090"/>
      <w:r w:rsidRPr="00075492">
        <w:t>Rapporteringen behöver förbättras</w:t>
      </w:r>
      <w:bookmarkEnd w:id="37"/>
      <w:bookmarkEnd w:id="38"/>
      <w:bookmarkEnd w:id="39"/>
    </w:p>
    <w:p w:rsidR="00547E7E" w:rsidRPr="00075492" w:rsidRDefault="00547E7E">
      <w:pPr>
        <w:rPr>
          <w:i/>
        </w:rPr>
      </w:pPr>
      <w:r w:rsidRPr="00075492">
        <w:rPr>
          <w:i/>
        </w:rPr>
        <w:t>Rapporten</w:t>
      </w:r>
    </w:p>
    <w:p w:rsidR="00547E7E" w:rsidRPr="00075492" w:rsidRDefault="00547E7E">
      <w:r w:rsidRPr="00075492">
        <w:t>Kommunerna rapporterar årligen om livsmedelstillsynen till Livsmedelsve</w:t>
      </w:r>
      <w:r w:rsidRPr="00075492">
        <w:t>r</w:t>
      </w:r>
      <w:r w:rsidRPr="00075492">
        <w:t>ket, som sammanställer och publicerar uppgifterna. Regeringen tar del av denna rapportering.</w:t>
      </w:r>
    </w:p>
    <w:p w:rsidR="00547E7E" w:rsidRPr="00075492" w:rsidRDefault="00547E7E">
      <w:pPr>
        <w:pStyle w:val="Normaltindrag"/>
      </w:pPr>
      <w:r w:rsidRPr="00075492">
        <w:t>Livsmedelsverket och länsstyrelserna lämnar i sina årsredovisningar en r</w:t>
      </w:r>
      <w:r w:rsidRPr="00075492">
        <w:t>e</w:t>
      </w:r>
      <w:r w:rsidRPr="00075492">
        <w:t>dogörelse för kommunernas tillsyn. Livsmedelsverket har under flera år rapporterat till regeringen att livsmedelstillsynen i kommunerna har minskat i omfattning. Regeringen har tillsatt flera utredningar men i övrigt inte vidtagit några åtgärder med anledning av de redovisningar och förslag som har lä</w:t>
      </w:r>
      <w:r w:rsidRPr="00075492">
        <w:t>m</w:t>
      </w:r>
      <w:r w:rsidRPr="00075492">
        <w:t xml:space="preserve">nats. </w:t>
      </w:r>
    </w:p>
    <w:p w:rsidR="00547E7E" w:rsidRPr="00075492" w:rsidRDefault="00547E7E">
      <w:pPr>
        <w:pStyle w:val="Normaltindrag"/>
      </w:pPr>
      <w:r w:rsidRPr="00075492">
        <w:t xml:space="preserve">Riksdagen får begränsad information om livsmedelstillsynen i Sverige. </w:t>
      </w:r>
    </w:p>
    <w:p w:rsidR="00547E7E" w:rsidRPr="00075492" w:rsidRDefault="00547E7E">
      <w:pPr>
        <w:pStyle w:val="Normaltindrag"/>
      </w:pPr>
      <w:r w:rsidRPr="00075492">
        <w:t>Det finns brister i kommunernas rapportering om livsmedelstillsynen. Uppgifterna behöver ofta kompletteras. Många kommuner rapporterar inte i tid. Livsmedelsverkets sammanställning kommer för sent för att ge en aktuell bild av livsmedelstillsynen i landet.</w:t>
      </w:r>
    </w:p>
    <w:p w:rsidR="00547E7E" w:rsidRPr="00075492" w:rsidRDefault="00547E7E">
      <w:r w:rsidRPr="00075492">
        <w:t xml:space="preserve">Mot denna bakgrund föreslog revisorerna följande: </w:t>
      </w:r>
    </w:p>
    <w:p w:rsidR="00547E7E" w:rsidRPr="00075492" w:rsidRDefault="00547E7E">
      <w:pPr>
        <w:numPr>
          <w:ilvl w:val="0"/>
          <w:numId w:val="11"/>
        </w:numPr>
      </w:pPr>
      <w:r w:rsidRPr="00075492">
        <w:t>att regeringen utreder vilka sanktionsmöjligheter som är lämpliga när kommunerna inte uppfyller rapporteringskraven. En sådan sanktion</w:t>
      </w:r>
      <w:r w:rsidRPr="00075492">
        <w:t>s</w:t>
      </w:r>
      <w:r w:rsidRPr="00075492">
        <w:t>möjlighet kan vara att vite utgår vid utebliven rapport</w:t>
      </w:r>
      <w:r w:rsidRPr="00075492">
        <w:t>e</w:t>
      </w:r>
      <w:r w:rsidRPr="00075492">
        <w:t>ring</w:t>
      </w:r>
    </w:p>
    <w:p w:rsidR="00547E7E" w:rsidRPr="00075492" w:rsidRDefault="00547E7E">
      <w:pPr>
        <w:numPr>
          <w:ilvl w:val="0"/>
          <w:numId w:val="11"/>
        </w:numPr>
      </w:pPr>
      <w:r w:rsidRPr="00075492">
        <w:t>att regeringen uppdrar åt Livsmedelsverket att vidta åtgärder för att förbättra kvaliteten i kommunernas uppgifter och vid behov göra fördj</w:t>
      </w:r>
      <w:r w:rsidRPr="00075492">
        <w:t>u</w:t>
      </w:r>
      <w:r w:rsidRPr="00075492">
        <w:t>pade analyser av resultaten</w:t>
      </w:r>
    </w:p>
    <w:p w:rsidR="00547E7E" w:rsidRPr="00075492" w:rsidRDefault="00547E7E">
      <w:pPr>
        <w:numPr>
          <w:ilvl w:val="0"/>
          <w:numId w:val="11"/>
        </w:numPr>
      </w:pPr>
      <w:r w:rsidRPr="00075492">
        <w:t>att regeringen lämnar information till riksdagen om resultatet av den offen</w:t>
      </w:r>
      <w:r w:rsidRPr="00075492">
        <w:t>t</w:t>
      </w:r>
      <w:r w:rsidRPr="00075492">
        <w:t>liga tillsynen.</w:t>
      </w:r>
    </w:p>
    <w:p w:rsidR="00547E7E" w:rsidRPr="00075492" w:rsidRDefault="00547E7E">
      <w:pPr>
        <w:pStyle w:val="Normaltindrag"/>
      </w:pPr>
    </w:p>
    <w:p w:rsidR="00547E7E" w:rsidRPr="00075492" w:rsidRDefault="00547E7E">
      <w:pPr>
        <w:rPr>
          <w:i/>
        </w:rPr>
      </w:pPr>
      <w:r w:rsidRPr="00075492">
        <w:rPr>
          <w:i/>
        </w:rPr>
        <w:t xml:space="preserve">Remissinstanserna </w:t>
      </w:r>
    </w:p>
    <w:p w:rsidR="00547E7E" w:rsidRPr="00075492" w:rsidRDefault="00547E7E">
      <w:r w:rsidRPr="00075492">
        <w:t xml:space="preserve">Med undantag av Livsmedelsverket är de remissinstanser som har uttalat sig om rapporteringen positiva till förslagen. </w:t>
      </w:r>
    </w:p>
    <w:p w:rsidR="00547E7E" w:rsidRPr="00075492" w:rsidRDefault="00547E7E">
      <w:pPr>
        <w:pStyle w:val="Normaltindrag"/>
        <w:rPr>
          <w:i/>
        </w:rPr>
      </w:pPr>
      <w:r w:rsidRPr="00075492">
        <w:t>Livsmedelsverket</w:t>
      </w:r>
      <w:r w:rsidRPr="00075492">
        <w:rPr>
          <w:i/>
        </w:rPr>
        <w:t xml:space="preserve"> </w:t>
      </w:r>
      <w:r w:rsidRPr="00075492">
        <w:t>noterar med förvåning revisorernas förslag om att frågan om sanktionsmöjligheter mot kommuner som inte uppfyller rapportering</w:t>
      </w:r>
      <w:r w:rsidRPr="00075492">
        <w:t>s</w:t>
      </w:r>
      <w:r w:rsidRPr="00075492">
        <w:t>kravet ska utredas. Verket hänvisar till att detta är en extraordinär åtgärd med hänsyn till den kommunala självstyrelsen. Livsmedelsverket anser att det är mer angeläget att komma till rätta med problem som föranleds av att ko</w:t>
      </w:r>
      <w:r w:rsidRPr="00075492">
        <w:t>m</w:t>
      </w:r>
      <w:r w:rsidRPr="00075492">
        <w:t>muner bedriver livsmedelstillsyn på en oacceptabelt låg nivå. Verkets nya rapporteringssystem kommer enligt verket att skapa möjligheter till fördj</w:t>
      </w:r>
      <w:r w:rsidRPr="00075492">
        <w:t>u</w:t>
      </w:r>
      <w:r w:rsidRPr="00075492">
        <w:t>pade anal</w:t>
      </w:r>
      <w:r w:rsidRPr="00075492">
        <w:t>yser av resultat av den ko</w:t>
      </w:r>
      <w:r w:rsidRPr="00075492">
        <w:t>m</w:t>
      </w:r>
      <w:r w:rsidRPr="00075492">
        <w:t>munala tillsynen.</w:t>
      </w:r>
      <w:r w:rsidRPr="00075492">
        <w:rPr>
          <w:i/>
        </w:rPr>
        <w:t xml:space="preserve"> </w:t>
      </w:r>
    </w:p>
    <w:p w:rsidR="00547E7E" w:rsidRPr="00075492" w:rsidRDefault="00547E7E">
      <w:pPr>
        <w:jc w:val="left"/>
        <w:rPr>
          <w:i/>
        </w:rPr>
      </w:pPr>
      <w:r w:rsidRPr="00075492">
        <w:rPr>
          <w:i/>
        </w:rPr>
        <w:lastRenderedPageBreak/>
        <w:br/>
        <w:t>Revisorernas överväganden och förslag</w:t>
      </w:r>
    </w:p>
    <w:p w:rsidR="00547E7E" w:rsidRPr="00075492" w:rsidRDefault="00547E7E">
      <w:r w:rsidRPr="00075492">
        <w:t>Revisorerna konstaterar att Skolverket har möjlighet att förelägga kommuner vite om huvudmännen inte lämnar efterfrågade uppgifter enligt förordningen om viss uppgiftsskyldighet för huvudmännen (1992:1083). Därmed saknas grund för påståendet att förslaget är en extraordinär åtgärd med hänsyn till den kommunala självstyre</w:t>
      </w:r>
      <w:r w:rsidRPr="00075492">
        <w:t>l</w:t>
      </w:r>
      <w:r w:rsidRPr="00075492">
        <w:t xml:space="preserve">sen. </w:t>
      </w:r>
    </w:p>
    <w:p w:rsidR="00547E7E" w:rsidRPr="00075492" w:rsidRDefault="00547E7E">
      <w:r w:rsidRPr="00075492">
        <w:t xml:space="preserve">Revisorerna föreslår följande: </w:t>
      </w:r>
    </w:p>
    <w:p w:rsidR="00547E7E" w:rsidRPr="00075492" w:rsidRDefault="00547E7E">
      <w:pPr>
        <w:numPr>
          <w:ilvl w:val="0"/>
          <w:numId w:val="19"/>
        </w:numPr>
      </w:pPr>
      <w:r w:rsidRPr="00075492">
        <w:t>att regeringen utreder vilka sanktionsmöjligheter som är lämpliga att vidta när kommunerna inte uppfyller rapporteringskraven. En sådan sanktionsmöjlighet kan vara att vite utgår vid utebliven rapport</w:t>
      </w:r>
      <w:r w:rsidRPr="00075492">
        <w:t>e</w:t>
      </w:r>
      <w:r w:rsidRPr="00075492">
        <w:t>ring</w:t>
      </w:r>
    </w:p>
    <w:p w:rsidR="00547E7E" w:rsidRPr="00075492" w:rsidRDefault="00547E7E">
      <w:pPr>
        <w:numPr>
          <w:ilvl w:val="0"/>
          <w:numId w:val="19"/>
        </w:numPr>
      </w:pPr>
      <w:r w:rsidRPr="00075492">
        <w:t>att regeringen uppdrar åt Livsmedelsverket att vidta åtgärder för att förbättra kvaliteten i kommunernas uppgifter och vid behov göra fördj</w:t>
      </w:r>
      <w:r w:rsidRPr="00075492">
        <w:t>u</w:t>
      </w:r>
      <w:r w:rsidRPr="00075492">
        <w:t>pade analyser av resultaten</w:t>
      </w:r>
    </w:p>
    <w:p w:rsidR="00547E7E" w:rsidRPr="00075492" w:rsidRDefault="00547E7E">
      <w:pPr>
        <w:numPr>
          <w:ilvl w:val="0"/>
          <w:numId w:val="19"/>
        </w:numPr>
      </w:pPr>
      <w:r w:rsidRPr="00075492">
        <w:t>att regeringen lämnar information till riksdagen om resultatet av den offen</w:t>
      </w:r>
      <w:r w:rsidRPr="00075492">
        <w:t>t</w:t>
      </w:r>
      <w:r w:rsidRPr="00075492">
        <w:t>liga tillsynen.</w:t>
      </w:r>
    </w:p>
    <w:p w:rsidR="00547E7E" w:rsidRPr="00075492" w:rsidRDefault="00547E7E">
      <w:pPr>
        <w:pStyle w:val="Rubrik2"/>
      </w:pPr>
      <w:bookmarkStart w:id="40" w:name="_Toc4833270"/>
      <w:bookmarkStart w:id="41" w:name="_Toc6634509"/>
      <w:bookmarkStart w:id="42" w:name="_Toc6637091"/>
      <w:r w:rsidRPr="00075492">
        <w:t>Sanktioner</w:t>
      </w:r>
      <w:bookmarkEnd w:id="40"/>
      <w:bookmarkEnd w:id="41"/>
      <w:bookmarkEnd w:id="42"/>
    </w:p>
    <w:p w:rsidR="00547E7E" w:rsidRPr="00075492" w:rsidRDefault="00547E7E">
      <w:pPr>
        <w:rPr>
          <w:i/>
        </w:rPr>
      </w:pPr>
      <w:r w:rsidRPr="00075492">
        <w:rPr>
          <w:i/>
        </w:rPr>
        <w:t>Rapporten</w:t>
      </w:r>
    </w:p>
    <w:p w:rsidR="00547E7E" w:rsidRPr="00075492" w:rsidRDefault="00547E7E">
      <w:pPr>
        <w:ind w:right="84"/>
      </w:pPr>
      <w:r w:rsidRPr="00075492">
        <w:t>Ansvarsbestämmelserna i livsmedelslagen ändrades år 1989. Tillsynsmy</w:t>
      </w:r>
      <w:r w:rsidRPr="00075492">
        <w:t>n</w:t>
      </w:r>
      <w:r w:rsidRPr="00075492">
        <w:t>digheterna fick bl.a. en allmän skyldighet att verka för att överträdelser b</w:t>
      </w:r>
      <w:r w:rsidRPr="00075492">
        <w:t>e</w:t>
      </w:r>
      <w:r w:rsidRPr="00075492">
        <w:t>ivras. Straffsatsen för brott mot livsmedelslagen höjdes till två år i grova fall. Syftet med dessa regeländringar var att öka respekten för livsmedelsl</w:t>
      </w:r>
      <w:r w:rsidRPr="00075492">
        <w:t>a</w:t>
      </w:r>
      <w:r w:rsidRPr="00075492">
        <w:t xml:space="preserve">gen. </w:t>
      </w:r>
    </w:p>
    <w:p w:rsidR="00547E7E" w:rsidRPr="00075492" w:rsidRDefault="00547E7E">
      <w:pPr>
        <w:pStyle w:val="Normaltindrag"/>
        <w:ind w:right="84"/>
      </w:pPr>
      <w:r w:rsidRPr="00075492">
        <w:t xml:space="preserve">Befintlig statistik visar att användningen av sanktioner sannolikt inte har fått den omfattning som avsågs i samband med 1989 års riksdagsbeslut. </w:t>
      </w:r>
    </w:p>
    <w:p w:rsidR="00547E7E" w:rsidRPr="00075492" w:rsidRDefault="00547E7E">
      <w:pPr>
        <w:pStyle w:val="Normaltindrag"/>
        <w:ind w:right="84"/>
      </w:pPr>
      <w:r w:rsidRPr="00075492">
        <w:t>Vid revisorernas tidigare granskning av livsmedelstillsynen som gjordes 1994 framhölls att flertalet kommuner bör kunna stärka sin tillsynsver</w:t>
      </w:r>
      <w:r w:rsidRPr="00075492">
        <w:t>k</w:t>
      </w:r>
      <w:r w:rsidRPr="00075492">
        <w:t>samhet genom bättre kunskap om rättstillämpningen inom livsmedelsla</w:t>
      </w:r>
      <w:r w:rsidRPr="00075492">
        <w:t>g</w:t>
      </w:r>
      <w:r w:rsidRPr="00075492">
        <w:t>stiftningen (förslag 1994/95:RR8). Bland annat ansågs det angeläget att Livsmedelsverket förmedlar information om rättsfall till de kommunala tillsynsmyndigheterna. Revisorernas kritik kva</w:t>
      </w:r>
      <w:r w:rsidRPr="00075492">
        <w:t>r</w:t>
      </w:r>
      <w:r w:rsidRPr="00075492">
        <w:t xml:space="preserve">står. </w:t>
      </w:r>
    </w:p>
    <w:p w:rsidR="00547E7E" w:rsidRPr="00075492" w:rsidRDefault="00547E7E">
      <w:pPr>
        <w:pStyle w:val="Normaltindrag"/>
      </w:pPr>
      <w:r w:rsidRPr="00075492">
        <w:t>Livsmedelsverket har inte utarbetat någon vägledning för hur sanktionsi</w:t>
      </w:r>
      <w:r w:rsidRPr="00075492">
        <w:t>n</w:t>
      </w:r>
      <w:r w:rsidRPr="00075492">
        <w:t xml:space="preserve">strumenten ska tillämpas. Samtidigt konstateras att myndigheterna nu har större möjligheter än tidigare att ge offentlighet åt resultat från tillsynen. Offentliggörande av brister kan vara ett mycket verksamt medel för att åstadkomma rättelse. </w:t>
      </w:r>
    </w:p>
    <w:p w:rsidR="00547E7E" w:rsidRPr="00075492" w:rsidRDefault="00547E7E">
      <w:pPr>
        <w:pStyle w:val="Normaltindrag"/>
      </w:pPr>
      <w:r w:rsidRPr="00075492">
        <w:t>Revisorerna föreslog i rapporten att regeringen skulle uppdra åt Livsm</w:t>
      </w:r>
      <w:r w:rsidRPr="00075492">
        <w:t>e</w:t>
      </w:r>
      <w:r w:rsidRPr="00075492">
        <w:t>delsverket att vidta åtgärder för att underlätta för de kommunala tillsyn</w:t>
      </w:r>
      <w:r w:rsidRPr="00075492">
        <w:t>s</w:t>
      </w:r>
      <w:r w:rsidRPr="00075492">
        <w:t xml:space="preserve">myndigheterna att tillämpa sanktionssystemet och ge ökad offentlighet åt resultat från tillsynen. </w:t>
      </w:r>
    </w:p>
    <w:p w:rsidR="00547E7E" w:rsidRPr="00075492" w:rsidRDefault="00547E7E">
      <w:pPr>
        <w:rPr>
          <w:i/>
        </w:rPr>
      </w:pPr>
      <w:r w:rsidRPr="00075492">
        <w:rPr>
          <w:i/>
        </w:rPr>
        <w:br/>
      </w:r>
    </w:p>
    <w:p w:rsidR="00547E7E" w:rsidRPr="00075492" w:rsidRDefault="00547E7E">
      <w:pPr>
        <w:rPr>
          <w:i/>
        </w:rPr>
      </w:pPr>
      <w:r w:rsidRPr="00075492">
        <w:rPr>
          <w:i/>
        </w:rPr>
        <w:br w:type="page"/>
      </w:r>
      <w:r w:rsidRPr="00075492">
        <w:rPr>
          <w:i/>
        </w:rPr>
        <w:lastRenderedPageBreak/>
        <w:t>Remissinstanserna</w:t>
      </w:r>
    </w:p>
    <w:p w:rsidR="00547E7E" w:rsidRPr="00075492" w:rsidRDefault="00547E7E">
      <w:r w:rsidRPr="00075492">
        <w:t>Remissinstanserna tillstyrker revisorernas förslag. Svenska Kommunförbu</w:t>
      </w:r>
      <w:r w:rsidRPr="00075492">
        <w:t>n</w:t>
      </w:r>
      <w:r w:rsidRPr="00075492">
        <w:t>det, Bodens kommun, Göteborgs kommun, Helsingborgs stad, Malmö stad och Umeå kommun framhåller att enklare former av sanktioner, t.ex. san</w:t>
      </w:r>
      <w:r w:rsidRPr="00075492">
        <w:t>k</w:t>
      </w:r>
      <w:r w:rsidRPr="00075492">
        <w:t xml:space="preserve">tionsavgift, bör övervägas. Sanktionsavgift används inom miljötillsynen. Miljönämnden i Helsingborgs stad understryker särskilt behovet av enklare sanktioner. </w:t>
      </w:r>
    </w:p>
    <w:p w:rsidR="00547E7E" w:rsidRPr="00075492" w:rsidRDefault="00547E7E">
      <w:pPr>
        <w:pStyle w:val="Normaltindrag"/>
      </w:pPr>
      <w:r w:rsidRPr="00075492">
        <w:t>Livsmedelsverket</w:t>
      </w:r>
      <w:r w:rsidRPr="00075492">
        <w:rPr>
          <w:i/>
        </w:rPr>
        <w:t xml:space="preserve"> </w:t>
      </w:r>
      <w:r w:rsidRPr="00075492">
        <w:t>delar revisorernas uppfattning att informationen till kommunerna om tillämpningen av sanktionssystemet behöver förbättras. Verket vill ha till uppgift att utforma grundläggande information om san</w:t>
      </w:r>
      <w:r w:rsidRPr="00075492">
        <w:t>k</w:t>
      </w:r>
      <w:r w:rsidRPr="00075492">
        <w:t>tionssy</w:t>
      </w:r>
      <w:r w:rsidRPr="00075492">
        <w:t>s</w:t>
      </w:r>
      <w:r w:rsidRPr="00075492">
        <w:t>temet. Däremot vill verket inte ge råd i konkreta ärenden.</w:t>
      </w:r>
    </w:p>
    <w:p w:rsidR="00547E7E" w:rsidRPr="00075492" w:rsidRDefault="00547E7E">
      <w:pPr>
        <w:rPr>
          <w:i/>
        </w:rPr>
      </w:pPr>
      <w:r w:rsidRPr="00075492">
        <w:rPr>
          <w:i/>
        </w:rPr>
        <w:t>Revisorernas överväganden och förslag</w:t>
      </w:r>
    </w:p>
    <w:p w:rsidR="00547E7E" w:rsidRPr="00075492" w:rsidRDefault="00547E7E">
      <w:r w:rsidRPr="00075492">
        <w:t>Revisorerna anser att den viktigaste åtgärden för att åstadkomma förutsät</w:t>
      </w:r>
      <w:r w:rsidRPr="00075492">
        <w:t>t</w:t>
      </w:r>
      <w:r w:rsidRPr="00075492">
        <w:t>ningar för en fullgod livsmedelstillsyn i hela landet är att reformera finansi</w:t>
      </w:r>
      <w:r w:rsidRPr="00075492">
        <w:t>e</w:t>
      </w:r>
      <w:r w:rsidRPr="00075492">
        <w:t>rings- och avgiftssystemet. Om det skulle visa sig att detta inte är en tillräc</w:t>
      </w:r>
      <w:r w:rsidRPr="00075492">
        <w:t>k</w:t>
      </w:r>
      <w:r w:rsidRPr="00075492">
        <w:t>lig åtgärd för att åstadkomma en bättre efterlevnad av livsmedelslagstiftnin</w:t>
      </w:r>
      <w:r w:rsidRPr="00075492">
        <w:t>g</w:t>
      </w:r>
      <w:r w:rsidRPr="00075492">
        <w:t>en bör enligt revisorernas uppfattning en san</w:t>
      </w:r>
      <w:r w:rsidRPr="00075492">
        <w:t>k</w:t>
      </w:r>
      <w:r w:rsidRPr="00075492">
        <w:t>tionsavgift övervägas.</w:t>
      </w:r>
    </w:p>
    <w:p w:rsidR="00547E7E" w:rsidRPr="00075492" w:rsidRDefault="00547E7E">
      <w:r w:rsidRPr="00075492">
        <w:t>Revisorerna föreslår att regeringen uppdrar åt Livsmedelsverket att utarbeta vägledningar om dels sanktioner, dels att offentliggöra resultat från inspe</w:t>
      </w:r>
      <w:r w:rsidRPr="00075492">
        <w:t>k</w:t>
      </w:r>
      <w:r w:rsidRPr="00075492">
        <w:t xml:space="preserve">tioner samt att sprida information om rättsfall. </w:t>
      </w:r>
      <w:bookmarkStart w:id="43" w:name="_Toc4833271"/>
    </w:p>
    <w:p w:rsidR="00547E7E" w:rsidRPr="00075492" w:rsidRDefault="00547E7E">
      <w:pPr>
        <w:pStyle w:val="Rubrik2"/>
      </w:pPr>
      <w:bookmarkStart w:id="44" w:name="_Toc6634510"/>
      <w:bookmarkStart w:id="45" w:name="_Toc6637092"/>
      <w:r w:rsidRPr="00075492">
        <w:t>Ansvar</w:t>
      </w:r>
      <w:r w:rsidRPr="00075492">
        <w:t>s</w:t>
      </w:r>
      <w:r w:rsidRPr="00075492">
        <w:t>fördelningen mellan stat och kommun</w:t>
      </w:r>
      <w:bookmarkEnd w:id="43"/>
      <w:bookmarkEnd w:id="44"/>
      <w:bookmarkEnd w:id="45"/>
    </w:p>
    <w:p w:rsidR="00547E7E" w:rsidRPr="00075492" w:rsidRDefault="00547E7E">
      <w:pPr>
        <w:rPr>
          <w:i/>
        </w:rPr>
      </w:pPr>
      <w:r w:rsidRPr="00075492">
        <w:rPr>
          <w:i/>
        </w:rPr>
        <w:t>Rapporten</w:t>
      </w:r>
    </w:p>
    <w:p w:rsidR="00547E7E" w:rsidRPr="00075492" w:rsidRDefault="00547E7E">
      <w:r w:rsidRPr="00075492">
        <w:t>Revisorerna har under denna granskning inte funnit några motiv för att öve</w:t>
      </w:r>
      <w:r w:rsidRPr="00075492">
        <w:t>r</w:t>
      </w:r>
      <w:r w:rsidRPr="00075492">
        <w:t>väga en radikalt förändrad ansvarsfördelning mellan stat och kommun avs</w:t>
      </w:r>
      <w:r w:rsidRPr="00075492">
        <w:t>e</w:t>
      </w:r>
      <w:r w:rsidRPr="00075492">
        <w:t>ende livsmedelstillsynen. Närhetsprincipen och effektivitetsskäl talar för en fortsatt kommunal livsmedelstillsyn. Ett reformerat finansierings- och a</w:t>
      </w:r>
      <w:r w:rsidRPr="00075492">
        <w:t>v</w:t>
      </w:r>
      <w:r w:rsidRPr="00075492">
        <w:t>giftssystem samt mer aktiv styrning och samordning från Livsmedelsverket bör ge förutsättningar för en fullgod livsmedelstillsyn i hela landet.</w:t>
      </w:r>
    </w:p>
    <w:p w:rsidR="00547E7E" w:rsidRPr="00075492" w:rsidRDefault="00547E7E">
      <w:pPr>
        <w:pStyle w:val="Normaltindrag"/>
      </w:pPr>
    </w:p>
    <w:p w:rsidR="00547E7E" w:rsidRPr="00075492" w:rsidRDefault="00547E7E">
      <w:pPr>
        <w:rPr>
          <w:i/>
        </w:rPr>
      </w:pPr>
      <w:r w:rsidRPr="00075492">
        <w:rPr>
          <w:i/>
        </w:rPr>
        <w:t>Remissinstanserna</w:t>
      </w:r>
    </w:p>
    <w:p w:rsidR="00547E7E" w:rsidRPr="00075492" w:rsidRDefault="00547E7E">
      <w:r w:rsidRPr="00075492">
        <w:t>Samtliga kommuner, Svenska Kommunförbundet, Statskontoret, länsstyre</w:t>
      </w:r>
      <w:r w:rsidRPr="00075492">
        <w:t>l</w:t>
      </w:r>
      <w:r w:rsidRPr="00075492">
        <w:t>serna i Dalarnas och Gävleborgs län anser i likhet med revisorerna att nuv</w:t>
      </w:r>
      <w:r w:rsidRPr="00075492">
        <w:t>a</w:t>
      </w:r>
      <w:r w:rsidRPr="00075492">
        <w:t>rande ansvarsfördelning mellan stat och kommun för livsmedelstillsynen bör bestå. Statskontoret förordar en utökad decentralisering till kommunerna medan nämnda länsstyrelser anser att operativt tillsynsansvar bör överföras från Livsmedelsverket till länsstyrelserna. Livsmedelsverket, bransch- och konsumentorganisationer samt länsstyrelserna i Östergötlands och Norrbo</w:t>
      </w:r>
      <w:r w:rsidRPr="00075492">
        <w:t>t</w:t>
      </w:r>
      <w:r w:rsidRPr="00075492">
        <w:t>tens län anser att livsmedelstillsynen bör förstatligas. De senar</w:t>
      </w:r>
      <w:r w:rsidRPr="00075492">
        <w:t>e anser att länsstyrelserna bör överta tillsynsansvaret från kommunerna. Miljö- och hälsoskyddsförvaltningen i Kristinehamns kommun och Naturvetareförbu</w:t>
      </w:r>
      <w:r w:rsidRPr="00075492">
        <w:t>n</w:t>
      </w:r>
      <w:r w:rsidRPr="00075492">
        <w:t xml:space="preserve">det förordar ett statligt huvudmannaskap för miljö- och livsmedelstillsyn samt djurskydd. </w:t>
      </w:r>
    </w:p>
    <w:p w:rsidR="00547E7E" w:rsidRPr="00075492" w:rsidRDefault="00547E7E">
      <w:pPr>
        <w:pStyle w:val="Normaltindrag"/>
      </w:pPr>
      <w:r w:rsidRPr="00075492">
        <w:lastRenderedPageBreak/>
        <w:t xml:space="preserve">Livsmedelsverket saknar en djupare analys som visar att målet, en effektiv och likvärdig livsmedelstillsyn i kommunerna, skulle kunna uppnås om revisorernas olika förslag genomförs. </w:t>
      </w:r>
    </w:p>
    <w:p w:rsidR="00547E7E" w:rsidRPr="00075492" w:rsidRDefault="00547E7E">
      <w:pPr>
        <w:pStyle w:val="Normaltindrag"/>
      </w:pPr>
      <w:r w:rsidRPr="00075492">
        <w:t>Livsmedelsverket,  Livsmedelsföretagen, Länsstyrelsen i Norrbottens län, Sveriges Konsumentråd och Svenska Celiakiförbundet pekar på att risker för jäv och beroendeförhållanden medför att det är svårt att garantera en ober</w:t>
      </w:r>
      <w:r w:rsidRPr="00075492">
        <w:t>o</w:t>
      </w:r>
      <w:r w:rsidRPr="00075492">
        <w:t xml:space="preserve">ende myndighetsutövning i kommunerna. </w:t>
      </w:r>
    </w:p>
    <w:p w:rsidR="00547E7E" w:rsidRPr="00075492" w:rsidRDefault="00547E7E">
      <w:pPr>
        <w:rPr>
          <w:i/>
        </w:rPr>
      </w:pPr>
      <w:r w:rsidRPr="00075492">
        <w:rPr>
          <w:i/>
        </w:rPr>
        <w:t>Revisorernas överväganden och förslag</w:t>
      </w:r>
    </w:p>
    <w:p w:rsidR="00547E7E" w:rsidRPr="00075492" w:rsidRDefault="00547E7E">
      <w:r w:rsidRPr="00075492">
        <w:t>Revisorerna anser att det inte finns tillräckliga motiv för att överväga en radikalt förändrad ansvarsfördelning mellan stat och kommun avseende livsmedel</w:t>
      </w:r>
      <w:r w:rsidRPr="00075492">
        <w:t>s</w:t>
      </w:r>
      <w:r w:rsidRPr="00075492">
        <w:t>tillsynen.</w:t>
      </w:r>
    </w:p>
    <w:p w:rsidR="00547E7E" w:rsidRPr="00075492" w:rsidRDefault="00547E7E">
      <w:pPr>
        <w:pStyle w:val="Normaltindrag"/>
      </w:pPr>
      <w:r w:rsidRPr="00075492">
        <w:t>Frågan om jäv och beroendeförhållanden i kommunal myndighetsutövning har behandlats i RRV:s rapport (2001:33). RRV har dock inte funnit att det finns några uppgifter som stöder antagandet om att jäv är ett problem i la</w:t>
      </w:r>
      <w:r w:rsidRPr="00075492">
        <w:t>n</w:t>
      </w:r>
      <w:r w:rsidRPr="00075492">
        <w:t>dets kommuner. Inte heller finns det belägg för att den kommunala myndi</w:t>
      </w:r>
      <w:r w:rsidRPr="00075492">
        <w:t>g</w:t>
      </w:r>
      <w:r w:rsidRPr="00075492">
        <w:t>hetsutövningen skulle innebära att kommunerna värnar mer om arbetstillfä</w:t>
      </w:r>
      <w:r w:rsidRPr="00075492">
        <w:t>l</w:t>
      </w:r>
      <w:r w:rsidRPr="00075492">
        <w:t>len än en god livsm</w:t>
      </w:r>
      <w:r w:rsidRPr="00075492">
        <w:t>e</w:t>
      </w:r>
      <w:r w:rsidRPr="00075492">
        <w:t>delstillsyn.</w:t>
      </w:r>
    </w:p>
    <w:p w:rsidR="00547E7E" w:rsidRPr="00075492" w:rsidRDefault="00547E7E">
      <w:pPr>
        <w:pStyle w:val="Normaltindrag"/>
      </w:pPr>
      <w:r w:rsidRPr="00075492">
        <w:t>Frågan om möjligheterna att uppnå målet ”likvärdig livsmedelstillsyn” kommenteras av några remissinstanser. De menar att målet är omöjligt att uppnå med ett fortsatt kommunalt til</w:t>
      </w:r>
      <w:r w:rsidRPr="00075492">
        <w:t>l</w:t>
      </w:r>
      <w:r w:rsidRPr="00075492">
        <w:t xml:space="preserve">synsansvar. </w:t>
      </w:r>
    </w:p>
    <w:p w:rsidR="00547E7E" w:rsidRPr="00075492" w:rsidRDefault="00547E7E">
      <w:pPr>
        <w:pStyle w:val="Normaltindrag"/>
      </w:pPr>
      <w:r w:rsidRPr="00075492">
        <w:t>En effektiv och likvärdig livsmedelstillsyn anges som ett mål för verksa</w:t>
      </w:r>
      <w:r w:rsidRPr="00075492">
        <w:t>m</w:t>
      </w:r>
      <w:r w:rsidRPr="00075492">
        <w:t>hetsgrenen Tillsyn i Livsmedelsverkets regleringsbrev. Vad som avses med ”likvärdig livsmedelstillsyn” har emellertid inte närmare preciserats. I i</w:t>
      </w:r>
      <w:r w:rsidRPr="00075492">
        <w:t>n</w:t>
      </w:r>
      <w:r w:rsidRPr="00075492">
        <w:t xml:space="preserve">struktion för Livsmedelsverket (SFS 2001:1259) som utfärdades den 13 december 2001 anges att Livsmedelsverkets uppgifter är att utöva tillsyn enligt livsmedelslagen samt leda och samordna livsmedelstillsynen. </w:t>
      </w:r>
    </w:p>
    <w:p w:rsidR="00547E7E" w:rsidRPr="00075492" w:rsidRDefault="00547E7E">
      <w:pPr>
        <w:pStyle w:val="Normaltindrag"/>
      </w:pPr>
      <w:r w:rsidRPr="00075492">
        <w:t>Enligt revisorernas uppfattning är tillsyn utifrån behov ett tydligare sätt att beskriva vad livsmedelstillsynen i Sverige bör syfta till. Detta bör seda</w:t>
      </w:r>
      <w:r w:rsidRPr="00075492">
        <w:t xml:space="preserve">n vara vägledande för målformuleringen för verksamheten. </w:t>
      </w:r>
    </w:p>
    <w:p w:rsidR="00547E7E" w:rsidRPr="00075492" w:rsidRDefault="00547E7E">
      <w:pPr>
        <w:pStyle w:val="Rubrik2"/>
      </w:pPr>
      <w:bookmarkStart w:id="46" w:name="_Toc4833272"/>
      <w:bookmarkStart w:id="47" w:name="_Toc6634511"/>
      <w:bookmarkStart w:id="48" w:name="_Toc6637093"/>
      <w:r w:rsidRPr="00075492">
        <w:t>Övriga frågor</w:t>
      </w:r>
      <w:bookmarkEnd w:id="46"/>
      <w:bookmarkEnd w:id="47"/>
      <w:bookmarkEnd w:id="48"/>
    </w:p>
    <w:p w:rsidR="00547E7E" w:rsidRPr="00075492" w:rsidRDefault="00547E7E">
      <w:pPr>
        <w:rPr>
          <w:i/>
        </w:rPr>
      </w:pPr>
      <w:r w:rsidRPr="00075492">
        <w:rPr>
          <w:i/>
        </w:rPr>
        <w:t>Remissinstanserna</w:t>
      </w:r>
    </w:p>
    <w:p w:rsidR="00547E7E" w:rsidRPr="00075492" w:rsidRDefault="00547E7E">
      <w:r w:rsidRPr="00075492">
        <w:t>Frågan om hur stora bristerna vid livsmedelshanteringen är och vilka risker detta utgör för folkhälsan har kommenterats av Sveriges hotell- och resta</w:t>
      </w:r>
      <w:r w:rsidRPr="00075492">
        <w:t>u</w:t>
      </w:r>
      <w:r w:rsidRPr="00075492">
        <w:t>rangf</w:t>
      </w:r>
      <w:r w:rsidRPr="00075492">
        <w:t>ö</w:t>
      </w:r>
      <w:r w:rsidRPr="00075492">
        <w:t xml:space="preserve">retagare, SHR. </w:t>
      </w:r>
    </w:p>
    <w:p w:rsidR="00547E7E" w:rsidRPr="00075492" w:rsidRDefault="00547E7E">
      <w:pPr>
        <w:pStyle w:val="Normaltindrag"/>
      </w:pPr>
      <w:r w:rsidRPr="00075492">
        <w:t>SHR anger i remissvaret att det är svårt att få ett grepp om hur det faktiskt förhåller sig på restaurangerna och vilken risk för folkhälsan som bristerna utgör. Antalet påstådda matförgiftningar bygger på enkätunderlag och skat</w:t>
      </w:r>
      <w:r w:rsidRPr="00075492">
        <w:t>t</w:t>
      </w:r>
      <w:r w:rsidRPr="00075492">
        <w:t>ningar. Enligt SHR behövs en samlad redovisning med sakliga analyser och riskbedömningar av hygienen på Sveriges restauranger. Både Jordbruksd</w:t>
      </w:r>
      <w:r w:rsidRPr="00075492">
        <w:t>e</w:t>
      </w:r>
      <w:r w:rsidRPr="00075492">
        <w:t>partementet och Livsmedelsverket anser att Sverige aldrig har haft en så säker mat som i dag. SHR vill gärna dela denna uppfattning: ”Men vi ser tyvärr alltför ofta rapporter om bristande hygien på restauranger och inom andra delar av storhushållsse</w:t>
      </w:r>
      <w:r w:rsidRPr="00075492">
        <w:t>k</w:t>
      </w:r>
      <w:r w:rsidRPr="00075492">
        <w:t>torn.”</w:t>
      </w:r>
    </w:p>
    <w:p w:rsidR="00547E7E" w:rsidRPr="00075492" w:rsidRDefault="00547E7E">
      <w:r w:rsidRPr="00075492">
        <w:lastRenderedPageBreak/>
        <w:t>Konsumentorganisationerna och Livsmedelsföretagen har redovisat olika exempel på allvarliga brister i den kommu</w:t>
      </w:r>
      <w:r w:rsidRPr="00075492">
        <w:t>nala myndighetsutövningen. I det ena fallet ledde detta till att ett femtiotal människor insjuknade efter att ha blivit smittade av listeriabakterier. Det andra fallet rörde ett ärende om felaktig märkning som ”hade vandrat” mellan en kommunal tillsynsmyndi</w:t>
      </w:r>
      <w:r w:rsidRPr="00075492">
        <w:t>g</w:t>
      </w:r>
      <w:r w:rsidRPr="00075492">
        <w:t>het och Livsmedelsverket. I båda fallen uppges att Livsmedelsverket hade up</w:t>
      </w:r>
      <w:r w:rsidRPr="00075492">
        <w:t>p</w:t>
      </w:r>
      <w:r w:rsidRPr="00075492">
        <w:t xml:space="preserve">manat berörda kommuner att vidta åtgärder. </w:t>
      </w:r>
    </w:p>
    <w:p w:rsidR="00547E7E" w:rsidRPr="00075492" w:rsidRDefault="00547E7E">
      <w:r w:rsidRPr="00075492">
        <w:t>Merparten av remissinstanserna har framhållit vikten av en förbättrad liv</w:t>
      </w:r>
      <w:r w:rsidRPr="00075492">
        <w:t>s</w:t>
      </w:r>
      <w:r w:rsidRPr="00075492">
        <w:t>medelstillsyn och en ökad tillsynsfrekvens. Livsmedelsverket, branschorg</w:t>
      </w:r>
      <w:r w:rsidRPr="00075492">
        <w:t>a</w:t>
      </w:r>
      <w:r w:rsidRPr="00075492">
        <w:t>nisationer och ett par länsstyrelser  anser att detta kan åstadkommas om livsmedelstil</w:t>
      </w:r>
      <w:r w:rsidRPr="00075492">
        <w:t>l</w:t>
      </w:r>
      <w:r w:rsidRPr="00075492">
        <w:t>synen förstatligas.</w:t>
      </w:r>
    </w:p>
    <w:p w:rsidR="00547E7E" w:rsidRPr="00075492" w:rsidRDefault="00547E7E">
      <w:pPr>
        <w:rPr>
          <w:i/>
        </w:rPr>
      </w:pPr>
      <w:r w:rsidRPr="00075492">
        <w:rPr>
          <w:i/>
        </w:rPr>
        <w:t>Revisorernas iakttagelser</w:t>
      </w:r>
    </w:p>
    <w:p w:rsidR="00547E7E" w:rsidRPr="00075492" w:rsidRDefault="00547E7E">
      <w:r w:rsidRPr="00075492">
        <w:t>Revisorerna delar SHR:s iakttagelser om att det saknas underlag för att b</w:t>
      </w:r>
      <w:r w:rsidRPr="00075492">
        <w:t>e</w:t>
      </w:r>
      <w:r w:rsidRPr="00075492">
        <w:t xml:space="preserve">döma vilka risker konstaterade brister utgör för folkhälsan. </w:t>
      </w:r>
    </w:p>
    <w:p w:rsidR="00547E7E" w:rsidRPr="00075492" w:rsidRDefault="00547E7E">
      <w:pPr>
        <w:pStyle w:val="Normaltindrag"/>
      </w:pPr>
      <w:r w:rsidRPr="00075492">
        <w:t>Under denna granskning har även revisorerna funnit problem med att få konkreta exempel på brister i den kommunala myndighetsutövningen som t.ex. har lett till att människor har blivit sjuka. Revisorerna har utan framgång särskilt efterfrågat uppgifter från Livsmedelsverket om det fall som kons</w:t>
      </w:r>
      <w:r w:rsidRPr="00075492">
        <w:t>u</w:t>
      </w:r>
      <w:r w:rsidRPr="00075492">
        <w:t>mentorganis</w:t>
      </w:r>
      <w:r w:rsidRPr="00075492">
        <w:t>a</w:t>
      </w:r>
      <w:r w:rsidRPr="00075492">
        <w:t xml:space="preserve">tionerna uppmärksammar.  </w:t>
      </w:r>
    </w:p>
    <w:p w:rsidR="00547E7E" w:rsidRPr="00075492" w:rsidRDefault="00547E7E">
      <w:pPr>
        <w:pStyle w:val="Normaltindrag"/>
      </w:pPr>
      <w:r w:rsidRPr="00075492">
        <w:t>Enligt revisorernas uppfattning behövs ökad offentlighet om konstaterade brister och konkreta uppgifter om de tillsynsmyndigheter som inte fullgör sina up</w:t>
      </w:r>
      <w:r w:rsidRPr="00075492">
        <w:t>p</w:t>
      </w:r>
      <w:r w:rsidRPr="00075492">
        <w:t>gifter.</w:t>
      </w:r>
    </w:p>
    <w:p w:rsidR="00547E7E" w:rsidRPr="00075492" w:rsidRDefault="00547E7E">
      <w:pPr>
        <w:pStyle w:val="Normaltindrag"/>
      </w:pPr>
      <w:r w:rsidRPr="00075492">
        <w:t>Regeringen har utsett en ny styrelse för Livsmedelsverket. I styrelsen ingår elva ledamöter. Detta är en minskning med en ledamot jämfört med tidigare. I styrelsen ingår två personer som samtidigt är verksamma i livsmedelsför</w:t>
      </w:r>
      <w:r w:rsidRPr="00075492">
        <w:t>e</w:t>
      </w:r>
      <w:r w:rsidRPr="00075492">
        <w:t>tagens branschorganisationer. Från och med innevarande år ingår inte någon person i styrelsen som är verksam inom Svenska Kommunförbundet.</w:t>
      </w:r>
    </w:p>
    <w:p w:rsidR="00547E7E" w:rsidRPr="00075492" w:rsidRDefault="00547E7E">
      <w:pPr>
        <w:pStyle w:val="Normaltindrag"/>
      </w:pPr>
      <w:r w:rsidRPr="00075492">
        <w:t>Enligt verksförordningen (SFS 1995:1322) ska styrelsen för en myndighet högst bestå av åtta ledamöter. I Livsmedelsverkets instruktion anges inget unda</w:t>
      </w:r>
      <w:r w:rsidRPr="00075492">
        <w:t>n</w:t>
      </w:r>
      <w:r w:rsidRPr="00075492">
        <w:t xml:space="preserve">tag från verksförordningens bestämmelser. </w:t>
      </w:r>
    </w:p>
    <w:p w:rsidR="00547E7E" w:rsidRPr="00075492" w:rsidRDefault="00547E7E">
      <w:pPr>
        <w:pStyle w:val="Normaltindrag"/>
      </w:pPr>
      <w:r w:rsidRPr="00075492">
        <w:t>Revisorerna ifrågasätter lämpligheten av att branschorganisationer vilkas medlemmar står under verkets tillsyn ingår i Livsmedelsverkets styrelse. Frågan bör behandlas i den föreslagna organisationsöve</w:t>
      </w:r>
      <w:r w:rsidRPr="00075492">
        <w:t>r</w:t>
      </w:r>
      <w:r w:rsidRPr="00075492">
        <w:t xml:space="preserve">synen.  </w:t>
      </w:r>
    </w:p>
    <w:p w:rsidR="00547E7E" w:rsidRPr="00075492" w:rsidRDefault="00547E7E">
      <w:pPr>
        <w:pStyle w:val="Normaltindrag"/>
      </w:pPr>
      <w:r w:rsidRPr="00075492">
        <w:t xml:space="preserve"> </w:t>
      </w:r>
    </w:p>
    <w:p w:rsidR="00547E7E" w:rsidRPr="00075492" w:rsidRDefault="00547E7E">
      <w:pPr>
        <w:pStyle w:val="R2"/>
      </w:pPr>
      <w:r w:rsidRPr="00075492">
        <w:t>Förslag 2001/02:RR19</w:t>
      </w:r>
    </w:p>
    <w:p w:rsidR="00547E7E" w:rsidRPr="00075492" w:rsidRDefault="00547E7E">
      <w:r w:rsidRPr="00075492">
        <w:t>Med hänvisning till de motiveringar som framförts under revisorernas öve</w:t>
      </w:r>
      <w:r w:rsidRPr="00075492">
        <w:t>r</w:t>
      </w:r>
      <w:r w:rsidRPr="00075492">
        <w:t>väganden och förslag föreslår Riksdagens revisorer att riksdagen fattar fö</w:t>
      </w:r>
      <w:r w:rsidRPr="00075492">
        <w:t>l</w:t>
      </w:r>
      <w:r w:rsidRPr="00075492">
        <w:t xml:space="preserve">jande beslut. </w:t>
      </w:r>
    </w:p>
    <w:p w:rsidR="00547E7E" w:rsidRPr="00075492" w:rsidRDefault="00547E7E">
      <w:pPr>
        <w:pStyle w:val="R3"/>
      </w:pPr>
      <w:r w:rsidRPr="00075492">
        <w:t xml:space="preserve">Europeiska kommissionens utvärderingar </w:t>
      </w:r>
    </w:p>
    <w:p w:rsidR="00547E7E" w:rsidRPr="00075492" w:rsidRDefault="00547E7E">
      <w:r w:rsidRPr="00075492">
        <w:t>Riksdagen tillkännager för regeringen som sin mening vad Riksdagens rev</w:t>
      </w:r>
      <w:r w:rsidRPr="00075492">
        <w:t>i</w:t>
      </w:r>
      <w:r w:rsidRPr="00075492">
        <w:t>sorer anfört i avsnitt 4.2 om Europeiska kommissionens utvärderingar av livsmedelstillsynen i Sver</w:t>
      </w:r>
      <w:r w:rsidRPr="00075492">
        <w:t>i</w:t>
      </w:r>
      <w:r w:rsidRPr="00075492">
        <w:t xml:space="preserve">ge. </w:t>
      </w:r>
    </w:p>
    <w:p w:rsidR="00547E7E" w:rsidRPr="00075492" w:rsidRDefault="00547E7E">
      <w:pPr>
        <w:pStyle w:val="R3"/>
      </w:pPr>
      <w:r w:rsidRPr="00075492">
        <w:lastRenderedPageBreak/>
        <w:t>Finansierings- och avgiftssystemet</w:t>
      </w:r>
    </w:p>
    <w:p w:rsidR="00547E7E" w:rsidRPr="00075492" w:rsidRDefault="00547E7E">
      <w:r w:rsidRPr="00075492">
        <w:t>Riksdagen tillkännager för regeringen som sin mening vad Riksdagens rev</w:t>
      </w:r>
      <w:r w:rsidRPr="00075492">
        <w:t>i</w:t>
      </w:r>
      <w:r w:rsidRPr="00075492">
        <w:t>sorer anfört i avsnitt 4.3 om finansierings- och avgiftssystemet.</w:t>
      </w:r>
    </w:p>
    <w:p w:rsidR="00547E7E" w:rsidRPr="00075492" w:rsidRDefault="00547E7E">
      <w:pPr>
        <w:pStyle w:val="R3"/>
      </w:pPr>
      <w:r w:rsidRPr="00075492">
        <w:t>Redovisa kostnaderna</w:t>
      </w:r>
    </w:p>
    <w:p w:rsidR="00547E7E" w:rsidRPr="00075492" w:rsidRDefault="00547E7E">
      <w:r w:rsidRPr="00075492">
        <w:t>Riksdagen tillkännager för regeringen som sin mening vad Riksdagens rev</w:t>
      </w:r>
      <w:r w:rsidRPr="00075492">
        <w:t>i</w:t>
      </w:r>
      <w:r w:rsidRPr="00075492">
        <w:t xml:space="preserve">sorer anfört i avsnitt 4.4 om att redovisa kostnaderna för livsmedelstillsynen. </w:t>
      </w:r>
    </w:p>
    <w:p w:rsidR="00547E7E" w:rsidRPr="00075492" w:rsidRDefault="00547E7E">
      <w:pPr>
        <w:pStyle w:val="R3"/>
      </w:pPr>
      <w:r w:rsidRPr="00075492">
        <w:t>Tydliggör företagens ansvar</w:t>
      </w:r>
    </w:p>
    <w:p w:rsidR="00547E7E" w:rsidRPr="00075492" w:rsidRDefault="00547E7E">
      <w:r w:rsidRPr="00075492">
        <w:t>Riksdagen tillkännager för regeringen som sin mening vad Riksdagens rev</w:t>
      </w:r>
      <w:r w:rsidRPr="00075492">
        <w:t>i</w:t>
      </w:r>
      <w:r w:rsidRPr="00075492">
        <w:t>sorer anfört i avsnitt 4.5 om företagens ansvar.</w:t>
      </w:r>
    </w:p>
    <w:p w:rsidR="00547E7E" w:rsidRPr="00075492" w:rsidRDefault="00547E7E">
      <w:pPr>
        <w:pStyle w:val="R3"/>
      </w:pPr>
      <w:r w:rsidRPr="00075492">
        <w:t>Livsmedelsverkets styrning och uppföljning</w:t>
      </w:r>
    </w:p>
    <w:p w:rsidR="00547E7E" w:rsidRPr="00075492" w:rsidRDefault="00547E7E">
      <w:r w:rsidRPr="00075492">
        <w:t>Riksdagen tillkännager för regeringen som sin mening vad Riksdagens rev</w:t>
      </w:r>
      <w:r w:rsidRPr="00075492">
        <w:t>i</w:t>
      </w:r>
      <w:r w:rsidRPr="00075492">
        <w:t>sorer anfört i avsnitt 4.6 om Livsmedelsverkets styrning och uppföljning.</w:t>
      </w:r>
    </w:p>
    <w:p w:rsidR="00547E7E" w:rsidRPr="00075492" w:rsidRDefault="00547E7E">
      <w:pPr>
        <w:pStyle w:val="R3"/>
      </w:pPr>
      <w:r w:rsidRPr="00075492">
        <w:t>Länsstyrelsernas uppgifter</w:t>
      </w:r>
    </w:p>
    <w:p w:rsidR="00547E7E" w:rsidRPr="00075492" w:rsidRDefault="00547E7E">
      <w:r w:rsidRPr="00075492">
        <w:t>Riksdagen tillkännager för regeringen som sin mening vad Riksdagens rev</w:t>
      </w:r>
      <w:r w:rsidRPr="00075492">
        <w:t>i</w:t>
      </w:r>
      <w:r w:rsidRPr="00075492">
        <w:t>sorer anfört i avsnitt 4.7 om länsstyrelsernas uppgifter.</w:t>
      </w:r>
    </w:p>
    <w:p w:rsidR="00547E7E" w:rsidRPr="00075492" w:rsidRDefault="00547E7E">
      <w:pPr>
        <w:pStyle w:val="R3"/>
      </w:pPr>
      <w:r w:rsidRPr="00075492">
        <w:t>Kommunernas resurser</w:t>
      </w:r>
    </w:p>
    <w:p w:rsidR="00547E7E" w:rsidRPr="00075492" w:rsidRDefault="00547E7E">
      <w:r w:rsidRPr="00075492">
        <w:t>Riksdagen tillkännager för regeringen som sin mening vad Riksdagens rev</w:t>
      </w:r>
      <w:r w:rsidRPr="00075492">
        <w:t>i</w:t>
      </w:r>
      <w:r w:rsidRPr="00075492">
        <w:t>sorer anfört i avsnitt 4.8 om kommunernas resurser.</w:t>
      </w:r>
    </w:p>
    <w:p w:rsidR="00547E7E" w:rsidRPr="00075492" w:rsidRDefault="00547E7E">
      <w:pPr>
        <w:pStyle w:val="R3"/>
      </w:pPr>
      <w:r w:rsidRPr="00075492">
        <w:t>Rapporteringen behöver förbättras</w:t>
      </w:r>
    </w:p>
    <w:p w:rsidR="00547E7E" w:rsidRPr="00075492" w:rsidRDefault="00547E7E">
      <w:r w:rsidRPr="00075492">
        <w:t>Riksdagen tillkännager för regeringen som sin mening vad Riksdagens rev</w:t>
      </w:r>
      <w:r w:rsidRPr="00075492">
        <w:t>i</w:t>
      </w:r>
      <w:r w:rsidRPr="00075492">
        <w:t xml:space="preserve">sorer anfört i avsnitt 4.9 om rapporteringen. </w:t>
      </w:r>
    </w:p>
    <w:p w:rsidR="00547E7E" w:rsidRPr="00075492" w:rsidRDefault="00547E7E">
      <w:pPr>
        <w:pStyle w:val="R3"/>
      </w:pPr>
      <w:r w:rsidRPr="00075492">
        <w:t>Sanktioner</w:t>
      </w:r>
    </w:p>
    <w:p w:rsidR="00547E7E" w:rsidRPr="00075492" w:rsidRDefault="00547E7E">
      <w:r w:rsidRPr="00075492">
        <w:t>Riksdagen tillkännager för regeringen som sin mening vad Riksdagens rev</w:t>
      </w:r>
      <w:r w:rsidRPr="00075492">
        <w:t>i</w:t>
      </w:r>
      <w:r w:rsidRPr="00075492">
        <w:t xml:space="preserve">sorer anfört i avsnitt 4.10 om sanktioner. </w:t>
      </w:r>
    </w:p>
    <w:p w:rsidR="00547E7E" w:rsidRPr="00075492" w:rsidRDefault="00547E7E">
      <w:pPr>
        <w:pStyle w:val="R3"/>
      </w:pPr>
      <w:r w:rsidRPr="00075492">
        <w:t xml:space="preserve">Övriga frågor </w:t>
      </w:r>
    </w:p>
    <w:p w:rsidR="00547E7E" w:rsidRPr="00075492" w:rsidRDefault="00547E7E">
      <w:r w:rsidRPr="00075492">
        <w:t>Riksdagen tillkännager för regeringen som sin mening vad Riksdagens rev</w:t>
      </w:r>
      <w:r w:rsidRPr="00075492">
        <w:t>i</w:t>
      </w:r>
      <w:r w:rsidRPr="00075492">
        <w:t xml:space="preserve">sorer anfört rörande Livsmedelsverkets styrelse i avsnitt 4.12. </w:t>
      </w:r>
    </w:p>
    <w:p w:rsidR="00547E7E" w:rsidRPr="00075492" w:rsidRDefault="00547E7E">
      <w:r w:rsidRPr="00075492">
        <w:br w:type="page"/>
      </w:r>
      <w:r w:rsidRPr="00075492">
        <w:lastRenderedPageBreak/>
        <w:t>Detta ärende har avgjorts av revisorerna i plenum. I beslutet har deltagit revisorerna Ingemar Josefsson (s), Anders G Högmark (m), Per Rosengren (v), Bengt Silfverstrand (s), Anita Jönsson (s), Kenneth Lantz (kd), Karl-Gösta Svenson (m), Agneta Lundberg (s), Ann-Marie Fagerström (s), Marie Engström (v), Björn Kaaling (s) och Lennart He</w:t>
      </w:r>
      <w:r w:rsidRPr="00075492">
        <w:t>d</w:t>
      </w:r>
      <w:r w:rsidRPr="00075492">
        <w:t>quist (m).</w:t>
      </w:r>
    </w:p>
    <w:p w:rsidR="00547E7E" w:rsidRPr="00075492" w:rsidRDefault="00547E7E">
      <w:r w:rsidRPr="00075492">
        <w:t>Vid ärendets slutliga handläggning har vidare närvarit kanslichefen Åke Dahlberg, utredningschefen Karin Brunsson och revisionsdirektören Lena Sandström (föredrag</w:t>
      </w:r>
      <w:r w:rsidRPr="00075492">
        <w:t>ande).</w:t>
      </w:r>
    </w:p>
    <w:p w:rsidR="00547E7E" w:rsidRPr="00075492" w:rsidRDefault="00547E7E">
      <w:pPr>
        <w:pStyle w:val="Innehll1"/>
      </w:pPr>
    </w:p>
    <w:p w:rsidR="00547E7E" w:rsidRPr="00075492" w:rsidRDefault="00547E7E">
      <w:pPr>
        <w:pStyle w:val="Innehll1"/>
      </w:pPr>
      <w:r w:rsidRPr="00075492">
        <w:t>Stockholm den 17 april 2002</w:t>
      </w:r>
    </w:p>
    <w:p w:rsidR="00547E7E" w:rsidRPr="00075492" w:rsidRDefault="00547E7E">
      <w:r w:rsidRPr="00075492">
        <w:t>På Riksdagens revisorers vägnar</w:t>
      </w:r>
    </w:p>
    <w:p w:rsidR="00547E7E" w:rsidRPr="00075492" w:rsidRDefault="00547E7E">
      <w:pPr>
        <w:pStyle w:val="Normaltindrag"/>
      </w:pPr>
    </w:p>
    <w:p w:rsidR="00547E7E" w:rsidRPr="00075492" w:rsidRDefault="00547E7E">
      <w:pPr>
        <w:pStyle w:val="Normaltindrag"/>
      </w:pPr>
    </w:p>
    <w:p w:rsidR="00547E7E" w:rsidRPr="00075492" w:rsidRDefault="00547E7E">
      <w:pPr>
        <w:pStyle w:val="Normaltindrag"/>
      </w:pPr>
    </w:p>
    <w:p w:rsidR="00547E7E" w:rsidRPr="00075492" w:rsidRDefault="00547E7E">
      <w:pPr>
        <w:rPr>
          <w:i/>
          <w:sz w:val="21"/>
        </w:rPr>
      </w:pPr>
      <w:r w:rsidRPr="00075492">
        <w:rPr>
          <w:i/>
          <w:sz w:val="21"/>
        </w:rPr>
        <w:t>Ingemar Josefsson</w:t>
      </w:r>
    </w:p>
    <w:p w:rsidR="00547E7E" w:rsidRPr="00075492" w:rsidRDefault="00547E7E">
      <w:pPr>
        <w:pStyle w:val="Normaltindrag"/>
        <w:rPr>
          <w:i/>
          <w:sz w:val="21"/>
        </w:rPr>
      </w:pPr>
    </w:p>
    <w:p w:rsidR="00547E7E" w:rsidRPr="00075492" w:rsidRDefault="00547E7E">
      <w:pPr>
        <w:pStyle w:val="Normaltindrag"/>
        <w:rPr>
          <w:i/>
          <w:sz w:val="21"/>
        </w:rPr>
      </w:pPr>
    </w:p>
    <w:p w:rsidR="00547E7E" w:rsidRPr="00075492" w:rsidRDefault="00547E7E">
      <w:pPr>
        <w:pStyle w:val="Normaltindrag"/>
        <w:rPr>
          <w:i/>
          <w:sz w:val="22"/>
        </w:rPr>
      </w:pPr>
      <w:r w:rsidRPr="00075492">
        <w:rPr>
          <w:i/>
          <w:sz w:val="21"/>
        </w:rPr>
        <w:tab/>
      </w:r>
      <w:r w:rsidRPr="00075492">
        <w:rPr>
          <w:i/>
          <w:sz w:val="21"/>
        </w:rPr>
        <w:tab/>
      </w:r>
      <w:r w:rsidRPr="00075492">
        <w:rPr>
          <w:i/>
          <w:sz w:val="21"/>
        </w:rPr>
        <w:tab/>
        <w:t>Lena Sandström</w:t>
      </w:r>
    </w:p>
    <w:p w:rsidR="00547E7E" w:rsidRPr="00075492" w:rsidRDefault="00547E7E">
      <w:pPr>
        <w:jc w:val="left"/>
        <w:rPr>
          <w:i/>
          <w:sz w:val="22"/>
        </w:rPr>
      </w:pPr>
    </w:p>
    <w:p w:rsidR="00547E7E" w:rsidRPr="00075492" w:rsidRDefault="00547E7E">
      <w:pPr>
        <w:jc w:val="left"/>
      </w:pPr>
    </w:p>
    <w:p w:rsidR="00547E7E" w:rsidRPr="00075492" w:rsidRDefault="00547E7E">
      <w:pPr>
        <w:sectPr w:rsidR="00000000" w:rsidRPr="00075492">
          <w:headerReference w:type="default" r:id="rId8"/>
          <w:footerReference w:type="default" r:id="rId9"/>
          <w:pgSz w:w="11906" w:h="16838" w:code="9"/>
          <w:pgMar w:top="567" w:right="4876" w:bottom="4508" w:left="1134" w:header="227" w:footer="227" w:gutter="0"/>
          <w:cols w:space="720"/>
        </w:sectPr>
      </w:pPr>
    </w:p>
    <w:tbl>
      <w:tblPr>
        <w:tblW w:w="0" w:type="auto"/>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075492">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547E7E" w:rsidRPr="00075492" w:rsidRDefault="00547E7E">
            <w:pPr>
              <w:pStyle w:val="HuvudRubrik"/>
            </w:pPr>
            <w:r w:rsidRPr="00075492">
              <w:lastRenderedPageBreak/>
              <w:t xml:space="preserve">Rapport </w:t>
            </w:r>
            <w:bookmarkStart w:id="49" w:name="BetänkandeNr"/>
            <w:bookmarkEnd w:id="49"/>
            <w:r w:rsidRPr="00075492">
              <w:t>2001/02: 7</w:t>
            </w:r>
          </w:p>
        </w:tc>
        <w:tc>
          <w:tcPr>
            <w:tcW w:w="2126" w:type="dxa"/>
            <w:gridSpan w:val="2"/>
            <w:tcBorders>
              <w:bottom w:val="single" w:sz="6" w:space="0" w:color="auto"/>
            </w:tcBorders>
          </w:tcPr>
          <w:p w:rsidR="00547E7E" w:rsidRPr="00075492" w:rsidRDefault="00075492">
            <w:pPr>
              <w:spacing w:before="0" w:line="240" w:lineRule="auto"/>
              <w:jc w:val="center"/>
            </w:pPr>
            <w:r w:rsidRPr="00075492">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075492">
        <w:tblPrEx>
          <w:tblCellMar>
            <w:top w:w="0" w:type="dxa"/>
            <w:bottom w:w="0" w:type="dxa"/>
          </w:tblCellMar>
        </w:tblPrEx>
        <w:trPr>
          <w:gridAfter w:val="1"/>
          <w:wAfter w:w="851" w:type="dxa"/>
          <w:cantSplit/>
          <w:trHeight w:hRule="exact" w:val="660"/>
        </w:trPr>
        <w:tc>
          <w:tcPr>
            <w:tcW w:w="3012" w:type="dxa"/>
          </w:tcPr>
          <w:p w:rsidR="00547E7E" w:rsidRPr="00075492" w:rsidRDefault="00547E7E">
            <w:pPr>
              <w:pStyle w:val="StatusSida1"/>
            </w:pPr>
          </w:p>
        </w:tc>
        <w:tc>
          <w:tcPr>
            <w:tcW w:w="2445" w:type="dxa"/>
            <w:gridSpan w:val="2"/>
          </w:tcPr>
          <w:p w:rsidR="00547E7E" w:rsidRPr="00075492" w:rsidRDefault="00547E7E">
            <w:pPr>
              <w:pStyle w:val="UtskriftsdatumSida1"/>
              <w:rPr>
                <w:b/>
                <w:sz w:val="28"/>
              </w:rPr>
            </w:pPr>
          </w:p>
        </w:tc>
        <w:tc>
          <w:tcPr>
            <w:tcW w:w="992" w:type="dxa"/>
          </w:tcPr>
          <w:p w:rsidR="00547E7E" w:rsidRPr="00075492" w:rsidRDefault="00547E7E"/>
        </w:tc>
      </w:tr>
      <w:tr w:rsidR="00000000" w:rsidRPr="00075492">
        <w:tblPrEx>
          <w:tblCellMar>
            <w:top w:w="0" w:type="dxa"/>
            <w:bottom w:w="0" w:type="dxa"/>
          </w:tblCellMar>
        </w:tblPrEx>
        <w:trPr>
          <w:gridAfter w:val="1"/>
          <w:wAfter w:w="851" w:type="dxa"/>
          <w:cantSplit/>
        </w:trPr>
        <w:tc>
          <w:tcPr>
            <w:tcW w:w="6449" w:type="dxa"/>
            <w:gridSpan w:val="4"/>
          </w:tcPr>
          <w:p w:rsidR="00547E7E" w:rsidRPr="00075492" w:rsidRDefault="00547E7E">
            <w:pPr>
              <w:spacing w:before="240"/>
            </w:pPr>
          </w:p>
        </w:tc>
      </w:tr>
      <w:tr w:rsidR="00000000" w:rsidRPr="00075492">
        <w:tblPrEx>
          <w:tblCellMar>
            <w:top w:w="0" w:type="dxa"/>
            <w:bottom w:w="0" w:type="dxa"/>
          </w:tblCellMar>
        </w:tblPrEx>
        <w:trPr>
          <w:gridAfter w:val="1"/>
          <w:wAfter w:w="851" w:type="dxa"/>
          <w:cantSplit/>
          <w:trHeight w:val="6000"/>
        </w:trPr>
        <w:tc>
          <w:tcPr>
            <w:tcW w:w="6449" w:type="dxa"/>
            <w:gridSpan w:val="4"/>
          </w:tcPr>
          <w:p w:rsidR="00547E7E" w:rsidRPr="00075492" w:rsidRDefault="00547E7E">
            <w:pPr>
              <w:pStyle w:val="RubrikFrstaSida"/>
              <w:ind w:left="0" w:firstLine="0"/>
            </w:pPr>
            <w:bookmarkStart w:id="50" w:name="Mittenrubrik"/>
            <w:bookmarkEnd w:id="50"/>
            <w:r w:rsidRPr="00075492">
              <w:t>Hur styr staten livsmedelstillsynen?</w:t>
            </w:r>
          </w:p>
        </w:tc>
      </w:tr>
      <w:tr w:rsidR="00000000" w:rsidRPr="00075492">
        <w:tblPrEx>
          <w:tblCellMar>
            <w:top w:w="0" w:type="dxa"/>
            <w:bottom w:w="0" w:type="dxa"/>
          </w:tblCellMar>
        </w:tblPrEx>
        <w:trPr>
          <w:cantSplit/>
          <w:trHeight w:val="480"/>
        </w:trPr>
        <w:tc>
          <w:tcPr>
            <w:tcW w:w="7300" w:type="dxa"/>
            <w:gridSpan w:val="5"/>
          </w:tcPr>
          <w:p w:rsidR="00547E7E" w:rsidRPr="00075492" w:rsidRDefault="00547E7E">
            <w:pPr>
              <w:pStyle w:val="Sidfot"/>
              <w:spacing w:before="1560" w:line="240" w:lineRule="auto"/>
              <w:jc w:val="left"/>
              <w:rPr>
                <w:rFonts w:ascii="GillSans Light" w:hAnsi="GillSans Light"/>
                <w:caps/>
                <w:spacing w:val="10"/>
                <w:sz w:val="17"/>
              </w:rPr>
            </w:pPr>
            <w:r w:rsidRPr="00075492">
              <w:rPr>
                <w:rFonts w:ascii="GillSans Light" w:hAnsi="GillSans Light"/>
                <w:caps/>
                <w:spacing w:val="10"/>
                <w:sz w:val="17"/>
              </w:rPr>
              <w:t>Riksdagens revisorer · 100 12 STOCKHOLM · TEL 08-786 40 00 · fax 08-786 61 88</w:t>
            </w:r>
          </w:p>
          <w:p w:rsidR="00547E7E" w:rsidRPr="00075492" w:rsidRDefault="00547E7E">
            <w:pPr>
              <w:spacing w:before="0" w:line="240" w:lineRule="auto"/>
              <w:rPr>
                <w:rFonts w:ascii="GillSans Light" w:hAnsi="GillSans Light"/>
                <w:spacing w:val="10"/>
              </w:rPr>
            </w:pPr>
            <w:r w:rsidRPr="00075492">
              <w:t>www.riksdagen.se/rr</w:t>
            </w:r>
          </w:p>
        </w:tc>
      </w:tr>
    </w:tbl>
    <w:p w:rsidR="00547E7E" w:rsidRPr="00075492" w:rsidRDefault="00547E7E"/>
    <w:p w:rsidR="00547E7E" w:rsidRPr="00075492" w:rsidRDefault="00547E7E">
      <w:pPr>
        <w:pStyle w:val="Rubrik1-Utannumrering"/>
        <w:sectPr w:rsidR="00000000" w:rsidRPr="00075492">
          <w:headerReference w:type="default" r:id="rId11"/>
          <w:footerReference w:type="default" r:id="rId12"/>
          <w:type w:val="oddPage"/>
          <w:pgSz w:w="11906" w:h="16838" w:code="9"/>
          <w:pgMar w:top="567" w:right="4876" w:bottom="4508" w:left="1134" w:header="227" w:footer="227" w:gutter="0"/>
          <w:cols w:space="720"/>
        </w:sectPr>
      </w:pPr>
      <w:bookmarkStart w:id="51" w:name="_Toc84548"/>
    </w:p>
    <w:p w:rsidR="00547E7E" w:rsidRPr="00075492" w:rsidRDefault="00547E7E">
      <w:pPr>
        <w:pStyle w:val="Rubrik1-Utannumrering"/>
      </w:pPr>
      <w:bookmarkStart w:id="52" w:name="_Toc6634512"/>
      <w:bookmarkStart w:id="53" w:name="_Toc6637094"/>
      <w:r w:rsidRPr="00075492">
        <w:lastRenderedPageBreak/>
        <w:t>Förord</w:t>
      </w:r>
      <w:bookmarkEnd w:id="51"/>
      <w:bookmarkEnd w:id="52"/>
      <w:bookmarkEnd w:id="53"/>
    </w:p>
    <w:p w:rsidR="00547E7E" w:rsidRPr="00075492" w:rsidRDefault="00547E7E">
      <w:r w:rsidRPr="00075492">
        <w:t>Riksdagens revisorer har efter förslag från finansutskottet inlett en grans</w:t>
      </w:r>
      <w:r w:rsidRPr="00075492">
        <w:t>k</w:t>
      </w:r>
      <w:r w:rsidRPr="00075492">
        <w:t>ning av statens styrning av verksamheter som bedrivs i kommuner. Grans</w:t>
      </w:r>
      <w:r w:rsidRPr="00075492">
        <w:t>k</w:t>
      </w:r>
      <w:r w:rsidRPr="00075492">
        <w:t>ningen omfattar tre delar: livsmedelstillsynen, skolan och äldreomsorgen. Områdena utgör tre olika exempel på nationella politikområden med ver</w:t>
      </w:r>
      <w:r w:rsidRPr="00075492">
        <w:t>k</w:t>
      </w:r>
      <w:r w:rsidRPr="00075492">
        <w:t>samhet som utförs på kommunal nivå. I denna rapport behandlas livsm</w:t>
      </w:r>
      <w:r w:rsidRPr="00075492">
        <w:t>e</w:t>
      </w:r>
      <w:r w:rsidRPr="00075492">
        <w:t>delstillsynen. Denna granskning är samtidigt en uppföljning av revisorernas tidigare granskning av livsmedelstillsynen (1994/95:RR8).</w:t>
      </w:r>
    </w:p>
    <w:p w:rsidR="00547E7E" w:rsidRPr="00075492" w:rsidRDefault="00547E7E">
      <w:pPr>
        <w:pStyle w:val="Normaltindrag"/>
      </w:pPr>
      <w:r w:rsidRPr="00075492">
        <w:t>Revisorerna har under denna granskning löpande haft kontakter med Rik</w:t>
      </w:r>
      <w:r w:rsidRPr="00075492">
        <w:t>s</w:t>
      </w:r>
      <w:r w:rsidRPr="00075492">
        <w:t>revisionsverket, RRV, som också har genomfört en utredning som rör liv</w:t>
      </w:r>
      <w:r w:rsidRPr="00075492">
        <w:t>s</w:t>
      </w:r>
      <w:r w:rsidRPr="00075492">
        <w:t xml:space="preserve">medelstillsynen. </w:t>
      </w:r>
    </w:p>
    <w:p w:rsidR="00547E7E" w:rsidRPr="00075492" w:rsidRDefault="00547E7E">
      <w:pPr>
        <w:pStyle w:val="Normaltindrag"/>
      </w:pPr>
      <w:r w:rsidRPr="00075492">
        <w:t>En referensgrupp bestående av direktör Bo Ericsson, Livsmedelshandlar</w:t>
      </w:r>
      <w:r w:rsidRPr="00075492">
        <w:t>e</w:t>
      </w:r>
      <w:r w:rsidRPr="00075492">
        <w:t>förbundet, generaldirektör Lena Johansson, Livsmedelsekonomiska instit</w:t>
      </w:r>
      <w:r w:rsidRPr="00075492">
        <w:t>u</w:t>
      </w:r>
      <w:r w:rsidRPr="00075492">
        <w:t>tet, generalsekreterare Anders Lindström, Sveriges konsumentråd, organis</w:t>
      </w:r>
      <w:r w:rsidRPr="00075492">
        <w:t>a</w:t>
      </w:r>
      <w:r w:rsidRPr="00075492">
        <w:t>tionsdirektör Erik Lindgren, och f.d. stadsveterinär Sven Rydberg, har varit knuten till granskningen i syfte att kvalitetssäkra result</w:t>
      </w:r>
      <w:r w:rsidRPr="00075492">
        <w:t>a</w:t>
      </w:r>
      <w:r w:rsidRPr="00075492">
        <w:t xml:space="preserve">tet. </w:t>
      </w:r>
    </w:p>
    <w:p w:rsidR="00547E7E" w:rsidRPr="00075492" w:rsidRDefault="00547E7E">
      <w:pPr>
        <w:pStyle w:val="Normaltindrag"/>
      </w:pPr>
      <w:r w:rsidRPr="00075492">
        <w:t>Granskningen har bedrivits inom revisorernas andra avdelning. I andra a</w:t>
      </w:r>
      <w:r w:rsidRPr="00075492">
        <w:t>v</w:t>
      </w:r>
      <w:r w:rsidRPr="00075492">
        <w:t xml:space="preserve">delningen ingår: Per Rosengren, ordf. (v), Bengt Silfverstrand, v. ordf. (s), Margit Gensser (m), Hans Stenberg (s), Nils-Göran Holmqvist (s), Ulla Wester (s), Lennart Hedquist (m) och Rolf Olsson (v). Inom revisorernas kansli har revisionsdirektör Lena Sandström ansvarat för granskningen. I arbetet har också utredare Anders Widholm och pol.stud. Roy Melchert medverkat. </w:t>
      </w:r>
    </w:p>
    <w:p w:rsidR="00547E7E" w:rsidRPr="00075492" w:rsidRDefault="00547E7E">
      <w:pPr>
        <w:pStyle w:val="Normaltindrag"/>
      </w:pPr>
      <w:r w:rsidRPr="00075492">
        <w:t>I granskningen har även tf. utredningschef Karin Rudberg och kanslichef Åke Dahlberg delt</w:t>
      </w:r>
      <w:r w:rsidRPr="00075492">
        <w:t>a</w:t>
      </w:r>
      <w:r w:rsidRPr="00075492">
        <w:t>git.</w:t>
      </w:r>
    </w:p>
    <w:p w:rsidR="00547E7E" w:rsidRPr="00075492" w:rsidRDefault="00547E7E">
      <w:pPr>
        <w:pStyle w:val="Normaltindrag"/>
      </w:pPr>
      <w:r w:rsidRPr="00075492">
        <w:t>Beslut om rapporten har fattats av revisorerna i plenum den 13 december 2001.</w:t>
      </w:r>
    </w:p>
    <w:p w:rsidR="00547E7E" w:rsidRPr="00075492" w:rsidRDefault="00547E7E">
      <w:pPr>
        <w:pStyle w:val="Normaltindrag"/>
      </w:pPr>
      <w:r w:rsidRPr="00075492">
        <w:t>Revisorernas rapport sänds nu på remiss till berörda myndigheter och o</w:t>
      </w:r>
      <w:r w:rsidRPr="00075492">
        <w:t>r</w:t>
      </w:r>
      <w:r w:rsidRPr="00075492">
        <w:t>ganisationer samt ett antal kommuner. Därefter kommer revisorerna att u</w:t>
      </w:r>
      <w:r w:rsidRPr="00075492">
        <w:t>t</w:t>
      </w:r>
      <w:r w:rsidRPr="00075492">
        <w:t xml:space="preserve">forma sitt slutgiltiga ställningstagande i förslag till riksdagen. </w:t>
      </w:r>
    </w:p>
    <w:p w:rsidR="00547E7E" w:rsidRPr="00075492" w:rsidRDefault="00547E7E">
      <w:pPr>
        <w:pStyle w:val="Normaltindrag"/>
      </w:pPr>
      <w:r w:rsidRPr="00075492">
        <w:t>Efter att de övriga rapporterna om statens styrning har behandlats på sa</w:t>
      </w:r>
      <w:r w:rsidRPr="00075492">
        <w:t>m</w:t>
      </w:r>
      <w:r w:rsidRPr="00075492">
        <w:t>ma sätt, har revisorerna för avsikt att överlämna en samlad bedömning till riksdagen avseende statens styrning av verksa</w:t>
      </w:r>
      <w:r w:rsidRPr="00075492">
        <w:t>m</w:t>
      </w:r>
      <w:r w:rsidRPr="00075492">
        <w:t>heter i kommuner.</w:t>
      </w:r>
    </w:p>
    <w:p w:rsidR="00547E7E" w:rsidRPr="00075492" w:rsidRDefault="00547E7E">
      <w:pPr>
        <w:pStyle w:val="Rubrik1-Utannumrering"/>
        <w:sectPr w:rsidR="00000000" w:rsidRPr="00075492">
          <w:type w:val="oddPage"/>
          <w:pgSz w:w="11906" w:h="16838" w:code="9"/>
          <w:pgMar w:top="567" w:right="4876" w:bottom="4508" w:left="1134" w:header="227" w:footer="227" w:gutter="0"/>
          <w:cols w:space="720"/>
        </w:sectPr>
      </w:pPr>
      <w:bookmarkStart w:id="54" w:name="_Toc84549"/>
    </w:p>
    <w:p w:rsidR="00547E7E" w:rsidRPr="00075492" w:rsidRDefault="00547E7E">
      <w:pPr>
        <w:pStyle w:val="Rubrik1-Utannumrering"/>
      </w:pPr>
      <w:bookmarkStart w:id="55" w:name="_Toc84551"/>
      <w:bookmarkStart w:id="56" w:name="_Toc6634513"/>
      <w:bookmarkStart w:id="57" w:name="_Toc6637095"/>
      <w:bookmarkEnd w:id="54"/>
      <w:r w:rsidRPr="00075492">
        <w:lastRenderedPageBreak/>
        <w:t>Sammanfattning</w:t>
      </w:r>
      <w:bookmarkEnd w:id="55"/>
      <w:bookmarkEnd w:id="56"/>
      <w:bookmarkEnd w:id="57"/>
    </w:p>
    <w:p w:rsidR="00547E7E" w:rsidRPr="00075492" w:rsidRDefault="00547E7E">
      <w:r w:rsidRPr="00075492">
        <w:t>Syftet med livsmedelslagstiftningen är att skydda konsumenternas hälsa genom att se till att livsmedlen är säkra och att sörja för redlighet i handeln. I lagstiftningen är företagens ansvar tydligt. Företagen ansvarar för att de produkter som tillverkas och saluhålls uppfyller angivna krav så att männ</w:t>
      </w:r>
      <w:r w:rsidRPr="00075492">
        <w:t>i</w:t>
      </w:r>
      <w:r w:rsidRPr="00075492">
        <w:t xml:space="preserve">skor inte blir sjuka av den mat de konsumerar. Att bryta mot reglerna är straffbart. </w:t>
      </w:r>
    </w:p>
    <w:p w:rsidR="00547E7E" w:rsidRPr="00075492" w:rsidRDefault="00547E7E">
      <w:pPr>
        <w:pStyle w:val="Normaltindrag"/>
      </w:pPr>
      <w:r w:rsidRPr="00075492">
        <w:t>Offentlig tillsyn innebär att se till att företagen följer livsmedelslagstif</w:t>
      </w:r>
      <w:r w:rsidRPr="00075492">
        <w:t>t</w:t>
      </w:r>
      <w:r w:rsidRPr="00075492">
        <w:t>ningens regler. Ansvaret för livsmedelstillsynen i Sverige är i dag delat me</w:t>
      </w:r>
      <w:r w:rsidRPr="00075492">
        <w:t>l</w:t>
      </w:r>
      <w:r w:rsidRPr="00075492">
        <w:t xml:space="preserve">lan stat och kommun. </w:t>
      </w:r>
    </w:p>
    <w:p w:rsidR="00547E7E" w:rsidRPr="00075492" w:rsidRDefault="00547E7E">
      <w:pPr>
        <w:pStyle w:val="Normaltindrag"/>
      </w:pPr>
      <w:r w:rsidRPr="00075492">
        <w:t>Denna rapport behandlar den offentliga livsmedelstillsynen med särskild inriktning på statens styrning av den kommunala tillsynen. Rapporten är samtidigt en uppföljning av revisorernas tidigare granskning från år 1994/95 som föranledde tillkännagivanden av riksdagen.</w:t>
      </w:r>
    </w:p>
    <w:p w:rsidR="00547E7E" w:rsidRPr="00075492" w:rsidRDefault="00547E7E">
      <w:pPr>
        <w:pStyle w:val="Normaltindrag"/>
      </w:pPr>
      <w:r w:rsidRPr="00075492">
        <w:t>Livsmedelsverket är central tillsynsmyndighet med ansvar för att leda och samordna livsmedelstillsynen.  Verket har tillsyn över ca 600 större livsm</w:t>
      </w:r>
      <w:r w:rsidRPr="00075492">
        <w:t>e</w:t>
      </w:r>
      <w:r w:rsidRPr="00075492">
        <w:t>delsanläggningar varav omkring 130 slakterier. Kommunerna har tillsynsa</w:t>
      </w:r>
      <w:r w:rsidRPr="00075492">
        <w:t>n</w:t>
      </w:r>
      <w:r w:rsidRPr="00075492">
        <w:t>svaret för närmare 99 % av livsmedelsanläggningarna, drygt 52 000 objekt. Länsstyrelserna ska ”svara för den närmare tillsynen inom länet”.</w:t>
      </w:r>
    </w:p>
    <w:p w:rsidR="00547E7E" w:rsidRPr="00075492" w:rsidRDefault="00547E7E">
      <w:pPr>
        <w:pStyle w:val="Normaltindrag"/>
      </w:pPr>
      <w:r w:rsidRPr="00075492">
        <w:t>Senast riksdagen fattade ett mer genomgripande beslut om livsmedelstil</w:t>
      </w:r>
      <w:r w:rsidRPr="00075492">
        <w:t>l</w:t>
      </w:r>
      <w:r w:rsidRPr="00075492">
        <w:t>synen var år 1989, alltså för tolv år sedan. Livsmedelstillsynen har under de senaste åren varit föremål för ett omfattande utredningsarbete som bl.a. har innefattat hur tillsynen ska finansieras och organiseras. Inga beslut har dock fattats med anledning av förslag som har lämn</w:t>
      </w:r>
      <w:r w:rsidRPr="00075492">
        <w:t>a</w:t>
      </w:r>
      <w:r w:rsidRPr="00075492">
        <w:t xml:space="preserve">ts av olika utredningar. </w:t>
      </w:r>
    </w:p>
    <w:p w:rsidR="00547E7E" w:rsidRPr="00075492" w:rsidRDefault="00547E7E">
      <w:pPr>
        <w:pStyle w:val="Normaltindrag"/>
      </w:pPr>
      <w:r w:rsidRPr="00075492">
        <w:t>Livsmedelstillsynen karakteriseras av ett omfattande regelverk och ett komplicerat finansierings- och avgiftssystem.</w:t>
      </w:r>
    </w:p>
    <w:p w:rsidR="00547E7E" w:rsidRPr="00075492" w:rsidRDefault="00547E7E">
      <w:pPr>
        <w:rPr>
          <w:b/>
        </w:rPr>
      </w:pPr>
      <w:r w:rsidRPr="00075492">
        <w:rPr>
          <w:b/>
        </w:rPr>
        <w:t>Regelverket</w:t>
      </w:r>
    </w:p>
    <w:p w:rsidR="00547E7E" w:rsidRPr="00075492" w:rsidRDefault="00547E7E">
      <w:r w:rsidRPr="00075492">
        <w:t xml:space="preserve">Den svenska lagstiftningen inom livsmedelsområdet är i mycket hög grad harmoniserad med EU:s lagstiftning. EU:s regelverk fastställer hur kontroller bör gå till och vad som ska kontrolleras. Däremot råder en betydande frihet vad gäller organisation och finansiering på nationell nivå. </w:t>
      </w:r>
    </w:p>
    <w:p w:rsidR="00547E7E" w:rsidRPr="00075492" w:rsidRDefault="00547E7E">
      <w:pPr>
        <w:pStyle w:val="Normaltindrag"/>
      </w:pPr>
      <w:r w:rsidRPr="00075492">
        <w:t xml:space="preserve">EU:s regelverk om livsmedelstillsynen är omfattande, komplicerat och svårt att överblicka. Information om lagstiftningen är i vissa fall bristfällig och ofullständig. Detta avser särskilt förordningar som gäller direkt i lag. Det saknas en komplett förteckning av gällande förordningar. </w:t>
      </w:r>
    </w:p>
    <w:p w:rsidR="00547E7E" w:rsidRPr="00075492" w:rsidRDefault="00547E7E">
      <w:pPr>
        <w:pStyle w:val="Normaltindrag"/>
        <w:ind w:right="84"/>
      </w:pPr>
      <w:r w:rsidRPr="00075492">
        <w:t>Kontroll av livsmedel regleras i livsmedelslagen och livsmedelsföror</w:t>
      </w:r>
      <w:r w:rsidRPr="00075492">
        <w:t>d</w:t>
      </w:r>
      <w:r w:rsidRPr="00075492">
        <w:t>ningen. Regelmängden är mycket stor. Exempelvis har Livsmedelsverket utfärdat mer än 100 förskrifter inom området. Föreskrifterna omfattar o</w:t>
      </w:r>
      <w:r w:rsidRPr="00075492">
        <w:t>m</w:t>
      </w:r>
      <w:r w:rsidRPr="00075492">
        <w:t xml:space="preserve">kring 1 500 sidor. </w:t>
      </w:r>
    </w:p>
    <w:p w:rsidR="00547E7E" w:rsidRPr="00075492" w:rsidRDefault="00547E7E">
      <w:pPr>
        <w:rPr>
          <w:b/>
        </w:rPr>
      </w:pPr>
      <w:r w:rsidRPr="00075492">
        <w:rPr>
          <w:b/>
        </w:rPr>
        <w:t>EU:s utvärderingar</w:t>
      </w:r>
    </w:p>
    <w:p w:rsidR="00547E7E" w:rsidRPr="00075492" w:rsidRDefault="00547E7E">
      <w:r w:rsidRPr="00075492">
        <w:t xml:space="preserve">Europeiska kommissionen övervakar efterlevnaden av lagstiftningen genom kommissionens utvärderingar. Resultatet av utvärderingar av den svenska livsmedelstillsynen visar att både Livsmedelsverkets och kommunernas tillsyn har brister vad gäller tillsynsfrekvens, tillvägagångssätt och resurser. </w:t>
      </w:r>
    </w:p>
    <w:p w:rsidR="00547E7E" w:rsidRPr="00075492" w:rsidRDefault="00547E7E">
      <w:pPr>
        <w:pStyle w:val="Normaltindrag"/>
        <w:ind w:right="84"/>
      </w:pPr>
      <w:r w:rsidRPr="00075492">
        <w:lastRenderedPageBreak/>
        <w:t>Kommissionen anser att orsaken till variationen i kommunernas tillsyn</w:t>
      </w:r>
      <w:r w:rsidRPr="00075492">
        <w:t>s</w:t>
      </w:r>
      <w:r w:rsidRPr="00075492">
        <w:t>verksamhet bl.a. består i bristande styrning av Livsmedelsverket. Verket får också kritik för styrningen av den egna tillsynen inom besiktningsveter</w:t>
      </w:r>
      <w:r w:rsidRPr="00075492">
        <w:t>i</w:t>
      </w:r>
      <w:r w:rsidRPr="00075492">
        <w:t>närsorgan</w:t>
      </w:r>
      <w:r w:rsidRPr="00075492">
        <w:t>i</w:t>
      </w:r>
      <w:r w:rsidRPr="00075492">
        <w:t xml:space="preserve">sationen. </w:t>
      </w:r>
    </w:p>
    <w:p w:rsidR="00547E7E" w:rsidRPr="00075492" w:rsidRDefault="00547E7E">
      <w:pPr>
        <w:rPr>
          <w:b/>
        </w:rPr>
      </w:pPr>
      <w:r w:rsidRPr="00075492">
        <w:rPr>
          <w:b/>
        </w:rPr>
        <w:t xml:space="preserve">Finansiering och kostnader </w:t>
      </w:r>
    </w:p>
    <w:p w:rsidR="00547E7E" w:rsidRPr="00075492" w:rsidRDefault="00547E7E">
      <w:r w:rsidRPr="00075492">
        <w:t>Livsmedelstillsynen i Sverige finansieras genom skatter och avgifter. I rik</w:t>
      </w:r>
      <w:r w:rsidRPr="00075492">
        <w:t>s</w:t>
      </w:r>
      <w:r w:rsidRPr="00075492">
        <w:t>dagens beslut saknades principiella överväganden om vad som skulle fina</w:t>
      </w:r>
      <w:r w:rsidRPr="00075492">
        <w:t>n</w:t>
      </w:r>
      <w:r w:rsidRPr="00075492">
        <w:t>sieras via avgifter och via skatt. Enligt 1989 års riksdagsbeslut ska 15 % av kommunernas avgiftsintäkter från den årliga tillsynsavgiften överföras till Livsm</w:t>
      </w:r>
      <w:r w:rsidRPr="00075492">
        <w:t>e</w:t>
      </w:r>
      <w:r w:rsidRPr="00075492">
        <w:t xml:space="preserve">delsverket. </w:t>
      </w:r>
    </w:p>
    <w:p w:rsidR="00547E7E" w:rsidRPr="00075492" w:rsidRDefault="00547E7E">
      <w:pPr>
        <w:pStyle w:val="Normaltindrag"/>
      </w:pPr>
      <w:r w:rsidRPr="00075492">
        <w:t>Vid sin tidigare granskning riktade revisorerna kritik mot avgiftssystemet. Därefter har flera utredningar genomförts och olika förslag har lämnats. I utredningen om livsmedelstillsynen i Sverige föreslogs att finansieringen i huvudsak skulle baseras på avgifter. Fö</w:t>
      </w:r>
      <w:r w:rsidRPr="00075492">
        <w:t>rslaget grundades på en principiell genomgång om vilka uppgifter som skulle finansieras via skatt och via a</w:t>
      </w:r>
      <w:r w:rsidRPr="00075492">
        <w:t>v</w:t>
      </w:r>
      <w:r w:rsidRPr="00075492">
        <w:t>gifter.</w:t>
      </w:r>
    </w:p>
    <w:p w:rsidR="00547E7E" w:rsidRPr="00075492" w:rsidRDefault="00547E7E">
      <w:pPr>
        <w:pStyle w:val="Normaltindrag"/>
      </w:pPr>
      <w:r w:rsidRPr="00075492">
        <w:t xml:space="preserve">Livsmedelsverket har lämnat förslag om en i huvudsak anslagsfinansierad tillsyn. </w:t>
      </w:r>
    </w:p>
    <w:p w:rsidR="00547E7E" w:rsidRPr="00075492" w:rsidRDefault="00547E7E">
      <w:pPr>
        <w:pStyle w:val="Normaltindrag"/>
      </w:pPr>
      <w:r w:rsidRPr="00075492">
        <w:t>Revisorernas tidigare kritik av finansierings- och avgiftssystemet äger for</w:t>
      </w:r>
      <w:r w:rsidRPr="00075492">
        <w:t>t</w:t>
      </w:r>
      <w:r w:rsidRPr="00075492">
        <w:t>farande stor giltighet. I denna granskning har en relativt noggrann geno</w:t>
      </w:r>
      <w:r w:rsidRPr="00075492">
        <w:t>m</w:t>
      </w:r>
      <w:r w:rsidRPr="00075492">
        <w:t>gång av systemet genomförts. Detta har dock inte skapat någon större kla</w:t>
      </w:r>
      <w:r w:rsidRPr="00075492">
        <w:t>r</w:t>
      </w:r>
      <w:r w:rsidRPr="00075492">
        <w:t xml:space="preserve">het. </w:t>
      </w:r>
    </w:p>
    <w:p w:rsidR="00547E7E" w:rsidRPr="00075492" w:rsidRDefault="00547E7E">
      <w:pPr>
        <w:pStyle w:val="Normaltindrag"/>
        <w:ind w:right="84"/>
      </w:pPr>
      <w:r w:rsidRPr="00075492">
        <w:t>Nuvarande avgiftssystem är mycket komplicerat. Livsmedelsverket b</w:t>
      </w:r>
      <w:r w:rsidRPr="00075492">
        <w:t>e</w:t>
      </w:r>
      <w:r w:rsidRPr="00075492">
        <w:t>stämmer avgifternas storlek med vissa undantag. Totalt finns 14 olika a</w:t>
      </w:r>
      <w:r w:rsidRPr="00075492">
        <w:t>v</w:t>
      </w:r>
      <w:r w:rsidRPr="00075492">
        <w:t>gifter. Vissa avser prövning av tillstånd. Andra utgår för olika verksamheter med varierande avgiftsuttag utifrån olika principer. I vissa fall eftersträvas full kostnadstäckning för tillsynen medan tillsynen i andra fall skattefina</w:t>
      </w:r>
      <w:r w:rsidRPr="00075492">
        <w:t>n</w:t>
      </w:r>
      <w:r w:rsidRPr="00075492">
        <w:t xml:space="preserve">sieras. </w:t>
      </w:r>
    </w:p>
    <w:p w:rsidR="00547E7E" w:rsidRPr="00075492" w:rsidRDefault="00547E7E">
      <w:pPr>
        <w:pStyle w:val="Normaltindrag"/>
        <w:ind w:right="84"/>
      </w:pPr>
      <w:r w:rsidRPr="00075492">
        <w:t>Betydande negativa effekter av avgiftssystemet har redovisats för såväl företag som tillsynsmyndigheter. Den nuvarande avgiftsfinansieringen ger inte företag tillräckliga incitament att följa gälla</w:t>
      </w:r>
      <w:r w:rsidRPr="00075492">
        <w:t>nde regelverk och kan inte heller garantera att myndigheterna får de resurser som tillsynsbehoven kr</w:t>
      </w:r>
      <w:r w:rsidRPr="00075492">
        <w:t>ä</w:t>
      </w:r>
      <w:r w:rsidRPr="00075492">
        <w:t>ver.</w:t>
      </w:r>
    </w:p>
    <w:p w:rsidR="00547E7E" w:rsidRPr="00075492" w:rsidRDefault="00547E7E">
      <w:pPr>
        <w:pStyle w:val="Normaltindrag"/>
        <w:ind w:right="84"/>
      </w:pPr>
      <w:r w:rsidRPr="00075492">
        <w:t>Redovisningen av kostnader för livsmedelstillsynen är bristfällig. Särskilt kommunernas kostnader är varierande och osäkra.</w:t>
      </w:r>
    </w:p>
    <w:p w:rsidR="00547E7E" w:rsidRPr="00075492" w:rsidRDefault="00547E7E">
      <w:pPr>
        <w:rPr>
          <w:b/>
        </w:rPr>
      </w:pPr>
      <w:r w:rsidRPr="00075492">
        <w:rPr>
          <w:b/>
        </w:rPr>
        <w:t>Företagens ansvar</w:t>
      </w:r>
    </w:p>
    <w:p w:rsidR="00547E7E" w:rsidRPr="00075492" w:rsidRDefault="00547E7E">
      <w:r w:rsidRPr="00075492">
        <w:t>Företagens ansvar är mycket tydligt i lagstiftningen. Grundläggande krav måste uppfyllas för att livsmedel ska få hanteras för försäljning och i sto</w:t>
      </w:r>
      <w:r w:rsidRPr="00075492">
        <w:t>r</w:t>
      </w:r>
      <w:r w:rsidRPr="00075492">
        <w:t>hushåll. Det finns bl.a. krav på att företagen ska utföra kontroller och uta</w:t>
      </w:r>
      <w:r w:rsidRPr="00075492">
        <w:t>r</w:t>
      </w:r>
      <w:r w:rsidRPr="00075492">
        <w:t xml:space="preserve">beta s.k. egenkontrollprogram. Företagens egenkontrollprogram ska sedan fastställas av tillsynsmyndigheten. Det sistnämnda kravet har kritiserats bl.a. för att det kan leda till otydlighet om företagens ansvar. </w:t>
      </w:r>
    </w:p>
    <w:p w:rsidR="00547E7E" w:rsidRPr="00075492" w:rsidRDefault="00547E7E">
      <w:pPr>
        <w:rPr>
          <w:b/>
        </w:rPr>
      </w:pPr>
      <w:r w:rsidRPr="00075492">
        <w:rPr>
          <w:b/>
        </w:rPr>
        <w:br/>
        <w:t xml:space="preserve">Livsmedelsverkets styrning av den kommunala tillsynen </w:t>
      </w:r>
    </w:p>
    <w:p w:rsidR="00547E7E" w:rsidRPr="00075492" w:rsidRDefault="00547E7E">
      <w:r w:rsidRPr="00075492">
        <w:lastRenderedPageBreak/>
        <w:t xml:space="preserve">Regeringen har lämnat långtgående befogenheter till Livsmedelsverket att leda och samordna den kommunala tillsynsverksamheten. Livsmedelsverket använder i mycket begränsad utsträckning de möjligheter som regeringen har delegerat till verket. </w:t>
      </w:r>
    </w:p>
    <w:p w:rsidR="00547E7E" w:rsidRPr="00075492" w:rsidRDefault="00547E7E">
      <w:pPr>
        <w:pStyle w:val="Normaltindrag"/>
      </w:pPr>
      <w:r w:rsidRPr="00075492">
        <w:t>Livsmedelsverket kan återta tillsynsansvar för anläggningar som står under kommunal tillsyn. Verket har dock aldrig använt denna möjlighet vid ko</w:t>
      </w:r>
      <w:r w:rsidRPr="00075492">
        <w:t>n</w:t>
      </w:r>
      <w:r w:rsidRPr="00075492">
        <w:t>staterade brister i den kommunala tillsynen.</w:t>
      </w:r>
    </w:p>
    <w:p w:rsidR="00547E7E" w:rsidRPr="00075492" w:rsidRDefault="00547E7E">
      <w:pPr>
        <w:pStyle w:val="Normaltindrag"/>
      </w:pPr>
      <w:r w:rsidRPr="00075492">
        <w:t>Livsmedelsverket har också rätt att utföra s.k. normerande inspektioner i kommunerna. Denna verksamhet har minskat betydligt de senaste åren trots att regeringen har beviljat extra anslagsmedel som bl.a. skulle användas tills sådana inspektioner. Efter en inspektion kan verket begära yttrande från den berörda kommunen med anledning av uppmärksammade brister. Detta för</w:t>
      </w:r>
      <w:r w:rsidRPr="00075492">
        <w:t>e</w:t>
      </w:r>
      <w:r w:rsidRPr="00075492">
        <w:t xml:space="preserve">kommer dock sällan. </w:t>
      </w:r>
    </w:p>
    <w:p w:rsidR="00547E7E" w:rsidRPr="00075492" w:rsidRDefault="00547E7E">
      <w:pPr>
        <w:pStyle w:val="Normaltindrag"/>
      </w:pPr>
      <w:r w:rsidRPr="00075492">
        <w:t>Livsmedelsverkets styrning och samordning av de kommunala tillsyn</w:t>
      </w:r>
      <w:r w:rsidRPr="00075492">
        <w:t>s</w:t>
      </w:r>
      <w:r w:rsidRPr="00075492">
        <w:t>myndigheterna kan därmed förbättras inom verkets nuv</w:t>
      </w:r>
      <w:r w:rsidRPr="00075492">
        <w:t>a</w:t>
      </w:r>
      <w:r w:rsidRPr="00075492">
        <w:t xml:space="preserve">rande mandat. </w:t>
      </w:r>
    </w:p>
    <w:p w:rsidR="00547E7E" w:rsidRPr="00075492" w:rsidRDefault="00547E7E">
      <w:pPr>
        <w:rPr>
          <w:b/>
        </w:rPr>
      </w:pPr>
      <w:r w:rsidRPr="00075492">
        <w:rPr>
          <w:b/>
        </w:rPr>
        <w:t>Rapportering och rapporteringsordning</w:t>
      </w:r>
    </w:p>
    <w:p w:rsidR="00547E7E" w:rsidRPr="00075492" w:rsidRDefault="00547E7E">
      <w:r w:rsidRPr="00075492">
        <w:t>Kommunerna rapporterar årligen om livsmedelstillsynen till Livsmedelsve</w:t>
      </w:r>
      <w:r w:rsidRPr="00075492">
        <w:t>r</w:t>
      </w:r>
      <w:r w:rsidRPr="00075492">
        <w:t>ket som sammanställer och publicerar uppgifterna. Regeringen tar del av denna rapportering.</w:t>
      </w:r>
    </w:p>
    <w:p w:rsidR="00547E7E" w:rsidRPr="00075492" w:rsidRDefault="00547E7E">
      <w:pPr>
        <w:pStyle w:val="Normaltindrag"/>
      </w:pPr>
      <w:r w:rsidRPr="00075492">
        <w:t>Livsmedelsverket och länsstyrelserna lämnar i sina årsredovisningar en r</w:t>
      </w:r>
      <w:r w:rsidRPr="00075492">
        <w:t>e</w:t>
      </w:r>
      <w:r w:rsidRPr="00075492">
        <w:t>dogörelse för kommunernas tillsyn. Livsmedelsverket har under ett antal år rapporterat till regeringen att livsmedelstillsynen i kommunerna har minskat i omfattning. Med undantag för lämnade utredningsuppdrag har regeringen inte vidtagit några åtgärder med anledning av redovisnin</w:t>
      </w:r>
      <w:r w:rsidRPr="00075492">
        <w:t>g</w:t>
      </w:r>
      <w:r w:rsidRPr="00075492">
        <w:t xml:space="preserve">arna. </w:t>
      </w:r>
    </w:p>
    <w:p w:rsidR="00547E7E" w:rsidRPr="00075492" w:rsidRDefault="00547E7E">
      <w:pPr>
        <w:pStyle w:val="Normaltindrag"/>
      </w:pPr>
      <w:r w:rsidRPr="00075492">
        <w:t>Riksdagen får en mycket begränsad information om livsmedelstillsynen i Sverige. I budgetpropositionen saknas t.ex. en result</w:t>
      </w:r>
      <w:r w:rsidRPr="00075492">
        <w:t>a</w:t>
      </w:r>
      <w:r w:rsidRPr="00075492">
        <w:t>tinriktad rapportering.</w:t>
      </w:r>
    </w:p>
    <w:p w:rsidR="00547E7E" w:rsidRPr="00075492" w:rsidRDefault="00547E7E">
      <w:pPr>
        <w:pStyle w:val="Normaltindrag"/>
      </w:pPr>
      <w:r w:rsidRPr="00075492">
        <w:t xml:space="preserve">Det finns brister i kommunernas rapportering om livsmedelstillsynen, bl.a. när det gäller kostnaderna för verksamheten. </w:t>
      </w:r>
    </w:p>
    <w:p w:rsidR="00547E7E" w:rsidRPr="00075492" w:rsidRDefault="00547E7E">
      <w:pPr>
        <w:rPr>
          <w:b/>
        </w:rPr>
      </w:pPr>
      <w:r w:rsidRPr="00075492">
        <w:rPr>
          <w:b/>
        </w:rPr>
        <w:t>Revisorernas förslag</w:t>
      </w:r>
    </w:p>
    <w:p w:rsidR="00547E7E" w:rsidRPr="00075492" w:rsidRDefault="00547E7E">
      <w:r w:rsidRPr="00075492">
        <w:t>I denna granskning föreslår revisorerna ett flertal åtgärder. Den viktigaste är att reformera nuvarande finansierings- och avgiftssystem. Ett nytt system bör utformas för att skapa incitament för verksamhetsutövare att följa gällande regelverk och ge tillsynsmyndigheterna förutsättningar att anpassa sina r</w:t>
      </w:r>
      <w:r w:rsidRPr="00075492">
        <w:t>e</w:t>
      </w:r>
      <w:r w:rsidRPr="00075492">
        <w:t>surser efter behovet av tillsyn. Iakttagelser om brister i hygien och redlighet bör leda till en ökad tillsyn vars kostnader betalas av den som förorsakar den. Avgiftssystemet behöver bli enklare. Vidare bör överföringen av medel från kommunerna till Livsmedelsverket upphöra.</w:t>
      </w:r>
    </w:p>
    <w:p w:rsidR="00547E7E" w:rsidRPr="00075492" w:rsidRDefault="00547E7E">
      <w:pPr>
        <w:pStyle w:val="Normaltindrag"/>
      </w:pPr>
      <w:r w:rsidRPr="00075492">
        <w:t>Regeringen bör ta initiativ till att åstadkomma en tillförlitlig kostnadsred</w:t>
      </w:r>
      <w:r w:rsidRPr="00075492">
        <w:t>o</w:t>
      </w:r>
      <w:r w:rsidRPr="00075492">
        <w:t>vi</w:t>
      </w:r>
      <w:r w:rsidRPr="00075492">
        <w:t>s</w:t>
      </w:r>
      <w:r w:rsidRPr="00075492">
        <w:t>ning.</w:t>
      </w:r>
    </w:p>
    <w:p w:rsidR="00547E7E" w:rsidRPr="00075492" w:rsidRDefault="00547E7E">
      <w:pPr>
        <w:pStyle w:val="Normaltindrag"/>
      </w:pPr>
      <w:r w:rsidRPr="00075492">
        <w:t>Revisorerna föreslår också att regeringen vidtar ett flertal åtgärder för att förbättra informationen om livsmedelstillsynen. Man måste säkerställa en samlad redovisning av och information om EU:s förordningar inom livsm</w:t>
      </w:r>
      <w:r w:rsidRPr="00075492">
        <w:t>e</w:t>
      </w:r>
      <w:r w:rsidRPr="00075492">
        <w:t xml:space="preserve">delsområdet. Vidare föreslås att regeringen uppdrar åt Livsmedelsverket att redovisa resultat av kommissionens utvärderingar av livsmedelstillsynen i Sverige i sin årsredovisning och redovisa vilka åtgärder som har vidtagits </w:t>
      </w:r>
      <w:r w:rsidRPr="00075492">
        <w:lastRenderedPageBreak/>
        <w:t>med anledning av kommissionens kritik. Regeringen bör också lämna info</w:t>
      </w:r>
      <w:r w:rsidRPr="00075492">
        <w:t>r</w:t>
      </w:r>
      <w:r w:rsidRPr="00075492">
        <w:t>mation till riksdagen om den offentliga livsmedelstills</w:t>
      </w:r>
      <w:r w:rsidRPr="00075492">
        <w:t>y</w:t>
      </w:r>
      <w:r w:rsidRPr="00075492">
        <w:t xml:space="preserve">nen. </w:t>
      </w:r>
    </w:p>
    <w:p w:rsidR="00547E7E" w:rsidRPr="00075492" w:rsidRDefault="00547E7E">
      <w:pPr>
        <w:pStyle w:val="Normaltindrag"/>
      </w:pPr>
      <w:r w:rsidRPr="00075492">
        <w:t>För att komma till rätta med de brister som har uppmärksammats vad gäl</w:t>
      </w:r>
      <w:r w:rsidRPr="00075492">
        <w:t>l</w:t>
      </w:r>
      <w:r w:rsidRPr="00075492">
        <w:t>er kommunernas rapportering bör regeringen uppdra åt Livsmedelsverket att vidta åtgärder för att förbättra kvaliteten i kommunernas uppgifter och göra en fördjupad analys av resultatet.  Regeringen bör också utreda vilka san</w:t>
      </w:r>
      <w:r w:rsidRPr="00075492">
        <w:t>k</w:t>
      </w:r>
      <w:r w:rsidRPr="00075492">
        <w:t>tionsmöjligheter som är lämpliga att använda när kommunerna inte uppfyller rapport</w:t>
      </w:r>
      <w:r w:rsidRPr="00075492">
        <w:t>e</w:t>
      </w:r>
      <w:r w:rsidRPr="00075492">
        <w:t xml:space="preserve">ringskraven. </w:t>
      </w:r>
    </w:p>
    <w:p w:rsidR="00547E7E" w:rsidRPr="00075492" w:rsidRDefault="00547E7E">
      <w:pPr>
        <w:pStyle w:val="Normaltindrag"/>
      </w:pPr>
      <w:r w:rsidRPr="00075492">
        <w:t>Därutöver föreslår revisorerna ett antal åtgärder som syftar till att förbättra Livsmedelsverkets ledning och stöd till de kommunala tillsynsmyndighete</w:t>
      </w:r>
      <w:r w:rsidRPr="00075492">
        <w:t>r</w:t>
      </w:r>
      <w:r w:rsidRPr="00075492">
        <w:t>na. Regeringen bör uppdra åt Livsmedelsverket att intensifiera arbetet med att minska regelmängden. Vidare bör regeringen uppdra till Livsmedelsve</w:t>
      </w:r>
      <w:r w:rsidRPr="00075492">
        <w:t>r</w:t>
      </w:r>
      <w:r w:rsidRPr="00075492">
        <w:t>ket att upprätta en åtgärdsplan för att komma till rätta med konstaterade brister i den kommunala tillsynsverksamheten. Livsmedelsverket bör också underlätta för tillsynsmyndigheterna att använda befintliga sanktionsmöjli</w:t>
      </w:r>
      <w:r w:rsidRPr="00075492">
        <w:t>g</w:t>
      </w:r>
      <w:r w:rsidRPr="00075492">
        <w:t>heter samt offentliggöra resultat från inspektioner.</w:t>
      </w:r>
    </w:p>
    <w:p w:rsidR="00547E7E" w:rsidRPr="00075492" w:rsidRDefault="00547E7E">
      <w:pPr>
        <w:pStyle w:val="Normaltindrag"/>
      </w:pPr>
      <w:r w:rsidRPr="00075492">
        <w:t>Därutöver lämnar revisorerna ytterligare förslag om olika åtgärder som syftar till att ty</w:t>
      </w:r>
      <w:r w:rsidRPr="00075492">
        <w:t>dliggöra tillsynsmyndigheternas ansvar för livsmedelstillsyn.</w:t>
      </w:r>
    </w:p>
    <w:p w:rsidR="00547E7E" w:rsidRPr="00075492" w:rsidRDefault="00547E7E">
      <w:pPr>
        <w:pStyle w:val="Normaltindrag"/>
      </w:pPr>
      <w:r w:rsidRPr="00075492">
        <w:t>Revisorerna har inte funnit skäl till att överväga någon radikalt förändrad ansvarsfördelning mellan stat och kommun. Både närhetsprincipen och e</w:t>
      </w:r>
      <w:r w:rsidRPr="00075492">
        <w:t>f</w:t>
      </w:r>
      <w:r w:rsidRPr="00075492">
        <w:t>fektivitetsskäl talar för ett fortsatt kommunalt tillsynsansvar. I kombination med ett reformerat finansierings- och avgiftssystem samt en mer aktiv sty</w:t>
      </w:r>
      <w:r w:rsidRPr="00075492">
        <w:t>r</w:t>
      </w:r>
      <w:r w:rsidRPr="00075492">
        <w:t>ning och samordning från Livsmedelsverket bör förutsättningar finnas för en fullgod livsm</w:t>
      </w:r>
      <w:r w:rsidRPr="00075492">
        <w:t>e</w:t>
      </w:r>
      <w:r w:rsidRPr="00075492">
        <w:t xml:space="preserve">delstillsyn i hela landet. </w:t>
      </w:r>
    </w:p>
    <w:p w:rsidR="00547E7E" w:rsidRPr="00075492" w:rsidRDefault="00547E7E">
      <w:pPr>
        <w:pStyle w:val="Rubrik1"/>
        <w:numPr>
          <w:ilvl w:val="0"/>
          <w:numId w:val="307"/>
        </w:numPr>
      </w:pPr>
      <w:r w:rsidRPr="00075492">
        <w:br w:type="page"/>
      </w:r>
      <w:bookmarkStart w:id="58" w:name="_Toc532284443"/>
      <w:bookmarkStart w:id="59" w:name="_Toc532292003"/>
      <w:bookmarkStart w:id="60" w:name="_Toc84552"/>
      <w:bookmarkStart w:id="61" w:name="_Toc6634514"/>
      <w:bookmarkStart w:id="62" w:name="_Toc6637096"/>
      <w:r w:rsidRPr="00075492">
        <w:lastRenderedPageBreak/>
        <w:t>Bakgrund och uppläggning</w:t>
      </w:r>
      <w:bookmarkEnd w:id="58"/>
      <w:bookmarkEnd w:id="59"/>
      <w:bookmarkEnd w:id="60"/>
      <w:bookmarkEnd w:id="61"/>
      <w:bookmarkEnd w:id="62"/>
    </w:p>
    <w:p w:rsidR="00547E7E" w:rsidRPr="00075492" w:rsidRDefault="00547E7E">
      <w:pPr>
        <w:pStyle w:val="Rubrik2"/>
      </w:pPr>
      <w:bookmarkStart w:id="63" w:name="_Toc532284444"/>
      <w:bookmarkStart w:id="64" w:name="_Toc532292004"/>
      <w:bookmarkStart w:id="65" w:name="_Toc84553"/>
      <w:bookmarkStart w:id="66" w:name="_Toc6634515"/>
      <w:bookmarkStart w:id="67" w:name="_Toc6637097"/>
      <w:r w:rsidRPr="00075492">
        <w:t>Bakgrund</w:t>
      </w:r>
      <w:bookmarkEnd w:id="63"/>
      <w:bookmarkEnd w:id="64"/>
      <w:bookmarkEnd w:id="65"/>
      <w:bookmarkEnd w:id="66"/>
      <w:bookmarkEnd w:id="67"/>
    </w:p>
    <w:p w:rsidR="00547E7E" w:rsidRPr="00075492" w:rsidRDefault="00547E7E">
      <w:r w:rsidRPr="00075492">
        <w:t>Syftet med livsmedelslagstiftningen är att dels skydda konsumenternas hälsa genom att se till att livsmedlen är säkra, dels sörja för redlighet i handeln. Med redlighet menas att konsumenterna får den vara som de har rätt att förvänta sig med ledning av märkningen på produ</w:t>
      </w:r>
      <w:r w:rsidRPr="00075492">
        <w:t>k</w:t>
      </w:r>
      <w:r w:rsidRPr="00075492">
        <w:t>terna.</w:t>
      </w:r>
    </w:p>
    <w:p w:rsidR="00547E7E" w:rsidRPr="00075492" w:rsidRDefault="00547E7E">
      <w:pPr>
        <w:pStyle w:val="Normaltindrag"/>
      </w:pPr>
      <w:r w:rsidRPr="00075492">
        <w:t xml:space="preserve">I livsmedelslagstiftningen är </w:t>
      </w:r>
      <w:r w:rsidRPr="00075492">
        <w:rPr>
          <w:i/>
        </w:rPr>
        <w:t>företagens ansvar</w:t>
      </w:r>
      <w:r w:rsidRPr="00075492">
        <w:t xml:space="preserve"> mycket tydligt. Företagen ansvarar för att de produkter som tillverkas och saluhålls uppfyller angivna krav så att människor inte blir sjuka av den mat de konsumerar. Att bryta mot livsmedelslagstiftningen är straffbart. </w:t>
      </w:r>
    </w:p>
    <w:p w:rsidR="00547E7E" w:rsidRPr="00075492" w:rsidRDefault="00547E7E">
      <w:pPr>
        <w:pStyle w:val="Normaltindrag"/>
      </w:pPr>
      <w:r w:rsidRPr="00075492">
        <w:t>Offentlig kontroll eller tillsyn är väsentlig för att se till att företagen följer livsmedelslagstiftningens regler. Konsumenten kan inte alltid se på en vara vad den innehåller eller om den är otjänlig som föda. Tillsynsmyndigheternas uppgift är därför att i konsumentern</w:t>
      </w:r>
      <w:r w:rsidRPr="00075492">
        <w:t>as intresse verka för att företagen tillha</w:t>
      </w:r>
      <w:r w:rsidRPr="00075492">
        <w:t>n</w:t>
      </w:r>
      <w:r w:rsidRPr="00075492">
        <w:t>dahåller säkra livsmedel av god kvalitet och för att konsumenterna får ko</w:t>
      </w:r>
      <w:r w:rsidRPr="00075492">
        <w:t>r</w:t>
      </w:r>
      <w:r w:rsidRPr="00075492">
        <w:t xml:space="preserve">rekt information om de livsmedel som finns på marknaden. </w:t>
      </w:r>
    </w:p>
    <w:p w:rsidR="00547E7E" w:rsidRPr="00075492" w:rsidRDefault="00547E7E">
      <w:r w:rsidRPr="00075492">
        <w:t>Den samlade benämningen på myndigheters åligganden att se till att livsm</w:t>
      </w:r>
      <w:r w:rsidRPr="00075492">
        <w:t>e</w:t>
      </w:r>
      <w:r w:rsidRPr="00075492">
        <w:t>delslagstiftningen efterlevs har över tiden växlat mellan livsmedelskontroll och livsmedelstillsyn. I livsmedelslagstiftnin</w:t>
      </w:r>
      <w:r w:rsidRPr="00075492">
        <w:t>g</w:t>
      </w:r>
      <w:r w:rsidRPr="00075492">
        <w:t xml:space="preserve">en används begreppet tillsyn. </w:t>
      </w:r>
    </w:p>
    <w:p w:rsidR="00547E7E" w:rsidRPr="00075492" w:rsidRDefault="00547E7E">
      <w:r w:rsidRPr="00075492">
        <w:t>Ansvaret för den offentliga livsmedelstillsynen i Sverige är i dag delat me</w:t>
      </w:r>
      <w:r w:rsidRPr="00075492">
        <w:t>l</w:t>
      </w:r>
      <w:r w:rsidRPr="00075492">
        <w:t>lan Livsm</w:t>
      </w:r>
      <w:r w:rsidRPr="00075492">
        <w:t>e</w:t>
      </w:r>
      <w:r w:rsidRPr="00075492">
        <w:t xml:space="preserve">delsverket, länsstyrelserna och kommunerna. </w:t>
      </w:r>
    </w:p>
    <w:p w:rsidR="00547E7E" w:rsidRPr="00075492" w:rsidRDefault="00547E7E">
      <w:pPr>
        <w:pStyle w:val="Normaltindrag"/>
      </w:pPr>
      <w:r w:rsidRPr="00075492">
        <w:rPr>
          <w:i/>
        </w:rPr>
        <w:t>Livsmedelsverket</w:t>
      </w:r>
      <w:r w:rsidRPr="00075492">
        <w:t xml:space="preserve"> är central tillsynsmyndighet med ansvar för att leda och samordna livsmedelstillsynen. Verket har också tillsynsansvar för ca 600 större livsmedelsanläggningar. Däri ingår ansvaret för tillsyn av slakterier genom den s.k. besiktningsveter</w:t>
      </w:r>
      <w:r w:rsidRPr="00075492">
        <w:t>i</w:t>
      </w:r>
      <w:r w:rsidRPr="00075492">
        <w:t>närsorganisationen.</w:t>
      </w:r>
    </w:p>
    <w:p w:rsidR="00547E7E" w:rsidRPr="00075492" w:rsidRDefault="00547E7E">
      <w:pPr>
        <w:pStyle w:val="Normaltindrag"/>
      </w:pPr>
      <w:r w:rsidRPr="00075492">
        <w:rPr>
          <w:i/>
        </w:rPr>
        <w:t>Länsstyrelsen</w:t>
      </w:r>
      <w:r w:rsidRPr="00075492">
        <w:t xml:space="preserve"> ska utöva den närmare tillsynen inom länet, främst genom att följa och stödja kommunernas ver</w:t>
      </w:r>
      <w:r w:rsidRPr="00075492">
        <w:t>k</w:t>
      </w:r>
      <w:r w:rsidRPr="00075492">
        <w:t>samhet.</w:t>
      </w:r>
    </w:p>
    <w:p w:rsidR="00547E7E" w:rsidRPr="00075492" w:rsidRDefault="00547E7E">
      <w:pPr>
        <w:pStyle w:val="Normaltindrag"/>
      </w:pPr>
      <w:r w:rsidRPr="00075492">
        <w:rPr>
          <w:i/>
        </w:rPr>
        <w:t>Kommunerna</w:t>
      </w:r>
      <w:r w:rsidRPr="00075492">
        <w:t xml:space="preserve"> har tillsynsansvaret för merparten av livsmedelsanläggnin</w:t>
      </w:r>
      <w:r w:rsidRPr="00075492">
        <w:t>g</w:t>
      </w:r>
      <w:r w:rsidRPr="00075492">
        <w:t>arna, drygt 52 000 objekt.</w:t>
      </w:r>
    </w:p>
    <w:p w:rsidR="00547E7E" w:rsidRPr="00075492" w:rsidRDefault="00547E7E">
      <w:pPr>
        <w:pStyle w:val="Normaltindrag"/>
      </w:pPr>
      <w:r w:rsidRPr="00075492">
        <w:t>Jordbruksdepartementet och Livsmedelsverket anser att vi i Sverige aldrig har haft en så säker mat som vi har i dag. I Sverige har vi inte haft några större ”livsmedelsskandaler”. Någon större omfattning av matförgiftningar till följd av dålig kvalitet på livsmedel har inte rapporteras. Livsmedelsverket anser dock att matförgif</w:t>
      </w:r>
      <w:r w:rsidRPr="00075492">
        <w:t>t</w:t>
      </w:r>
      <w:r w:rsidRPr="00075492">
        <w:t xml:space="preserve">ningar är kraftigt underrapporterade. </w:t>
      </w:r>
    </w:p>
    <w:p w:rsidR="00547E7E" w:rsidRPr="00075492" w:rsidRDefault="00547E7E">
      <w:pPr>
        <w:pStyle w:val="Normaltindrag"/>
      </w:pPr>
      <w:r w:rsidRPr="00075492">
        <w:t>Livsmedelstillsynen i Sverige har varit föremål för ett omfattande utre</w:t>
      </w:r>
      <w:r w:rsidRPr="00075492">
        <w:t>d</w:t>
      </w:r>
      <w:r w:rsidRPr="00075492">
        <w:t>ningsarbete under senare år.</w:t>
      </w:r>
    </w:p>
    <w:p w:rsidR="00547E7E" w:rsidRPr="00075492" w:rsidRDefault="00547E7E">
      <w:r w:rsidRPr="00075492">
        <w:t>De utredningar som har genomförts är följande:</w:t>
      </w:r>
    </w:p>
    <w:p w:rsidR="00547E7E" w:rsidRPr="00075492" w:rsidRDefault="00547E7E">
      <w:pPr>
        <w:numPr>
          <w:ilvl w:val="0"/>
          <w:numId w:val="285"/>
        </w:numPr>
      </w:pPr>
      <w:r w:rsidRPr="00075492">
        <w:t xml:space="preserve">Riksdagens revisorers granskning av livsmedelstillsynen och förslag till riksdagen (1994/95:RR8), </w:t>
      </w:r>
    </w:p>
    <w:p w:rsidR="00547E7E" w:rsidRPr="00075492" w:rsidRDefault="00547E7E">
      <w:pPr>
        <w:numPr>
          <w:ilvl w:val="0"/>
          <w:numId w:val="286"/>
        </w:numPr>
      </w:pPr>
      <w:r w:rsidRPr="00075492">
        <w:t>Utredningen om livsmedelstillsynen i Sverige (SOU 1998:61),</w:t>
      </w:r>
    </w:p>
    <w:p w:rsidR="00547E7E" w:rsidRPr="00075492" w:rsidRDefault="00547E7E">
      <w:pPr>
        <w:numPr>
          <w:ilvl w:val="0"/>
          <w:numId w:val="287"/>
        </w:numPr>
      </w:pPr>
      <w:r w:rsidRPr="00075492">
        <w:t>Livsmedelsverkets rapport 9 – 2000 Effektivare livsmedelstillsyn – förslag till arbetssätt, organisation och finansiering, samt</w:t>
      </w:r>
    </w:p>
    <w:p w:rsidR="00547E7E" w:rsidRPr="00075492" w:rsidRDefault="00547E7E">
      <w:pPr>
        <w:numPr>
          <w:ilvl w:val="0"/>
          <w:numId w:val="288"/>
        </w:numPr>
      </w:pPr>
      <w:r w:rsidRPr="00075492">
        <w:lastRenderedPageBreak/>
        <w:t xml:space="preserve">RRV:s rapport 2001:33, Livsmedelsverkets stöd till den kommunala livsmedelstillsynen. </w:t>
      </w:r>
    </w:p>
    <w:p w:rsidR="00547E7E" w:rsidRPr="00075492" w:rsidRDefault="00547E7E">
      <w:r w:rsidRPr="00075492">
        <w:t>De problem som har uppmärksammas inom den kommunala livsmedelstil</w:t>
      </w:r>
      <w:r w:rsidRPr="00075492">
        <w:t>l</w:t>
      </w:r>
      <w:r w:rsidRPr="00075492">
        <w:t>synen är bl.a. följande:</w:t>
      </w:r>
    </w:p>
    <w:p w:rsidR="00547E7E" w:rsidRPr="00075492" w:rsidRDefault="00547E7E">
      <w:pPr>
        <w:numPr>
          <w:ilvl w:val="0"/>
          <w:numId w:val="182"/>
        </w:numPr>
      </w:pPr>
      <w:r w:rsidRPr="00075492">
        <w:t xml:space="preserve">de kommunala myndigheternas tillsynsaktiviteter har minskat, </w:t>
      </w:r>
    </w:p>
    <w:p w:rsidR="00547E7E" w:rsidRPr="00075492" w:rsidRDefault="00547E7E">
      <w:pPr>
        <w:numPr>
          <w:ilvl w:val="0"/>
          <w:numId w:val="189"/>
        </w:numPr>
      </w:pPr>
      <w:r w:rsidRPr="00075492">
        <w:t>tillsynen varierar mellan olika kommuner,</w:t>
      </w:r>
    </w:p>
    <w:p w:rsidR="00547E7E" w:rsidRPr="00075492" w:rsidRDefault="00547E7E">
      <w:pPr>
        <w:numPr>
          <w:ilvl w:val="0"/>
          <w:numId w:val="184"/>
        </w:numPr>
      </w:pPr>
      <w:r w:rsidRPr="00075492">
        <w:t>de ekonomiska incitamenten för att vidta åtgärder vid uppmärksammade brister är inte tillräckliga för verksamhet</w:t>
      </w:r>
      <w:r w:rsidRPr="00075492">
        <w:t>s</w:t>
      </w:r>
      <w:r w:rsidRPr="00075492">
        <w:t>utövaren,</w:t>
      </w:r>
    </w:p>
    <w:p w:rsidR="00547E7E" w:rsidRPr="00075492" w:rsidRDefault="00547E7E">
      <w:pPr>
        <w:numPr>
          <w:ilvl w:val="0"/>
          <w:numId w:val="185"/>
        </w:numPr>
      </w:pPr>
      <w:r w:rsidRPr="00075492">
        <w:t>det finns stora brister vad gäller märkning av produkter,</w:t>
      </w:r>
    </w:p>
    <w:p w:rsidR="00547E7E" w:rsidRPr="00075492" w:rsidRDefault="00547E7E">
      <w:pPr>
        <w:numPr>
          <w:ilvl w:val="0"/>
          <w:numId w:val="186"/>
        </w:numPr>
      </w:pPr>
      <w:r w:rsidRPr="00075492">
        <w:t>de lokala tillsynsmyndigheterna har bristande resurser och kompetens,</w:t>
      </w:r>
    </w:p>
    <w:p w:rsidR="00547E7E" w:rsidRPr="00075492" w:rsidRDefault="00547E7E">
      <w:pPr>
        <w:numPr>
          <w:ilvl w:val="0"/>
          <w:numId w:val="187"/>
        </w:numPr>
      </w:pPr>
      <w:r w:rsidRPr="00075492">
        <w:t>utbildningsnivån är låg hos personal som hanterar livsmedel,</w:t>
      </w:r>
    </w:p>
    <w:p w:rsidR="00547E7E" w:rsidRPr="00075492" w:rsidRDefault="00547E7E">
      <w:pPr>
        <w:numPr>
          <w:ilvl w:val="0"/>
          <w:numId w:val="188"/>
        </w:numPr>
      </w:pPr>
      <w:r w:rsidRPr="00075492">
        <w:t xml:space="preserve">nya livsmedelsprodukter utvecklas och alltmer beredning sker i butik. </w:t>
      </w:r>
    </w:p>
    <w:p w:rsidR="00547E7E" w:rsidRPr="00075492" w:rsidRDefault="00547E7E">
      <w:r w:rsidRPr="00075492">
        <w:t xml:space="preserve">Hur eventuella brister ska åtgärdas har inte diskuterats i samma omfattning som frågan om vem som ska svara för livsmedelstillsynen. Frågan om hur tillsynen ska finansieras har också varit mycket omdiskuterad. </w:t>
      </w:r>
    </w:p>
    <w:p w:rsidR="00547E7E" w:rsidRPr="00075492" w:rsidRDefault="00547E7E">
      <w:pPr>
        <w:pStyle w:val="Normaltindrag"/>
      </w:pPr>
      <w:r w:rsidRPr="00075492">
        <w:t>Utredningen om livsmedelstillsynen i Sverige föreslog år 1998 att nuv</w:t>
      </w:r>
      <w:r w:rsidRPr="00075492">
        <w:t>a</w:t>
      </w:r>
      <w:r w:rsidRPr="00075492">
        <w:t>rande ansvarsfördelning mellan stat och kommun skulle bestå, men att län</w:t>
      </w:r>
      <w:r w:rsidRPr="00075492">
        <w:t>s</w:t>
      </w:r>
      <w:r w:rsidRPr="00075492">
        <w:t>styrelsernas uppgifter skulle utgå. Livsmedelsverket har föreslagit att den kommunala tillsynen skulle förstatligas inom Livsmedelsverket. Länsstyre</w:t>
      </w:r>
      <w:r w:rsidRPr="00075492">
        <w:t>l</w:t>
      </w:r>
      <w:r w:rsidRPr="00075492">
        <w:t>serna har under hösten 2001 lämnat ett förslag om att livsmedelstillsynen ska överföras till staten inom länsstyrelseorganis</w:t>
      </w:r>
      <w:r w:rsidRPr="00075492">
        <w:t>a</w:t>
      </w:r>
      <w:r w:rsidRPr="00075492">
        <w:t>tionen</w:t>
      </w:r>
      <w:r w:rsidRPr="00075492">
        <w:rPr>
          <w:rStyle w:val="Fotnotsreferens"/>
        </w:rPr>
        <w:footnoteReference w:id="1"/>
      </w:r>
      <w:r w:rsidRPr="00075492">
        <w:t>.</w:t>
      </w:r>
    </w:p>
    <w:p w:rsidR="00547E7E" w:rsidRPr="00075492" w:rsidRDefault="00547E7E">
      <w:pPr>
        <w:pStyle w:val="Normaltindrag"/>
      </w:pPr>
      <w:r w:rsidRPr="00075492">
        <w:t>Således finns tre olika förslag till hur tillsynen borde organiseras. Något ställningstagande från regeringen finns ännu inte.</w:t>
      </w:r>
    </w:p>
    <w:p w:rsidR="00547E7E" w:rsidRPr="00075492" w:rsidRDefault="00547E7E">
      <w:pPr>
        <w:pStyle w:val="Normaltindrag"/>
      </w:pPr>
      <w:r w:rsidRPr="00075492">
        <w:t>Utredningen om livsmedelstillsynen i Sverige föreslog en fortsatt, men r</w:t>
      </w:r>
      <w:r w:rsidRPr="00075492">
        <w:t>e</w:t>
      </w:r>
      <w:r w:rsidRPr="00075492">
        <w:t xml:space="preserve">formerad avgiftsfinansiering. Livsmedelsverket och länsstyrelserna föreslog en finansiering över anslag. Verkets förslag innefattade dock vissa inslag av avgiftsfinansiering. </w:t>
      </w:r>
    </w:p>
    <w:p w:rsidR="00547E7E" w:rsidRPr="00075492" w:rsidRDefault="00547E7E">
      <w:pPr>
        <w:pStyle w:val="Normaltindrag"/>
      </w:pPr>
      <w:r w:rsidRPr="00075492">
        <w:t>Inom Jordbruksdepartementet påbörjades våren 2001 en inomdepart</w:t>
      </w:r>
      <w:r w:rsidRPr="00075492">
        <w:t>e</w:t>
      </w:r>
      <w:r w:rsidRPr="00075492">
        <w:t>mental utredning som enligt företrädare för Jordbruksdepartementet ska studera förutsättningarna för en statlig samordning av djurskyddet och liv</w:t>
      </w:r>
      <w:r w:rsidRPr="00075492">
        <w:t>s</w:t>
      </w:r>
      <w:r w:rsidRPr="00075492">
        <w:t>medelstillsynen. Därutöver har regeringen tillsatt en utredare med uppdrag att redovisa hur den statliga tillsynen kan göras till ett tydligare och effekt</w:t>
      </w:r>
      <w:r w:rsidRPr="00075492">
        <w:t>i</w:t>
      </w:r>
      <w:r w:rsidRPr="00075492">
        <w:t>vare förvaltningspolitiskt instrument som bättre bidrar till kontroll och g</w:t>
      </w:r>
      <w:r w:rsidRPr="00075492">
        <w:t>e</w:t>
      </w:r>
      <w:r w:rsidRPr="00075492">
        <w:t>nomförande av demokratiskt fattade beslut. I uppdraget ingår bl.a. att klarg</w:t>
      </w:r>
      <w:r w:rsidRPr="00075492">
        <w:t>ö</w:t>
      </w:r>
      <w:r w:rsidRPr="00075492">
        <w:t>ra tillsynens syfte, innebörd och omfattning samt hur avv</w:t>
      </w:r>
      <w:r w:rsidRPr="00075492">
        <w:t>ägningar görs mot andra styrinstrument. Även tillsynsbegreppets innebörd och tillsynens r</w:t>
      </w:r>
      <w:r w:rsidRPr="00075492">
        <w:t>e</w:t>
      </w:r>
      <w:r w:rsidRPr="00075492">
        <w:t>glering ska behandlas</w:t>
      </w:r>
      <w:r w:rsidRPr="00075492">
        <w:rPr>
          <w:rStyle w:val="Fotnotsreferens"/>
        </w:rPr>
        <w:footnoteReference w:id="2"/>
      </w:r>
      <w:r w:rsidRPr="00075492">
        <w:t xml:space="preserve">. </w:t>
      </w:r>
    </w:p>
    <w:p w:rsidR="00547E7E" w:rsidRPr="00075492" w:rsidRDefault="00547E7E">
      <w:pPr>
        <w:pStyle w:val="Normaltindrag"/>
      </w:pPr>
      <w:r w:rsidRPr="00075492">
        <w:t>Denna granskning syftar till att belysa hur statliga styrinstrument använts för att säkerställa önskvärda resultat vad gäller den kommunala livsm</w:t>
      </w:r>
      <w:r w:rsidRPr="00075492">
        <w:t>e</w:t>
      </w:r>
      <w:r w:rsidRPr="00075492">
        <w:t>dels</w:t>
      </w:r>
      <w:r w:rsidRPr="00075492">
        <w:lastRenderedPageBreak/>
        <w:t>tillsynen. Dessutom behandlas vilka möjligheter staten har att vidta å</w:t>
      </w:r>
      <w:r w:rsidRPr="00075492">
        <w:t>t</w:t>
      </w:r>
      <w:r w:rsidRPr="00075492">
        <w:t>gärder med anledning av rapporterade brister i den kommunala tillsynen.</w:t>
      </w:r>
    </w:p>
    <w:p w:rsidR="00547E7E" w:rsidRPr="00075492" w:rsidRDefault="00547E7E">
      <w:pPr>
        <w:pStyle w:val="Rubrik2"/>
      </w:pPr>
      <w:bookmarkStart w:id="68" w:name="_Toc532284445"/>
      <w:bookmarkStart w:id="69" w:name="_Toc532292005"/>
      <w:bookmarkStart w:id="70" w:name="_Toc84554"/>
      <w:bookmarkStart w:id="71" w:name="_Toc6634516"/>
      <w:bookmarkStart w:id="72" w:name="_Toc6637098"/>
      <w:r w:rsidRPr="00075492">
        <w:t>Rapportens syfte och metod</w:t>
      </w:r>
      <w:bookmarkEnd w:id="68"/>
      <w:bookmarkEnd w:id="69"/>
      <w:bookmarkEnd w:id="70"/>
      <w:bookmarkEnd w:id="71"/>
      <w:bookmarkEnd w:id="72"/>
      <w:r w:rsidRPr="00075492">
        <w:t xml:space="preserve"> </w:t>
      </w:r>
    </w:p>
    <w:p w:rsidR="00547E7E" w:rsidRPr="00075492" w:rsidRDefault="00547E7E">
      <w:pPr>
        <w:pStyle w:val="Rubrik3"/>
      </w:pPr>
      <w:bookmarkStart w:id="73" w:name="_Toc532284446"/>
      <w:bookmarkStart w:id="74" w:name="_Toc532292006"/>
      <w:bookmarkStart w:id="75" w:name="_Toc84555"/>
      <w:bookmarkStart w:id="76" w:name="_Toc6634517"/>
      <w:bookmarkStart w:id="77" w:name="_Toc6637099"/>
      <w:r w:rsidRPr="00075492">
        <w:t>Syfte</w:t>
      </w:r>
      <w:bookmarkEnd w:id="73"/>
      <w:bookmarkEnd w:id="74"/>
      <w:bookmarkEnd w:id="75"/>
      <w:bookmarkEnd w:id="76"/>
      <w:bookmarkEnd w:id="77"/>
    </w:p>
    <w:p w:rsidR="00547E7E" w:rsidRPr="00075492" w:rsidRDefault="00547E7E">
      <w:r w:rsidRPr="00075492">
        <w:t>Våren 2001 beslutade revisorerna att inleda flera granskningar av hur den statliga styrningen fungerar i kommunerna. Syftet med granskningarna är främst att undersöka hur statliga styrinstrument används för att säkerställa önskvärda resultat av verksamheter som bedrivs i kommunerna. Därutöver behandlas vilka möjligheter som staten har att vidta åtgärder med anledning av rapporterade brister. Rapporten om livsmedelstillsynen utgör således en del av revisorernas samlade insats för att granska statens styrnin</w:t>
      </w:r>
      <w:r w:rsidRPr="00075492">
        <w:t>g av ver</w:t>
      </w:r>
      <w:r w:rsidRPr="00075492">
        <w:t>k</w:t>
      </w:r>
      <w:r w:rsidRPr="00075492">
        <w:t xml:space="preserve">samheter i kommuner. </w:t>
      </w:r>
    </w:p>
    <w:p w:rsidR="00547E7E" w:rsidRPr="00075492" w:rsidRDefault="00547E7E">
      <w:pPr>
        <w:pStyle w:val="Normaltindrag"/>
      </w:pPr>
      <w:r w:rsidRPr="00075492">
        <w:t>Inom de olika områdena behandlas olika aspekter av statlig sty</w:t>
      </w:r>
      <w:r w:rsidRPr="00075492">
        <w:t>r</w:t>
      </w:r>
      <w:r w:rsidRPr="00075492">
        <w:t>ning:</w:t>
      </w:r>
    </w:p>
    <w:p w:rsidR="00547E7E" w:rsidRPr="00075492" w:rsidRDefault="00547E7E">
      <w:pPr>
        <w:pStyle w:val="Normaltindrag"/>
        <w:numPr>
          <w:ilvl w:val="0"/>
          <w:numId w:val="271"/>
        </w:numPr>
      </w:pPr>
      <w:r w:rsidRPr="00075492">
        <w:t>hur styrningen förhåller sig till de mål som riksdagen har fas</w:t>
      </w:r>
      <w:r w:rsidRPr="00075492">
        <w:t>t</w:t>
      </w:r>
      <w:r w:rsidRPr="00075492">
        <w:t>ställt,</w:t>
      </w:r>
    </w:p>
    <w:p w:rsidR="00547E7E" w:rsidRPr="00075492" w:rsidRDefault="00547E7E">
      <w:pPr>
        <w:pStyle w:val="Normaltindrag"/>
        <w:numPr>
          <w:ilvl w:val="0"/>
          <w:numId w:val="271"/>
        </w:numPr>
      </w:pPr>
      <w:r w:rsidRPr="00075492">
        <w:t>ansvarsfördelningen mellan stat och kommun,</w:t>
      </w:r>
    </w:p>
    <w:p w:rsidR="00547E7E" w:rsidRPr="00075492" w:rsidRDefault="00547E7E">
      <w:pPr>
        <w:pStyle w:val="Normaltindrag"/>
        <w:numPr>
          <w:ilvl w:val="0"/>
          <w:numId w:val="271"/>
        </w:numPr>
      </w:pPr>
      <w:r w:rsidRPr="00075492">
        <w:t>finansieringens utveckling,</w:t>
      </w:r>
    </w:p>
    <w:p w:rsidR="00547E7E" w:rsidRPr="00075492" w:rsidRDefault="00547E7E">
      <w:pPr>
        <w:pStyle w:val="Normaltindrag"/>
        <w:numPr>
          <w:ilvl w:val="0"/>
          <w:numId w:val="271"/>
        </w:numPr>
      </w:pPr>
      <w:r w:rsidRPr="00075492">
        <w:t xml:space="preserve">uppföljning, utvärdering, tillsyn och rapportering samt </w:t>
      </w:r>
    </w:p>
    <w:p w:rsidR="00547E7E" w:rsidRPr="00075492" w:rsidRDefault="00547E7E">
      <w:pPr>
        <w:pStyle w:val="Normaltindrag"/>
        <w:numPr>
          <w:ilvl w:val="0"/>
          <w:numId w:val="271"/>
        </w:numPr>
      </w:pPr>
      <w:r w:rsidRPr="00075492">
        <w:t xml:space="preserve">brister i olika styrformer. </w:t>
      </w:r>
    </w:p>
    <w:p w:rsidR="00547E7E" w:rsidRPr="00075492" w:rsidRDefault="00547E7E">
      <w:r w:rsidRPr="00075492">
        <w:t>För livsmedelstillsynen tillkommer frågan om hur EU påverkar statens mö</w:t>
      </w:r>
      <w:r w:rsidRPr="00075492">
        <w:t>j</w:t>
      </w:r>
      <w:r w:rsidRPr="00075492">
        <w:t xml:space="preserve">ligheter att styra den kommunala livsmedelstillsynen. </w:t>
      </w:r>
    </w:p>
    <w:p w:rsidR="00547E7E" w:rsidRPr="00075492" w:rsidRDefault="00547E7E">
      <w:r w:rsidRPr="00075492">
        <w:t>Denna granskning syftar således till att belysa hur statliga styrinstrument använts för att säkerställa önskvärda resultat vad gäller den kommunala livsmedelstillsynen. Dessutom behandlas vilka möjligheter staten har att vidta åtgärder med anledning av rapporterade brister i den kommunala tills</w:t>
      </w:r>
      <w:r w:rsidRPr="00075492">
        <w:t>y</w:t>
      </w:r>
      <w:r w:rsidRPr="00075492">
        <w:t>nen. Denna granskning är samtidigt en uppföljning av revisorernas tidigare rapport om livsmedelstillsynen och förslag till rik</w:t>
      </w:r>
      <w:r w:rsidRPr="00075492">
        <w:t>s</w:t>
      </w:r>
      <w:r w:rsidRPr="00075492">
        <w:t>dagen (1994/95:RR8).</w:t>
      </w:r>
    </w:p>
    <w:p w:rsidR="00547E7E" w:rsidRPr="00075492" w:rsidRDefault="00547E7E">
      <w:pPr>
        <w:pStyle w:val="Rubrik3"/>
      </w:pPr>
      <w:bookmarkStart w:id="78" w:name="_Toc532284447"/>
      <w:bookmarkStart w:id="79" w:name="_Toc532292007"/>
      <w:bookmarkStart w:id="80" w:name="_Toc84556"/>
      <w:bookmarkStart w:id="81" w:name="_Toc6634518"/>
      <w:bookmarkStart w:id="82" w:name="_Toc6637100"/>
      <w:r w:rsidRPr="00075492">
        <w:t>Metod</w:t>
      </w:r>
      <w:bookmarkEnd w:id="78"/>
      <w:bookmarkEnd w:id="79"/>
      <w:bookmarkEnd w:id="80"/>
      <w:bookmarkEnd w:id="81"/>
      <w:bookmarkEnd w:id="82"/>
    </w:p>
    <w:p w:rsidR="00547E7E" w:rsidRPr="00075492" w:rsidRDefault="00547E7E">
      <w:r w:rsidRPr="00075492">
        <w:t>Underlag för denna rapport är i hög grad offentligt tryck, statistik, rapporter och övrig dokumentation från myndigheter och organisationer. Intervjuer har genomförts med företrädare för Regeringskansliet, Livsmedelsverket, två länsstyrelser, tre kommuner samt några organisationer, bl.a. Svenska Ko</w:t>
      </w:r>
      <w:r w:rsidRPr="00075492">
        <w:t>m</w:t>
      </w:r>
      <w:r w:rsidRPr="00075492">
        <w:t>munförbundet, Sveriges Konsumentråd, Livsmedelshandlareförbundet, (SSLF) och Sver</w:t>
      </w:r>
      <w:r w:rsidRPr="00075492">
        <w:t>i</w:t>
      </w:r>
      <w:r w:rsidRPr="00075492">
        <w:t xml:space="preserve">ges hotell- och restaurangförbund (SHR). </w:t>
      </w:r>
    </w:p>
    <w:p w:rsidR="00547E7E" w:rsidRPr="00075492" w:rsidRDefault="00547E7E">
      <w:pPr>
        <w:pStyle w:val="Normaltindrag"/>
      </w:pPr>
      <w:r w:rsidRPr="00075492">
        <w:t>Vid länsstyrelserna har länsveterinärerna vid länsstyrelserna i Norrbottens och Östergötlands län intervjuats. Företrädare för Pajala, Bodens och Göt</w:t>
      </w:r>
      <w:r w:rsidRPr="00075492">
        <w:t>e</w:t>
      </w:r>
      <w:r w:rsidRPr="00075492">
        <w:t xml:space="preserve">borgs kommuner har intervjuats. Studiebesök har även genomförts vid en styckningsanläggning och en charkuterifabrik som står under kommunal tillsyn. </w:t>
      </w:r>
    </w:p>
    <w:p w:rsidR="00547E7E" w:rsidRPr="00075492" w:rsidRDefault="00547E7E">
      <w:pPr>
        <w:pStyle w:val="Normaltindrag"/>
      </w:pPr>
      <w:r w:rsidRPr="00075492">
        <w:t>Under granskningen har revisorerna löpande haft kontakter med Riksrev</w:t>
      </w:r>
      <w:r w:rsidRPr="00075492">
        <w:t>i</w:t>
      </w:r>
      <w:r w:rsidRPr="00075492">
        <w:t>sionsverket, RRV, som också har bedrivit en granskning inom livsmedelstil</w:t>
      </w:r>
      <w:r w:rsidRPr="00075492">
        <w:t>l</w:t>
      </w:r>
      <w:r w:rsidRPr="00075492">
        <w:t xml:space="preserve">synen. RRV:s  granskning har dock haft ett annat syfte, nämligen att dels </w:t>
      </w:r>
      <w:r w:rsidRPr="00075492">
        <w:lastRenderedPageBreak/>
        <w:t>beskriva och förklara den variation som finns mellan kommunerna i hur livsmedelstillsynen utförs, dels att klargöra om Livsmedelsverket inom sitt nuvarande mandat kan arbeta effektivare för att få den lokala livsmedelstil</w:t>
      </w:r>
      <w:r w:rsidRPr="00075492">
        <w:t>l</w:t>
      </w:r>
      <w:r w:rsidRPr="00075492">
        <w:t xml:space="preserve">synen att fungera bättre än i dag. </w:t>
      </w:r>
    </w:p>
    <w:p w:rsidR="00547E7E" w:rsidRPr="00075492" w:rsidRDefault="00547E7E">
      <w:pPr>
        <w:pStyle w:val="Normaltindrag"/>
        <w:ind w:firstLine="0"/>
      </w:pPr>
    </w:p>
    <w:p w:rsidR="00547E7E" w:rsidRPr="00075492" w:rsidRDefault="00547E7E">
      <w:pPr>
        <w:pStyle w:val="Rubrik1"/>
      </w:pPr>
      <w:r w:rsidRPr="00075492">
        <w:br w:type="page"/>
      </w:r>
      <w:bookmarkStart w:id="83" w:name="_Toc528046321"/>
      <w:bookmarkStart w:id="84" w:name="_Toc532284448"/>
      <w:bookmarkStart w:id="85" w:name="_Toc532292008"/>
      <w:bookmarkStart w:id="86" w:name="_Toc84557"/>
      <w:bookmarkStart w:id="87" w:name="_Toc6634519"/>
      <w:bookmarkStart w:id="88" w:name="_Toc6637101"/>
      <w:r w:rsidRPr="00075492">
        <w:lastRenderedPageBreak/>
        <w:t>EU:s livsmedels</w:t>
      </w:r>
      <w:bookmarkEnd w:id="83"/>
      <w:r w:rsidRPr="00075492">
        <w:t>lagstiftning</w:t>
      </w:r>
      <w:bookmarkEnd w:id="84"/>
      <w:bookmarkEnd w:id="85"/>
      <w:bookmarkEnd w:id="86"/>
      <w:bookmarkEnd w:id="87"/>
      <w:bookmarkEnd w:id="88"/>
    </w:p>
    <w:p w:rsidR="00547E7E" w:rsidRPr="00075492" w:rsidRDefault="00547E7E">
      <w:pPr>
        <w:pStyle w:val="Rubrik2"/>
      </w:pPr>
      <w:bookmarkStart w:id="89" w:name="_Toc532284449"/>
      <w:bookmarkStart w:id="90" w:name="_Toc532292009"/>
      <w:bookmarkStart w:id="91" w:name="_Toc84558"/>
      <w:bookmarkStart w:id="92" w:name="_Toc6634520"/>
      <w:bookmarkStart w:id="93" w:name="_Toc6637102"/>
      <w:r w:rsidRPr="00075492">
        <w:t>Inledning</w:t>
      </w:r>
      <w:bookmarkEnd w:id="89"/>
      <w:bookmarkEnd w:id="90"/>
      <w:bookmarkEnd w:id="91"/>
      <w:bookmarkEnd w:id="92"/>
      <w:bookmarkEnd w:id="93"/>
    </w:p>
    <w:p w:rsidR="00547E7E" w:rsidRPr="00075492" w:rsidRDefault="00547E7E">
      <w:r w:rsidRPr="00075492">
        <w:t>Detta kapitel innehåller en översiktligt beskrivning av EU:s livsmedelsla</w:t>
      </w:r>
      <w:r w:rsidRPr="00075492">
        <w:t>g</w:t>
      </w:r>
      <w:r w:rsidRPr="00075492">
        <w:t>stiftning och resultatet av EU:s övervakning av den svenska livsmedelstills</w:t>
      </w:r>
      <w:r w:rsidRPr="00075492">
        <w:t>y</w:t>
      </w:r>
      <w:r w:rsidRPr="00075492">
        <w:t>nen. Syftet är att identifiera på vilket sätt EU påverkar statens möjligheter att styra och organisera den svenska livsmedelstillsynen. Dessutom är kommi</w:t>
      </w:r>
      <w:r w:rsidRPr="00075492">
        <w:t>s</w:t>
      </w:r>
      <w:r w:rsidRPr="00075492">
        <w:t>sionens utvärderingar av stort intresse för bedömningar om resultatet av den svenska tillsynen. Kapitlet inleds med en kort redovisning av EG:s rättsakter och kommissionens organisation för att övervaka efte</w:t>
      </w:r>
      <w:r w:rsidRPr="00075492">
        <w:t>r</w:t>
      </w:r>
      <w:r w:rsidRPr="00075492">
        <w:t xml:space="preserve">levnaden av EU-lagstiftningen. </w:t>
      </w:r>
    </w:p>
    <w:p w:rsidR="00547E7E" w:rsidRPr="00075492" w:rsidRDefault="00547E7E">
      <w:pPr>
        <w:pStyle w:val="Rubrik2"/>
      </w:pPr>
      <w:bookmarkStart w:id="94" w:name="_Toc532284450"/>
      <w:bookmarkStart w:id="95" w:name="_Toc532292010"/>
      <w:bookmarkStart w:id="96" w:name="_Toc84559"/>
      <w:bookmarkStart w:id="97" w:name="_Toc6634521"/>
      <w:bookmarkStart w:id="98" w:name="_Toc6637103"/>
      <w:r w:rsidRPr="00075492">
        <w:t>EG:s rättsakter</w:t>
      </w:r>
      <w:bookmarkEnd w:id="94"/>
      <w:bookmarkEnd w:id="95"/>
      <w:bookmarkEnd w:id="96"/>
      <w:bookmarkEnd w:id="97"/>
      <w:bookmarkEnd w:id="98"/>
    </w:p>
    <w:p w:rsidR="00547E7E" w:rsidRPr="00075492" w:rsidRDefault="00547E7E">
      <w:r w:rsidRPr="00075492">
        <w:t>EG-rätten består av primär och sekundär lagstiftning, internationella avtal samt EG-domstolens rättspraxis. Den primära lagstiftningen utgörs av de grundläggande fördragen. Den sekundära lagstiftningen utgörs av fem olika sorters rättsakter: förordningar, direktiv, beslut, rekommendationer och yt</w:t>
      </w:r>
      <w:r w:rsidRPr="00075492">
        <w:t>t</w:t>
      </w:r>
      <w:r w:rsidRPr="00075492">
        <w:t>randen.</w:t>
      </w:r>
    </w:p>
    <w:p w:rsidR="00547E7E" w:rsidRPr="00075492" w:rsidRDefault="00547E7E">
      <w:pPr>
        <w:rPr>
          <w:b/>
        </w:rPr>
      </w:pPr>
      <w:r w:rsidRPr="00075492">
        <w:rPr>
          <w:b/>
        </w:rPr>
        <w:t>EG-rättens olika rättsakter: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67"/>
        <w:gridCol w:w="567"/>
        <w:gridCol w:w="4323"/>
      </w:tblGrid>
      <w:tr w:rsidR="00000000" w:rsidRPr="00075492">
        <w:tblPrEx>
          <w:tblCellMar>
            <w:top w:w="0" w:type="dxa"/>
            <w:bottom w:w="0" w:type="dxa"/>
          </w:tblCellMar>
        </w:tblPrEx>
        <w:trPr>
          <w:cantSplit/>
        </w:trPr>
        <w:tc>
          <w:tcPr>
            <w:tcW w:w="6024" w:type="dxa"/>
            <w:gridSpan w:val="4"/>
            <w:tcBorders>
              <w:top w:val="single" w:sz="4" w:space="0" w:color="auto"/>
              <w:left w:val="single" w:sz="4" w:space="0" w:color="auto"/>
              <w:bottom w:val="nil"/>
              <w:right w:val="single" w:sz="4" w:space="0" w:color="auto"/>
            </w:tcBorders>
          </w:tcPr>
          <w:p w:rsidR="00547E7E" w:rsidRPr="00075492" w:rsidRDefault="00547E7E">
            <w:pPr>
              <w:spacing w:before="0"/>
            </w:pPr>
            <w:r w:rsidRPr="00075492">
              <w:rPr>
                <w:b/>
              </w:rPr>
              <w:t>Förordningar</w:t>
            </w:r>
            <w:r w:rsidRPr="00075492">
              <w:t xml:space="preserve"> är de mest kraftfulla av rättsakterna. En förordning börjar gälla direkt efter att den träder i kraft. Den behöver således inte införlivas i medlemsstaternas lagstiftning. Den berör samtliga medlemsländer, företag, myndigheter och medbo</w:t>
            </w:r>
            <w:r w:rsidRPr="00075492">
              <w:t>r</w:t>
            </w:r>
            <w:r w:rsidRPr="00075492">
              <w:t xml:space="preserve">gare. </w:t>
            </w:r>
          </w:p>
        </w:tc>
      </w:tr>
      <w:tr w:rsidR="00000000" w:rsidRPr="00075492">
        <w:tblPrEx>
          <w:tblCellMar>
            <w:top w:w="0" w:type="dxa"/>
            <w:bottom w:w="0" w:type="dxa"/>
          </w:tblCellMar>
        </w:tblPrEx>
        <w:trPr>
          <w:cantSplit/>
        </w:trPr>
        <w:tc>
          <w:tcPr>
            <w:tcW w:w="567" w:type="dxa"/>
            <w:tcBorders>
              <w:top w:val="nil"/>
              <w:left w:val="single" w:sz="4" w:space="0" w:color="auto"/>
              <w:bottom w:val="nil"/>
              <w:right w:val="nil"/>
            </w:tcBorders>
          </w:tcPr>
          <w:p w:rsidR="00547E7E" w:rsidRPr="00075492" w:rsidRDefault="00547E7E"/>
        </w:tc>
        <w:tc>
          <w:tcPr>
            <w:tcW w:w="5457" w:type="dxa"/>
            <w:gridSpan w:val="3"/>
            <w:tcBorders>
              <w:top w:val="nil"/>
              <w:left w:val="nil"/>
              <w:bottom w:val="nil"/>
              <w:right w:val="single" w:sz="4" w:space="0" w:color="auto"/>
            </w:tcBorders>
          </w:tcPr>
          <w:p w:rsidR="00547E7E" w:rsidRPr="00075492" w:rsidRDefault="00547E7E">
            <w:r w:rsidRPr="00075492">
              <w:rPr>
                <w:b/>
              </w:rPr>
              <w:t>Direktiv</w:t>
            </w:r>
            <w:r w:rsidRPr="00075492">
              <w:t xml:space="preserve"> anger ett resultat som ska uppnås. De berörda medlemslä</w:t>
            </w:r>
            <w:r w:rsidRPr="00075492">
              <w:t>n</w:t>
            </w:r>
            <w:r w:rsidRPr="00075492">
              <w:t>derna är sedan ansvariga för att införa bestämmelser i den nationella lagstiftningen eller vidta andra åtgärder för att efterleva direktivet. Direktiv kan dessutom rikta sig enbart till vissa medlemsländer.</w:t>
            </w:r>
          </w:p>
        </w:tc>
      </w:tr>
      <w:tr w:rsidR="00000000" w:rsidRPr="00075492">
        <w:tblPrEx>
          <w:tblCellMar>
            <w:top w:w="0" w:type="dxa"/>
            <w:bottom w:w="0" w:type="dxa"/>
          </w:tblCellMar>
        </w:tblPrEx>
        <w:trPr>
          <w:cantSplit/>
        </w:trPr>
        <w:tc>
          <w:tcPr>
            <w:tcW w:w="567" w:type="dxa"/>
            <w:tcBorders>
              <w:top w:val="nil"/>
              <w:left w:val="single" w:sz="4" w:space="0" w:color="auto"/>
              <w:bottom w:val="nil"/>
              <w:right w:val="nil"/>
            </w:tcBorders>
          </w:tcPr>
          <w:p w:rsidR="00547E7E" w:rsidRPr="00075492" w:rsidRDefault="00547E7E"/>
        </w:tc>
        <w:tc>
          <w:tcPr>
            <w:tcW w:w="567" w:type="dxa"/>
            <w:tcBorders>
              <w:top w:val="nil"/>
              <w:left w:val="nil"/>
              <w:bottom w:val="nil"/>
              <w:right w:val="nil"/>
            </w:tcBorders>
          </w:tcPr>
          <w:p w:rsidR="00547E7E" w:rsidRPr="00075492" w:rsidRDefault="00547E7E"/>
        </w:tc>
        <w:tc>
          <w:tcPr>
            <w:tcW w:w="4890" w:type="dxa"/>
            <w:gridSpan w:val="2"/>
            <w:tcBorders>
              <w:top w:val="nil"/>
              <w:left w:val="nil"/>
              <w:bottom w:val="nil"/>
              <w:right w:val="single" w:sz="4" w:space="0" w:color="auto"/>
            </w:tcBorders>
          </w:tcPr>
          <w:p w:rsidR="00547E7E" w:rsidRPr="00075492" w:rsidRDefault="00547E7E">
            <w:r w:rsidRPr="00075492">
              <w:rPr>
                <w:b/>
              </w:rPr>
              <w:t>Beslut</w:t>
            </w:r>
            <w:r w:rsidRPr="00075492">
              <w:t xml:space="preserve"> av ministerrådet eller kommissionen kan rikta sig till enskilda medlemsländer, företag eller medborgare. Beslut är bindande för dem som besluten riktar sig till.</w:t>
            </w:r>
          </w:p>
        </w:tc>
      </w:tr>
      <w:tr w:rsidR="00000000" w:rsidRPr="00075492">
        <w:tblPrEx>
          <w:tblCellMar>
            <w:top w:w="0" w:type="dxa"/>
            <w:bottom w:w="0" w:type="dxa"/>
          </w:tblCellMar>
        </w:tblPrEx>
        <w:tc>
          <w:tcPr>
            <w:tcW w:w="567" w:type="dxa"/>
            <w:tcBorders>
              <w:top w:val="nil"/>
              <w:left w:val="single" w:sz="4" w:space="0" w:color="auto"/>
              <w:bottom w:val="single" w:sz="4" w:space="0" w:color="auto"/>
              <w:right w:val="nil"/>
            </w:tcBorders>
          </w:tcPr>
          <w:p w:rsidR="00547E7E" w:rsidRPr="00075492" w:rsidRDefault="00547E7E"/>
        </w:tc>
        <w:tc>
          <w:tcPr>
            <w:tcW w:w="567" w:type="dxa"/>
            <w:tcBorders>
              <w:top w:val="nil"/>
              <w:left w:val="nil"/>
              <w:bottom w:val="single" w:sz="4" w:space="0" w:color="auto"/>
              <w:right w:val="nil"/>
            </w:tcBorders>
          </w:tcPr>
          <w:p w:rsidR="00547E7E" w:rsidRPr="00075492" w:rsidRDefault="00547E7E"/>
        </w:tc>
        <w:tc>
          <w:tcPr>
            <w:tcW w:w="567" w:type="dxa"/>
            <w:tcBorders>
              <w:top w:val="nil"/>
              <w:left w:val="nil"/>
              <w:bottom w:val="single" w:sz="4" w:space="0" w:color="auto"/>
              <w:right w:val="nil"/>
            </w:tcBorders>
          </w:tcPr>
          <w:p w:rsidR="00547E7E" w:rsidRPr="00075492" w:rsidRDefault="00547E7E"/>
        </w:tc>
        <w:tc>
          <w:tcPr>
            <w:tcW w:w="4323" w:type="dxa"/>
            <w:tcBorders>
              <w:top w:val="nil"/>
              <w:left w:val="nil"/>
              <w:bottom w:val="single" w:sz="4" w:space="0" w:color="auto"/>
              <w:right w:val="single" w:sz="4" w:space="0" w:color="auto"/>
            </w:tcBorders>
          </w:tcPr>
          <w:p w:rsidR="00547E7E" w:rsidRPr="00075492" w:rsidRDefault="00547E7E">
            <w:r w:rsidRPr="00075492">
              <w:rPr>
                <w:b/>
              </w:rPr>
              <w:t>Rekommendationer</w:t>
            </w:r>
            <w:r w:rsidRPr="00075492">
              <w:t xml:space="preserve"> och </w:t>
            </w:r>
            <w:r w:rsidRPr="00075492">
              <w:rPr>
                <w:b/>
              </w:rPr>
              <w:t>yttranden</w:t>
            </w:r>
            <w:r w:rsidRPr="00075492">
              <w:t xml:space="preserve"> från ministerr</w:t>
            </w:r>
            <w:r w:rsidRPr="00075492">
              <w:t>å</w:t>
            </w:r>
            <w:r w:rsidRPr="00075492">
              <w:t>det eller kommissionen är rättsakter som inte är jur</w:t>
            </w:r>
            <w:r w:rsidRPr="00075492">
              <w:t>i</w:t>
            </w:r>
            <w:r w:rsidRPr="00075492">
              <w:t xml:space="preserve">diskt bindande. </w:t>
            </w:r>
          </w:p>
        </w:tc>
      </w:tr>
    </w:tbl>
    <w:p w:rsidR="00547E7E" w:rsidRPr="00075492" w:rsidRDefault="00547E7E">
      <w:pPr>
        <w:pStyle w:val="Rubrik2"/>
      </w:pPr>
      <w:bookmarkStart w:id="99" w:name="_Toc528123583"/>
      <w:bookmarkStart w:id="100" w:name="_Toc532284451"/>
      <w:bookmarkStart w:id="101" w:name="_Toc532292011"/>
      <w:bookmarkStart w:id="102" w:name="_Toc84560"/>
      <w:bookmarkStart w:id="103" w:name="_Toc6634522"/>
      <w:bookmarkStart w:id="104" w:name="_Toc6637104"/>
      <w:r w:rsidRPr="00075492">
        <w:t>Organisation</w:t>
      </w:r>
      <w:bookmarkEnd w:id="99"/>
      <w:bookmarkEnd w:id="100"/>
      <w:bookmarkEnd w:id="101"/>
      <w:bookmarkEnd w:id="102"/>
      <w:bookmarkEnd w:id="103"/>
      <w:bookmarkEnd w:id="104"/>
      <w:r w:rsidRPr="00075492">
        <w:t xml:space="preserve"> </w:t>
      </w:r>
    </w:p>
    <w:p w:rsidR="00547E7E" w:rsidRPr="00075492" w:rsidRDefault="00547E7E">
      <w:r w:rsidRPr="00075492">
        <w:t>Europeiska kommissionen har bl.a. till uppgift att kontrollera att EU:s la</w:t>
      </w:r>
      <w:r w:rsidRPr="00075492">
        <w:t>g</w:t>
      </w:r>
      <w:r w:rsidRPr="00075492">
        <w:t xml:space="preserve">stiftning efterlevs av de olika medlemsstaterna. Detta regleras i artikel 211 i EG-fördraget. Kommissionen är indelad i 23 generaldirektorat med olika ansvarsområden. Livsmedelstillsynen behandlas i generaldirektoratet för hälsa och konsumentskydd. </w:t>
      </w:r>
    </w:p>
    <w:p w:rsidR="00547E7E" w:rsidRPr="00075492" w:rsidRDefault="00547E7E">
      <w:pPr>
        <w:pStyle w:val="Normaltindrag"/>
      </w:pPr>
      <w:r w:rsidRPr="00075492">
        <w:t>År 1997 inrättades inom generaldirektoratet för hälsa och konsumen</w:t>
      </w:r>
      <w:r w:rsidRPr="00075492">
        <w:t>t</w:t>
      </w:r>
      <w:r w:rsidRPr="00075492">
        <w:t xml:space="preserve">skydd, kommissionens kontor för livsmedels- och veterinärfrågor, FVO </w:t>
      </w:r>
      <w:r w:rsidRPr="00075492">
        <w:lastRenderedPageBreak/>
        <w:t>(Food and Veterinary Office). Kontoret ansvarar bl.a. för övervakningen av medlemsstaternas tillsyn över EU:s lagstiftning inom livsmedelsområdet. FVO är jämfört med övriga kontor mycket aktivt i övervakningen av me</w:t>
      </w:r>
      <w:r w:rsidRPr="00075492">
        <w:t>d</w:t>
      </w:r>
      <w:r w:rsidRPr="00075492">
        <w:t>lemsländernas implementering av och tillsyn över lagstiftningen. Kontoret har ett ovanligt starkt övervakningsmandat. En central del i FVO:s överva</w:t>
      </w:r>
      <w:r w:rsidRPr="00075492">
        <w:t>k</w:t>
      </w:r>
      <w:r w:rsidRPr="00075492">
        <w:t xml:space="preserve">ning är utvärderingar av medlemsländernas efterlevnad av EU:s lagstiftning på </w:t>
      </w:r>
      <w:r w:rsidRPr="00075492">
        <w:t>liv</w:t>
      </w:r>
      <w:r w:rsidRPr="00075492">
        <w:t>s</w:t>
      </w:r>
      <w:r w:rsidRPr="00075492">
        <w:t xml:space="preserve">medelsområdet. </w:t>
      </w:r>
    </w:p>
    <w:p w:rsidR="00547E7E" w:rsidRPr="00075492" w:rsidRDefault="00547E7E">
      <w:pPr>
        <w:pStyle w:val="Normaltindrag"/>
      </w:pPr>
      <w:r w:rsidRPr="00075492">
        <w:t>Kommissionens utvärderingar genomförs av en utvärderingsgrupp som i Sverige får stöd av Livsmedelsverket. Gruppen besöker olika kontrollinsta</w:t>
      </w:r>
      <w:r w:rsidRPr="00075492">
        <w:t>n</w:t>
      </w:r>
      <w:r w:rsidRPr="00075492">
        <w:t>ser och anläggningar i landet. Den består av ett mindre antal tjänstemän från kommissionen samt en expert på området från något av EU:s me</w:t>
      </w:r>
      <w:r w:rsidRPr="00075492">
        <w:t>d</w:t>
      </w:r>
      <w:r w:rsidRPr="00075492">
        <w:t>lemsländer.</w:t>
      </w:r>
    </w:p>
    <w:p w:rsidR="00547E7E" w:rsidRPr="00075492" w:rsidRDefault="00547E7E">
      <w:pPr>
        <w:pStyle w:val="Normaltindrag"/>
      </w:pPr>
      <w:r w:rsidRPr="00075492">
        <w:t>Livsmedelsverket svarar för urval av de anläggningar som ska besökas. Urvalet baserat på kommissionens önskemål och anläggningarnas geografi</w:t>
      </w:r>
      <w:r w:rsidRPr="00075492">
        <w:t>s</w:t>
      </w:r>
      <w:r w:rsidRPr="00075492">
        <w:t>ka läge. Kommissionen fastställer sedan fo</w:t>
      </w:r>
      <w:r w:rsidRPr="00075492">
        <w:t>r</w:t>
      </w:r>
      <w:r w:rsidRPr="00075492">
        <w:t>mellt programmet.</w:t>
      </w:r>
    </w:p>
    <w:p w:rsidR="00547E7E" w:rsidRPr="00075492" w:rsidRDefault="00547E7E">
      <w:pPr>
        <w:pStyle w:val="Normaltindrag"/>
      </w:pPr>
      <w:r w:rsidRPr="00075492">
        <w:t>Baserat på anläggningsbesöken samt uppgifter från Livsmedelsverket och andra myndigheter och organisationer inom området, lämnas sedan en o</w:t>
      </w:r>
      <w:r w:rsidRPr="00075492">
        <w:t>f</w:t>
      </w:r>
      <w:r w:rsidRPr="00075492">
        <w:t>fentlig rapport till kommissionen. Livsmedelsverket får sedan möjlighet att kommentera rapporten och korrigera eve</w:t>
      </w:r>
      <w:r w:rsidRPr="00075492">
        <w:t>n</w:t>
      </w:r>
      <w:r w:rsidRPr="00075492">
        <w:t>tuella sakfel.</w:t>
      </w:r>
    </w:p>
    <w:p w:rsidR="00547E7E" w:rsidRPr="00075492" w:rsidRDefault="00547E7E">
      <w:pPr>
        <w:pStyle w:val="Rubrik2"/>
      </w:pPr>
      <w:bookmarkStart w:id="105" w:name="_Toc528123582"/>
      <w:bookmarkStart w:id="106" w:name="_Toc532284452"/>
      <w:bookmarkStart w:id="107" w:name="_Toc532292012"/>
      <w:bookmarkStart w:id="108" w:name="_Toc84561"/>
      <w:bookmarkStart w:id="109" w:name="_Toc6634523"/>
      <w:bookmarkStart w:id="110" w:name="_Toc6637105"/>
      <w:r w:rsidRPr="00075492">
        <w:t xml:space="preserve">EU:s </w:t>
      </w:r>
      <w:bookmarkEnd w:id="105"/>
      <w:r w:rsidRPr="00075492">
        <w:t>regelverk</w:t>
      </w:r>
      <w:bookmarkEnd w:id="106"/>
      <w:bookmarkEnd w:id="107"/>
      <w:bookmarkEnd w:id="108"/>
      <w:bookmarkEnd w:id="109"/>
      <w:bookmarkEnd w:id="110"/>
    </w:p>
    <w:p w:rsidR="00547E7E" w:rsidRPr="00075492" w:rsidRDefault="00547E7E">
      <w:pPr>
        <w:pStyle w:val="Rubrik3"/>
      </w:pPr>
      <w:bookmarkStart w:id="111" w:name="_Toc528123585"/>
      <w:bookmarkStart w:id="112" w:name="_Toc532284453"/>
      <w:bookmarkStart w:id="113" w:name="_Toc532292013"/>
      <w:bookmarkStart w:id="114" w:name="_Toc84562"/>
      <w:bookmarkStart w:id="115" w:name="_Toc6634524"/>
      <w:bookmarkStart w:id="116" w:name="_Toc6637106"/>
      <w:r w:rsidRPr="00075492">
        <w:t xml:space="preserve">Förordningar </w:t>
      </w:r>
      <w:bookmarkEnd w:id="111"/>
      <w:r w:rsidRPr="00075492">
        <w:t>inom livsmedelsområdet</w:t>
      </w:r>
      <w:bookmarkEnd w:id="112"/>
      <w:bookmarkEnd w:id="113"/>
      <w:bookmarkEnd w:id="114"/>
      <w:bookmarkEnd w:id="115"/>
      <w:bookmarkEnd w:id="116"/>
    </w:p>
    <w:p w:rsidR="00547E7E" w:rsidRPr="00075492" w:rsidRDefault="00547E7E">
      <w:r w:rsidRPr="00075492">
        <w:t>Regeringen har tillkännagivit en förteckning över EG:s grundförordningar inom livsmedelsområdet (SFS 2001:801). Förordningar är i huvudsak besl</w:t>
      </w:r>
      <w:r w:rsidRPr="00075492">
        <w:t>u</w:t>
      </w:r>
      <w:r w:rsidRPr="00075492">
        <w:t>tade av ministerrådet eller av rådet i förening med parlamentet. Enligt rege</w:t>
      </w:r>
      <w:r w:rsidRPr="00075492">
        <w:t>r</w:t>
      </w:r>
      <w:r w:rsidRPr="00075492">
        <w:t>ingens tillkännagivande finns totalt 22 olika förordningar inom livsmedel</w:t>
      </w:r>
      <w:r w:rsidRPr="00075492">
        <w:t>s</w:t>
      </w:r>
      <w:r w:rsidRPr="00075492">
        <w:t xml:space="preserve">området som har antagits mellan åren 1966 och 2001. </w:t>
      </w:r>
    </w:p>
    <w:p w:rsidR="00547E7E" w:rsidRPr="00075492" w:rsidRDefault="00547E7E">
      <w:pPr>
        <w:pStyle w:val="Normaltindrag"/>
      </w:pPr>
      <w:r w:rsidRPr="00075492">
        <w:t>Dessa förordningar finns också på Livsmedelsverkets webbplats. Däru</w:t>
      </w:r>
      <w:r w:rsidRPr="00075492">
        <w:t>t</w:t>
      </w:r>
      <w:r w:rsidRPr="00075492">
        <w:t>över redovisas ytterligare 16 förordningar inom livsmedelsområdet. Dessa förordningar är s.k. följdförordningar som beslutats av kommissionen. Liv</w:t>
      </w:r>
      <w:r w:rsidRPr="00075492">
        <w:t>s</w:t>
      </w:r>
      <w:r w:rsidRPr="00075492">
        <w:t>medelsverket har därutöver, i två olika omgångar, redovisat till revisorerna ytterligare förordningar som inte ännu finns på verkets webbplats. I bilaga 1 finns en förteckning av de förordningar som dels redovisas på webbplatsen, dels har redov</w:t>
      </w:r>
      <w:r w:rsidRPr="00075492">
        <w:t>i</w:t>
      </w:r>
      <w:r w:rsidRPr="00075492">
        <w:t>sats särskilt till revisorerna.</w:t>
      </w:r>
    </w:p>
    <w:p w:rsidR="00547E7E" w:rsidRPr="00075492" w:rsidRDefault="00547E7E">
      <w:pPr>
        <w:pStyle w:val="Normaltindrag"/>
      </w:pPr>
      <w:r w:rsidRPr="00075492">
        <w:t>Förordningarna inom livsmedelsområdet behandlar ofta särskilda produ</w:t>
      </w:r>
      <w:r w:rsidRPr="00075492">
        <w:t>k</w:t>
      </w:r>
      <w:r w:rsidRPr="00075492">
        <w:t>ter. Därutöver finns förordningar som reglerar allmänna områden inom liv</w:t>
      </w:r>
      <w:r w:rsidRPr="00075492">
        <w:t>s</w:t>
      </w:r>
      <w:r w:rsidRPr="00075492">
        <w:t>m</w:t>
      </w:r>
      <w:r w:rsidRPr="00075492">
        <w:t>e</w:t>
      </w:r>
      <w:r w:rsidRPr="00075492">
        <w:t>delstillsynen som exempelvis:</w:t>
      </w:r>
    </w:p>
    <w:p w:rsidR="00547E7E" w:rsidRPr="00075492" w:rsidRDefault="00547E7E">
      <w:pPr>
        <w:numPr>
          <w:ilvl w:val="0"/>
          <w:numId w:val="131"/>
        </w:numPr>
      </w:pPr>
      <w:r w:rsidRPr="00075492">
        <w:t xml:space="preserve">Förordning 315/93 om fastställande av gemenskapsförfaranden för främmande ämnen i livsmedel. Ett främmande ämne är ett ämne som utan avsikt har tillförts livsmedlet under produktion, hantering eller transport. Enligt förordningen kan kommissionen, om så behövs, anta gränsvärden för vissa främmande ämnen. </w:t>
      </w:r>
    </w:p>
    <w:p w:rsidR="00547E7E" w:rsidRPr="00075492" w:rsidRDefault="00547E7E">
      <w:pPr>
        <w:numPr>
          <w:ilvl w:val="0"/>
          <w:numId w:val="133"/>
        </w:numPr>
      </w:pPr>
      <w:r w:rsidRPr="00075492">
        <w:t xml:space="preserve">Förordning 258/97 om nya livsmedel och nya livsmedelsingredienser. Med nya livsmedel avses bl.a. livsmedel som innehåller eller består av genetiskt modifierade organismer. Enligt förordningen får livsmedel i </w:t>
      </w:r>
      <w:r w:rsidRPr="00075492">
        <w:lastRenderedPageBreak/>
        <w:t>denna kategori inte innebära risker för konsumenten och inte heller vi</w:t>
      </w:r>
      <w:r w:rsidRPr="00075492">
        <w:t>l</w:t>
      </w:r>
      <w:r w:rsidRPr="00075492">
        <w:t>seleda denne. Innan nya livsmedel får släppas ut på marknaden i ett visst land ska ansökan göras i det aktuella landet. Därefter vidtar en godkä</w:t>
      </w:r>
      <w:r w:rsidRPr="00075492">
        <w:t>n</w:t>
      </w:r>
      <w:r w:rsidRPr="00075492">
        <w:t>nandeprocedur i samarbete med kommissi</w:t>
      </w:r>
      <w:r w:rsidRPr="00075492">
        <w:t>o</w:t>
      </w:r>
      <w:r w:rsidRPr="00075492">
        <w:t xml:space="preserve">nen. </w:t>
      </w:r>
    </w:p>
    <w:p w:rsidR="00547E7E" w:rsidRPr="00075492" w:rsidRDefault="00547E7E">
      <w:pPr>
        <w:pStyle w:val="Rubrik3"/>
      </w:pPr>
      <w:bookmarkStart w:id="117" w:name="_Toc528123586"/>
      <w:bookmarkStart w:id="118" w:name="_Toc532284454"/>
      <w:bookmarkStart w:id="119" w:name="_Toc532292014"/>
      <w:bookmarkStart w:id="120" w:name="_Toc84563"/>
      <w:bookmarkStart w:id="121" w:name="_Toc6634525"/>
      <w:bookmarkStart w:id="122" w:name="_Toc6637107"/>
      <w:r w:rsidRPr="00075492">
        <w:t xml:space="preserve">Direktiv </w:t>
      </w:r>
      <w:bookmarkEnd w:id="117"/>
      <w:r w:rsidRPr="00075492">
        <w:t>inom livsmedelsområdet</w:t>
      </w:r>
      <w:bookmarkEnd w:id="118"/>
      <w:bookmarkEnd w:id="119"/>
      <w:bookmarkEnd w:id="120"/>
      <w:bookmarkEnd w:id="121"/>
      <w:bookmarkEnd w:id="122"/>
    </w:p>
    <w:p w:rsidR="00547E7E" w:rsidRPr="00075492" w:rsidRDefault="00547E7E">
      <w:r w:rsidRPr="00075492">
        <w:t>Det finns ett stort antal direktiv som behandlar livsmedelsområdet. Direkt</w:t>
      </w:r>
      <w:r w:rsidRPr="00075492">
        <w:t>i</w:t>
      </w:r>
      <w:r w:rsidRPr="00075492">
        <w:t>ven ska vara införlivade i svensk lag, förordning eller föreskrift från Livsm</w:t>
      </w:r>
      <w:r w:rsidRPr="00075492">
        <w:t>e</w:t>
      </w:r>
      <w:r w:rsidRPr="00075492">
        <w:t xml:space="preserve">delsverket. </w:t>
      </w:r>
    </w:p>
    <w:p w:rsidR="00547E7E" w:rsidRPr="00075492" w:rsidRDefault="00547E7E">
      <w:r w:rsidRPr="00075492">
        <w:t>Inom livsmedelstillsynen är framför allt tre direktiv av intresse:</w:t>
      </w:r>
    </w:p>
    <w:p w:rsidR="00547E7E" w:rsidRPr="00075492" w:rsidRDefault="00547E7E">
      <w:pPr>
        <w:numPr>
          <w:ilvl w:val="0"/>
          <w:numId w:val="135"/>
        </w:numPr>
      </w:pPr>
      <w:r w:rsidRPr="00075492">
        <w:t>Direktiv 89/397/EEG om offentlig kontroll av livsmedel.</w:t>
      </w:r>
    </w:p>
    <w:p w:rsidR="00547E7E" w:rsidRPr="00075492" w:rsidRDefault="00547E7E">
      <w:pPr>
        <w:numPr>
          <w:ilvl w:val="0"/>
          <w:numId w:val="136"/>
        </w:numPr>
      </w:pPr>
      <w:r w:rsidRPr="00075492">
        <w:t>Direktiv 93/99/EEG om ytterligare åtgärder för offentlig kontroll av livsmedel.</w:t>
      </w:r>
    </w:p>
    <w:p w:rsidR="00547E7E" w:rsidRPr="00075492" w:rsidRDefault="00547E7E">
      <w:pPr>
        <w:numPr>
          <w:ilvl w:val="0"/>
          <w:numId w:val="137"/>
        </w:numPr>
      </w:pPr>
      <w:r w:rsidRPr="00075492">
        <w:t>Direktiv 93/43/EEG om livsmedelshygien.</w:t>
      </w:r>
    </w:p>
    <w:p w:rsidR="00547E7E" w:rsidRPr="00075492" w:rsidRDefault="00547E7E">
      <w:r w:rsidRPr="00075492">
        <w:t>I dessa kontrolldirektiv regleras vad den nationella tillsynen ska omfatta. Däremot föreskrivs inte hur den nationella tillsynen ska org</w:t>
      </w:r>
      <w:r w:rsidRPr="00075492">
        <w:t>a</w:t>
      </w:r>
      <w:r w:rsidRPr="00075492">
        <w:t xml:space="preserve">niseras. </w:t>
      </w:r>
    </w:p>
    <w:p w:rsidR="00547E7E" w:rsidRPr="00075492" w:rsidRDefault="00547E7E">
      <w:pPr>
        <w:pStyle w:val="Normaltindrag"/>
      </w:pPr>
      <w:r w:rsidRPr="00075492">
        <w:t xml:space="preserve">På vissa områden har EU emellertid antagit mer detaljerade bestämmelser som har företräde framför dessa kontrolldirektiv. I dessa regleras främst kontroller av animaliska livsmedel. </w:t>
      </w:r>
    </w:p>
    <w:p w:rsidR="00547E7E" w:rsidRPr="00075492" w:rsidRDefault="00547E7E">
      <w:pPr>
        <w:rPr>
          <w:i/>
        </w:rPr>
      </w:pPr>
      <w:bookmarkStart w:id="123" w:name="_Toc528123587"/>
      <w:r w:rsidRPr="00075492">
        <w:rPr>
          <w:i/>
        </w:rPr>
        <w:t>Offentlig kontroll av livsmedel</w:t>
      </w:r>
      <w:bookmarkEnd w:id="123"/>
    </w:p>
    <w:p w:rsidR="00547E7E" w:rsidRPr="00075492" w:rsidRDefault="00547E7E">
      <w:r w:rsidRPr="00075492">
        <w:t>Direktiv 89/397/EEG om offentlig kontroll av livsmedel fastställer de al</w:t>
      </w:r>
      <w:r w:rsidRPr="00075492">
        <w:t>l</w:t>
      </w:r>
      <w:r w:rsidRPr="00075492">
        <w:t>männa principerna för hur den offentliga kontrollen av livsmedel ska geno</w:t>
      </w:r>
      <w:r w:rsidRPr="00075492">
        <w:t>m</w:t>
      </w:r>
      <w:r w:rsidRPr="00075492">
        <w:t>föras. I direktivet konstateras att skillnaderna i de nationella lagstiftningarna avseende livsmedelskontroll påverkar den fria rörligheten för varor. Därför måste de allmänna principer som styr genomförandet av livsmedelskontro</w:t>
      </w:r>
      <w:r w:rsidRPr="00075492">
        <w:t>l</w:t>
      </w:r>
      <w:r w:rsidRPr="00075492">
        <w:t xml:space="preserve">len harmoniseras. </w:t>
      </w:r>
    </w:p>
    <w:p w:rsidR="00547E7E" w:rsidRPr="00075492" w:rsidRDefault="00547E7E">
      <w:pPr>
        <w:pStyle w:val="Normaltindrag"/>
      </w:pPr>
      <w:r w:rsidRPr="00075492">
        <w:t>Av direktivet framgår att ”medlemsstaterna bör tillåtas en viss grad av fr</w:t>
      </w:r>
      <w:r w:rsidRPr="00075492">
        <w:t>i</w:t>
      </w:r>
      <w:r w:rsidRPr="00075492">
        <w:t>het i fråga om det praktiska genomförandet av kontrollen för att inte inkräkta på sådana system av beprövat värde som är bäst lämpade för de speciella förhållandena i varje medlemsstat”.</w:t>
      </w:r>
    </w:p>
    <w:p w:rsidR="00547E7E" w:rsidRPr="00075492" w:rsidRDefault="00547E7E">
      <w:pPr>
        <w:pStyle w:val="Normaltindrag"/>
      </w:pPr>
      <w:r w:rsidRPr="00075492">
        <w:t>Direktivet specificerar att kontroller ska göras regelbundet och vid mis</w:t>
      </w:r>
      <w:r w:rsidRPr="00075492">
        <w:t>s</w:t>
      </w:r>
      <w:r w:rsidRPr="00075492">
        <w:t>tanke om att reglerna inte följs. I direktivet fastställs att livsmedelstillsynen bl.a. ska omfatta:</w:t>
      </w:r>
    </w:p>
    <w:p w:rsidR="00547E7E" w:rsidRPr="00075492" w:rsidRDefault="00547E7E">
      <w:pPr>
        <w:numPr>
          <w:ilvl w:val="0"/>
          <w:numId w:val="138"/>
        </w:numPr>
      </w:pPr>
      <w:r w:rsidRPr="00075492">
        <w:t>tomt, anläggning och utrustning,</w:t>
      </w:r>
    </w:p>
    <w:p w:rsidR="00547E7E" w:rsidRPr="00075492" w:rsidRDefault="00547E7E">
      <w:pPr>
        <w:numPr>
          <w:ilvl w:val="0"/>
          <w:numId w:val="138"/>
        </w:numPr>
      </w:pPr>
      <w:r w:rsidRPr="00075492">
        <w:t>råvaror, ingredienser och teknologiska hjälpmedel,</w:t>
      </w:r>
    </w:p>
    <w:p w:rsidR="00547E7E" w:rsidRPr="00075492" w:rsidRDefault="00547E7E">
      <w:pPr>
        <w:numPr>
          <w:ilvl w:val="0"/>
          <w:numId w:val="138"/>
        </w:numPr>
      </w:pPr>
      <w:r w:rsidRPr="00075492">
        <w:t>halvfabrikat,</w:t>
      </w:r>
    </w:p>
    <w:p w:rsidR="00547E7E" w:rsidRPr="00075492" w:rsidRDefault="00547E7E">
      <w:pPr>
        <w:numPr>
          <w:ilvl w:val="0"/>
          <w:numId w:val="138"/>
        </w:numPr>
      </w:pPr>
      <w:r w:rsidRPr="00075492">
        <w:t>färdigvaror,</w:t>
      </w:r>
    </w:p>
    <w:p w:rsidR="00547E7E" w:rsidRPr="00075492" w:rsidRDefault="00547E7E">
      <w:pPr>
        <w:numPr>
          <w:ilvl w:val="0"/>
          <w:numId w:val="138"/>
        </w:numPr>
      </w:pPr>
      <w:r w:rsidRPr="00075492">
        <w:t>material och föremål avsedda att komma i kontakt med liv</w:t>
      </w:r>
      <w:r w:rsidRPr="00075492">
        <w:t>s</w:t>
      </w:r>
      <w:r w:rsidRPr="00075492">
        <w:t>medel,</w:t>
      </w:r>
    </w:p>
    <w:p w:rsidR="00547E7E" w:rsidRPr="00075492" w:rsidRDefault="00547E7E">
      <w:pPr>
        <w:numPr>
          <w:ilvl w:val="0"/>
          <w:numId w:val="138"/>
        </w:numPr>
      </w:pPr>
      <w:r w:rsidRPr="00075492">
        <w:t>produkter och metoder för rengöring och underhåll samt bekämpning</w:t>
      </w:r>
      <w:r w:rsidRPr="00075492">
        <w:t>s</w:t>
      </w:r>
      <w:r w:rsidRPr="00075492">
        <w:t>m</w:t>
      </w:r>
      <w:r w:rsidRPr="00075492">
        <w:t>e</w:t>
      </w:r>
      <w:r w:rsidRPr="00075492">
        <w:t>del,</w:t>
      </w:r>
    </w:p>
    <w:p w:rsidR="00547E7E" w:rsidRPr="00075492" w:rsidRDefault="00547E7E">
      <w:pPr>
        <w:numPr>
          <w:ilvl w:val="0"/>
          <w:numId w:val="138"/>
        </w:numPr>
      </w:pPr>
      <w:r w:rsidRPr="00075492">
        <w:lastRenderedPageBreak/>
        <w:t>metoder som används vid framställning eller behandling av livsmedel,</w:t>
      </w:r>
    </w:p>
    <w:p w:rsidR="00547E7E" w:rsidRPr="00075492" w:rsidRDefault="00547E7E">
      <w:pPr>
        <w:numPr>
          <w:ilvl w:val="0"/>
          <w:numId w:val="138"/>
        </w:numPr>
      </w:pPr>
      <w:r w:rsidRPr="00075492">
        <w:t>märkning och presentation av livsmedel samt</w:t>
      </w:r>
    </w:p>
    <w:p w:rsidR="00547E7E" w:rsidRPr="00075492" w:rsidRDefault="00547E7E">
      <w:pPr>
        <w:numPr>
          <w:ilvl w:val="0"/>
          <w:numId w:val="138"/>
        </w:numPr>
      </w:pPr>
      <w:r w:rsidRPr="00075492">
        <w:t>konserveringsmetoder.</w:t>
      </w:r>
    </w:p>
    <w:p w:rsidR="00547E7E" w:rsidRPr="00075492" w:rsidRDefault="00547E7E">
      <w:r w:rsidRPr="00075492">
        <w:t>I direktivet finns vidare regler som innebär att inspektören ska vidta de å</w:t>
      </w:r>
      <w:r w:rsidRPr="00075492">
        <w:t>t</w:t>
      </w:r>
      <w:r w:rsidRPr="00075492">
        <w:t>gärder som behövs för att rätta till brister som upptäcks vid kontroll av de ovan nämnda punkterna. Inspektörerna ska dessutom ges tillräckliga bef</w:t>
      </w:r>
      <w:r w:rsidRPr="00075492">
        <w:t>o</w:t>
      </w:r>
      <w:r w:rsidRPr="00075492">
        <w:t xml:space="preserve">genheter i den nationella lagstiftningen för att kunna utföra kontroll och vidta åtgärder vid brister. </w:t>
      </w:r>
    </w:p>
    <w:p w:rsidR="00547E7E" w:rsidRPr="00075492" w:rsidRDefault="00547E7E">
      <w:pPr>
        <w:pStyle w:val="Normaltindrag"/>
      </w:pPr>
      <w:r w:rsidRPr="00075492">
        <w:t>Kommissionen är ansvarig för att se till att EU:s lagstiftning efterlevs av samtliga medlemsstater. I direktiv 93/99/EEG om ytterligare åtgärder för offentlig kontroll av livsmedel regleras kommissionens rätt att inspektera medlemsländerna. De nationella mynd</w:t>
      </w:r>
      <w:r w:rsidRPr="00075492">
        <w:t>igheterna är skyldiga att samarbeta med kommissionens tjänstemän. Vidare finns bestämmelser om att de nati</w:t>
      </w:r>
      <w:r w:rsidRPr="00075492">
        <w:t>o</w:t>
      </w:r>
      <w:r w:rsidRPr="00075492">
        <w:t xml:space="preserve">nella myndigheterna för livsmedelstillsyn måste ha tillgång till tillräcklig kvalificerad och erfaren personal. </w:t>
      </w:r>
    </w:p>
    <w:p w:rsidR="00547E7E" w:rsidRPr="00075492" w:rsidRDefault="00547E7E">
      <w:pPr>
        <w:pStyle w:val="Normaltindrag"/>
      </w:pPr>
      <w:r w:rsidRPr="00075492">
        <w:t>I direktivet finns bestämmelser om att de behöriga myndigheterna i de ol</w:t>
      </w:r>
      <w:r w:rsidRPr="00075492">
        <w:t>i</w:t>
      </w:r>
      <w:r w:rsidRPr="00075492">
        <w:t>ka medlemsländerna är skyldiga att lämna administrativt bistånd till varandra i övervakningen av den lagstiftade kontrollen av livsmedel. Varje medlem</w:t>
      </w:r>
      <w:r w:rsidRPr="00075492">
        <w:t>s</w:t>
      </w:r>
      <w:r w:rsidRPr="00075492">
        <w:t>stat ska utse ett förbindelseorgan som samordnar kommunikationen för st</w:t>
      </w:r>
      <w:r w:rsidRPr="00075492">
        <w:t>a</w:t>
      </w:r>
      <w:r w:rsidRPr="00075492">
        <w:t>tens räkning. I Sverige har regeringen utsett Livsmedelsverket till förbinde</w:t>
      </w:r>
      <w:r w:rsidRPr="00075492">
        <w:t>l</w:t>
      </w:r>
      <w:r w:rsidRPr="00075492">
        <w:t xml:space="preserve">seorgan. </w:t>
      </w:r>
    </w:p>
    <w:p w:rsidR="00547E7E" w:rsidRPr="00075492" w:rsidRDefault="00547E7E">
      <w:pPr>
        <w:pStyle w:val="Normaltindrag"/>
      </w:pPr>
      <w:r w:rsidRPr="00075492">
        <w:t>Tanken är att myndigheter i olika medlemsstater ska kunna utnyttja va</w:t>
      </w:r>
      <w:r w:rsidRPr="00075492">
        <w:t>r</w:t>
      </w:r>
      <w:r w:rsidRPr="00075492">
        <w:t>andras information, t.ex. resultat från provtagningar, för att åstadkomma ett effektivt resursutnyttjande. All information som lämnas av de olika me</w:t>
      </w:r>
      <w:r w:rsidRPr="00075492">
        <w:t>d</w:t>
      </w:r>
      <w:r w:rsidRPr="00075492">
        <w:t>lemsstaternas myndigheter är sekretessbelagd. Om en medlemsstat, på grund av nationell lagstiftning, inte kan sekretesskydda uppgifter från andra staters myndigheter, kan andra stater vägra att lämna ut information till denna my</w:t>
      </w:r>
      <w:r w:rsidRPr="00075492">
        <w:t>n</w:t>
      </w:r>
      <w:r w:rsidRPr="00075492">
        <w:t>di</w:t>
      </w:r>
      <w:r w:rsidRPr="00075492">
        <w:t>g</w:t>
      </w:r>
      <w:r w:rsidRPr="00075492">
        <w:t>het.</w:t>
      </w:r>
    </w:p>
    <w:p w:rsidR="00547E7E" w:rsidRPr="00075492" w:rsidRDefault="00547E7E">
      <w:pPr>
        <w:rPr>
          <w:i/>
        </w:rPr>
      </w:pPr>
      <w:bookmarkStart w:id="124" w:name="_Toc528123588"/>
      <w:r w:rsidRPr="00075492">
        <w:rPr>
          <w:i/>
        </w:rPr>
        <w:t>Livsmedelshygien</w:t>
      </w:r>
      <w:bookmarkEnd w:id="124"/>
    </w:p>
    <w:p w:rsidR="00547E7E" w:rsidRPr="00075492" w:rsidRDefault="00547E7E">
      <w:r w:rsidRPr="00075492">
        <w:t>I direktiv 93/43/EEG om livsmedelshygien finns allmänna regler för livsm</w:t>
      </w:r>
      <w:r w:rsidRPr="00075492">
        <w:t>e</w:t>
      </w:r>
      <w:r w:rsidRPr="00075492">
        <w:t>delshygien samt förfaranden för kontroll av dessa regler. Med livsmedelsh</w:t>
      </w:r>
      <w:r w:rsidRPr="00075492">
        <w:t>y</w:t>
      </w:r>
      <w:r w:rsidRPr="00075492">
        <w:t xml:space="preserve">gien avses samtliga åtgärder för att säkerställa att livsmedel är ”säkra och hälsosamma”. </w:t>
      </w:r>
    </w:p>
    <w:p w:rsidR="00547E7E" w:rsidRPr="00075492" w:rsidRDefault="00547E7E">
      <w:pPr>
        <w:pStyle w:val="Normaltindrag"/>
      </w:pPr>
      <w:r w:rsidRPr="00075492">
        <w:t>Av direktivet framgår att ansvaret för livsmedelshygienen främst ligger hos de olika livsmedelsföretagen. Direktivet omfattar bl.a. bestämmelser om att personer som driver livsmedelsföretag ska utarbeta program för egenko</w:t>
      </w:r>
      <w:r w:rsidRPr="00075492">
        <w:t>n</w:t>
      </w:r>
      <w:r w:rsidRPr="00075492">
        <w:t>troll enligt HACCP (Hazard Analysis Critical Control Points), se avsnitt 9.3.2. Behöriga myndigh</w:t>
      </w:r>
      <w:r w:rsidRPr="00075492">
        <w:t>e</w:t>
      </w:r>
      <w:r w:rsidRPr="00075492">
        <w:t>ters inspektioner ska därefter omfatta:</w:t>
      </w:r>
    </w:p>
    <w:p w:rsidR="00547E7E" w:rsidRPr="00075492" w:rsidRDefault="00547E7E">
      <w:pPr>
        <w:pStyle w:val="Normaltindrag"/>
        <w:numPr>
          <w:ilvl w:val="0"/>
          <w:numId w:val="273"/>
        </w:numPr>
      </w:pPr>
      <w:r w:rsidRPr="00075492">
        <w:t>en allmän bedömning av de potentiella faror för livsmedelssäkerheten som är förbundna med verksamheten samt</w:t>
      </w:r>
    </w:p>
    <w:p w:rsidR="00547E7E" w:rsidRPr="00075492" w:rsidRDefault="00547E7E">
      <w:pPr>
        <w:pStyle w:val="Normaltindrag"/>
        <w:numPr>
          <w:ilvl w:val="0"/>
          <w:numId w:val="273"/>
        </w:numPr>
      </w:pPr>
      <w:r w:rsidRPr="00075492">
        <w:t>en inspektion av företagets övervakning av de ”kritiska kontrollpunkter” som företaget självt identifierat.</w:t>
      </w:r>
    </w:p>
    <w:p w:rsidR="00547E7E" w:rsidRPr="00075492" w:rsidRDefault="00547E7E">
      <w:r w:rsidRPr="00075492">
        <w:t>I direktivet anges att både medlemsstaterna och kommissionen ska uppmun</w:t>
      </w:r>
      <w:r w:rsidRPr="00075492">
        <w:t>t</w:t>
      </w:r>
      <w:r w:rsidRPr="00075492">
        <w:t>ra och delta i utvecklingen av riktlinjer för god hygienpraxis som livsmedel</w:t>
      </w:r>
      <w:r w:rsidRPr="00075492">
        <w:t>s</w:t>
      </w:r>
      <w:r w:rsidRPr="00075492">
        <w:t xml:space="preserve">företag frivilligt kan använda. Riktlinjerna som medlemsstaterna </w:t>
      </w:r>
      <w:r w:rsidRPr="00075492">
        <w:lastRenderedPageBreak/>
        <w:t>utarbetar behöver inte vara  tvingande för företagen. I direktivet finns krav på hygie</w:t>
      </w:r>
      <w:r w:rsidRPr="00075492">
        <w:t>n</w:t>
      </w:r>
      <w:r w:rsidRPr="00075492">
        <w:t>förhållanden vid livsmedelshanteringen. De riktlinjer som medlemsstaterna utarbetar ska syfta till att uppnå de hygienkrav som fastställs i direktivet. Därmed vilar ansvaret för livsmedelshygien på företaget. Myndigheterna ska kontrollera direkt</w:t>
      </w:r>
      <w:r w:rsidRPr="00075492">
        <w:t>i</w:t>
      </w:r>
      <w:r w:rsidRPr="00075492">
        <w:t xml:space="preserve">vets efterlevnad. </w:t>
      </w:r>
    </w:p>
    <w:p w:rsidR="00547E7E" w:rsidRPr="00075492" w:rsidRDefault="00547E7E">
      <w:pPr>
        <w:pStyle w:val="Rubrik3"/>
      </w:pPr>
      <w:bookmarkStart w:id="125" w:name="_Toc528123589"/>
      <w:bookmarkStart w:id="126" w:name="_Toc532284455"/>
      <w:bookmarkStart w:id="127" w:name="_Toc532292015"/>
      <w:bookmarkStart w:id="128" w:name="_Toc84564"/>
      <w:bookmarkStart w:id="129" w:name="_Toc6634526"/>
      <w:bookmarkStart w:id="130" w:name="_Toc6637108"/>
      <w:r w:rsidRPr="00075492">
        <w:t xml:space="preserve">Problem med EU:s </w:t>
      </w:r>
      <w:r w:rsidRPr="00075492">
        <w:t>lagstiftning</w:t>
      </w:r>
      <w:bookmarkEnd w:id="125"/>
      <w:bookmarkEnd w:id="126"/>
      <w:bookmarkEnd w:id="127"/>
      <w:bookmarkEnd w:id="128"/>
      <w:bookmarkEnd w:id="129"/>
      <w:bookmarkEnd w:id="130"/>
      <w:r w:rsidRPr="00075492">
        <w:t xml:space="preserve"> </w:t>
      </w:r>
    </w:p>
    <w:p w:rsidR="00547E7E" w:rsidRPr="00075492" w:rsidRDefault="00547E7E">
      <w:r w:rsidRPr="00075492">
        <w:t xml:space="preserve">Det är svårt att få en samlad bild av den aktuella lagstiftningen inom EU. </w:t>
      </w:r>
    </w:p>
    <w:p w:rsidR="00547E7E" w:rsidRPr="00075492" w:rsidRDefault="00547E7E">
      <w:pPr>
        <w:pStyle w:val="Normaltindrag"/>
      </w:pPr>
      <w:r w:rsidRPr="00075492">
        <w:t>Den enda officiella publiceringen av gällande lagstiftning inom EU sker löpande i Europeiska Gemenskapens Tidning (EGT), allteftersom lagstif</w:t>
      </w:r>
      <w:r w:rsidRPr="00075492">
        <w:t>t</w:t>
      </w:r>
      <w:r w:rsidRPr="00075492">
        <w:t xml:space="preserve">ning antas. </w:t>
      </w:r>
    </w:p>
    <w:p w:rsidR="00547E7E" w:rsidRPr="00075492" w:rsidRDefault="00547E7E">
      <w:pPr>
        <w:pStyle w:val="Normaltindrag"/>
      </w:pPr>
      <w:r w:rsidRPr="00075492">
        <w:t>På webbplats EUR-Lex</w:t>
      </w:r>
      <w:r w:rsidRPr="00075492">
        <w:rPr>
          <w:rStyle w:val="Fotnotsreferens"/>
        </w:rPr>
        <w:footnoteReference w:id="3"/>
      </w:r>
      <w:r w:rsidRPr="00075492">
        <w:t xml:space="preserve"> finns den enda samlade redovisningen av EG:s lagstiftning. Webbplatsen omfattar ett register över gemenskapens gällande lagstiftning och EG:s rättsakter. Lagstiftning som rör livsmedel finns framför allt samlad under rubriken 13.30.14 – Livsmedel. Relevant lagstiftning finns även inom andra områden som t.ex. jordbruk, fiske samt miljö-, konsument- och hälsoskydd.</w:t>
      </w:r>
    </w:p>
    <w:p w:rsidR="00547E7E" w:rsidRPr="00075492" w:rsidRDefault="00547E7E">
      <w:pPr>
        <w:pStyle w:val="Normaltindrag"/>
      </w:pPr>
      <w:r w:rsidRPr="00075492">
        <w:t>EU:s lagstiftning är överlag inte konsoliderad, vilket innebär att ändringar inte sammanförs i enhetliga dokument. Vissa ansträngningar har genom</w:t>
      </w:r>
      <w:r w:rsidRPr="00075492">
        <w:t>förts för att konsolidera lagstiftningen inom EUR-Lex, som är EU:s Internetbas</w:t>
      </w:r>
      <w:r w:rsidRPr="00075492">
        <w:t>e</w:t>
      </w:r>
      <w:r w:rsidRPr="00075492">
        <w:t>rade regelsamling. EUR-Lex publiceras dock under en s.k. ansvarsfriskri</w:t>
      </w:r>
      <w:r w:rsidRPr="00075492">
        <w:t>v</w:t>
      </w:r>
      <w:r w:rsidRPr="00075492">
        <w:t>ning. Denna friskrivning innebär bl.a. att garantier saknas för att lagstiftnin</w:t>
      </w:r>
      <w:r w:rsidRPr="00075492">
        <w:t>g</w:t>
      </w:r>
      <w:r w:rsidRPr="00075492">
        <w:t>en är a</w:t>
      </w:r>
      <w:r w:rsidRPr="00075492">
        <w:t>k</w:t>
      </w:r>
      <w:r w:rsidRPr="00075492">
        <w:t>tuell eller korrekt konsoliderad.</w:t>
      </w:r>
    </w:p>
    <w:p w:rsidR="00547E7E" w:rsidRPr="00075492" w:rsidRDefault="00547E7E">
      <w:pPr>
        <w:pStyle w:val="Normaltindrag"/>
      </w:pPr>
      <w:r w:rsidRPr="00075492">
        <w:t>Statskontoret har genomfört en studie av EU:s påverkan på den svenska statliga tillsynen. I denna konstaterar ett antal av de intervjuade personerna att de områden som regleras med förordningar riskerar att få en mer begrä</w:t>
      </w:r>
      <w:r w:rsidRPr="00075492">
        <w:t>n</w:t>
      </w:r>
      <w:r w:rsidRPr="00075492">
        <w:t>sad tillsyn än områden som regleras med direktiv</w:t>
      </w:r>
      <w:r w:rsidRPr="00075492">
        <w:rPr>
          <w:rStyle w:val="Fotnotsreferens"/>
        </w:rPr>
        <w:footnoteReference w:id="4"/>
      </w:r>
      <w:r w:rsidRPr="00075492">
        <w:t>.</w:t>
      </w:r>
    </w:p>
    <w:p w:rsidR="00547E7E" w:rsidRPr="00075492" w:rsidRDefault="00547E7E">
      <w:pPr>
        <w:pStyle w:val="Normaltindrag"/>
      </w:pPr>
      <w:r w:rsidRPr="00075492">
        <w:t>Direktiv införlivas i svensk lagstiftning. Medlemsstaterna har i regel två år på sig att införliva ett direktiv i nationella bestämmelser, vilket gör att dire</w:t>
      </w:r>
      <w:r w:rsidRPr="00075492">
        <w:t>k</w:t>
      </w:r>
      <w:r w:rsidRPr="00075492">
        <w:t>tiv har längre tid på sig att bli allmänt kända. Förordningar börjar gälla b</w:t>
      </w:r>
      <w:r w:rsidRPr="00075492">
        <w:t>e</w:t>
      </w:r>
      <w:r w:rsidRPr="00075492">
        <w:t>tydligt snabbare och får betydligt mindre uppmärksamhet. Jordbruksdepa</w:t>
      </w:r>
      <w:r w:rsidRPr="00075492">
        <w:t>r</w:t>
      </w:r>
      <w:r w:rsidRPr="00075492">
        <w:t>tementet har iakttagit att det finns en trend att EU:s reglering i allt större utsträckning sker genom förordningar.</w:t>
      </w:r>
    </w:p>
    <w:p w:rsidR="00547E7E" w:rsidRPr="00075492" w:rsidRDefault="00547E7E">
      <w:pPr>
        <w:pStyle w:val="Normaltindrag"/>
        <w:rPr>
          <w:b/>
          <w:i/>
        </w:rPr>
      </w:pPr>
      <w:r w:rsidRPr="00075492">
        <w:t>Ett annat problem med EU:s lagstiftning inom livsmedelstillsynen är dess omfattning. Endast inom området livsmedel finns det hösten 2001 ett sju</w:t>
      </w:r>
      <w:r w:rsidRPr="00075492">
        <w:t>t</w:t>
      </w:r>
      <w:r w:rsidRPr="00075492">
        <w:t>tiotal olika gällande direktiv utfärdade. Därutöver finns förordningar och beslut inom andra områden som p</w:t>
      </w:r>
      <w:r w:rsidRPr="00075492">
        <w:t>å</w:t>
      </w:r>
      <w:r w:rsidRPr="00075492">
        <w:t xml:space="preserve">verkar livsmedelstillsynen. </w:t>
      </w:r>
    </w:p>
    <w:p w:rsidR="00547E7E" w:rsidRPr="00075492" w:rsidRDefault="00547E7E">
      <w:pPr>
        <w:pStyle w:val="Normaltindrag"/>
      </w:pPr>
      <w:r w:rsidRPr="00075492">
        <w:t>Vid intervjuer med företrädare för kommuner har det framkommit att det finns ett behov av att framför allt förbättra informationen rörande föror</w:t>
      </w:r>
      <w:r w:rsidRPr="00075492">
        <w:t>d</w:t>
      </w:r>
      <w:r w:rsidRPr="00075492">
        <w:t>ningar. Enligt uppgifter vid en intervju informerar inte alltid Livsmedelsve</w:t>
      </w:r>
      <w:r w:rsidRPr="00075492">
        <w:t>r</w:t>
      </w:r>
      <w:r w:rsidRPr="00075492">
        <w:t xml:space="preserve">ket de lokala tillsynsmyndigheterna när förordningar utfärdas. </w:t>
      </w:r>
    </w:p>
    <w:p w:rsidR="00547E7E" w:rsidRPr="00075492" w:rsidRDefault="00547E7E">
      <w:pPr>
        <w:pStyle w:val="Normaltindrag"/>
      </w:pPr>
      <w:r w:rsidRPr="00075492">
        <w:lastRenderedPageBreak/>
        <w:t>Ett tredje problem är att lagstiftningen inom livsmedelsområdet anses vara både komplicerad och inkonsekvent. Utredningen om livsmedelstillsynen i Sverige (SOU 1998:61) konstaterade att lagstiftningen var svår att överblicka och stadd i ständig förändring.</w:t>
      </w:r>
    </w:p>
    <w:p w:rsidR="00547E7E" w:rsidRPr="00075492" w:rsidRDefault="00547E7E">
      <w:pPr>
        <w:pStyle w:val="Normaltindrag"/>
      </w:pPr>
      <w:r w:rsidRPr="00075492">
        <w:t xml:space="preserve">Problemen med regleringen har också uppmärksammats av kommissionen som under 1999 presenterade en vitbok som bl.a. syftar till att komma till rätta med problem inom livsmedelslagstiftningen. Vitboken behandlas i avsnitt 2.7. </w:t>
      </w:r>
    </w:p>
    <w:p w:rsidR="00547E7E" w:rsidRPr="00075492" w:rsidRDefault="00547E7E">
      <w:pPr>
        <w:pStyle w:val="Rubrik2"/>
      </w:pPr>
      <w:bookmarkStart w:id="131" w:name="_Toc532284456"/>
      <w:bookmarkStart w:id="132" w:name="_Toc532292016"/>
      <w:bookmarkStart w:id="133" w:name="_Toc84565"/>
      <w:bookmarkStart w:id="134" w:name="_Toc6634527"/>
      <w:bookmarkStart w:id="135" w:name="_Toc6637109"/>
      <w:r w:rsidRPr="00075492">
        <w:t>Kommissionens utvärderingar</w:t>
      </w:r>
      <w:bookmarkEnd w:id="131"/>
      <w:bookmarkEnd w:id="132"/>
      <w:bookmarkEnd w:id="133"/>
      <w:bookmarkEnd w:id="134"/>
      <w:bookmarkEnd w:id="135"/>
    </w:p>
    <w:p w:rsidR="00547E7E" w:rsidRPr="00075492" w:rsidRDefault="00547E7E">
      <w:pPr>
        <w:pStyle w:val="Rubrik3"/>
      </w:pPr>
      <w:bookmarkStart w:id="136" w:name="_Toc532284457"/>
      <w:bookmarkStart w:id="137" w:name="_Toc532292017"/>
      <w:bookmarkStart w:id="138" w:name="_Toc84566"/>
      <w:bookmarkStart w:id="139" w:name="_Toc6634528"/>
      <w:bookmarkStart w:id="140" w:name="_Toc6637110"/>
      <w:r w:rsidRPr="00075492">
        <w:t>Utvärderingar av livsmedelstillsynen i Sverige</w:t>
      </w:r>
      <w:bookmarkEnd w:id="136"/>
      <w:bookmarkEnd w:id="137"/>
      <w:bookmarkEnd w:id="138"/>
      <w:bookmarkEnd w:id="139"/>
      <w:bookmarkEnd w:id="140"/>
    </w:p>
    <w:p w:rsidR="00547E7E" w:rsidRPr="00075492" w:rsidRDefault="00547E7E">
      <w:r w:rsidRPr="00075492">
        <w:t xml:space="preserve">Kommissionen har genomfört dels tre utvärderingar av det svenska systemet för livsmedelssystem i allmänhet, dels ett antal utvärderingar riktade mot särskilda områden inom livsmedelstillsynen. </w:t>
      </w:r>
    </w:p>
    <w:p w:rsidR="00547E7E" w:rsidRPr="00075492" w:rsidRDefault="00547E7E">
      <w:pPr>
        <w:pStyle w:val="Normaltindrag"/>
      </w:pPr>
      <w:r w:rsidRPr="00075492">
        <w:t>Utvärderingar av det svenska systemet för livsmedelstillsyn genomfördes åren 1996, 1998 och 2000. Utvärderingarna var ett led i kommissionens tillsyn över hur medlemsländerna tillämpar rådets direktiv om livsmedelstil</w:t>
      </w:r>
      <w:r w:rsidRPr="00075492">
        <w:t>l</w:t>
      </w:r>
      <w:r w:rsidRPr="00075492">
        <w:t>syn och ingår i en serie av utvärderingar där kommissionens tjänstemän besökte samtliga me</w:t>
      </w:r>
      <w:r w:rsidRPr="00075492">
        <w:t>d</w:t>
      </w:r>
      <w:r w:rsidRPr="00075492">
        <w:t>lemsländer.</w:t>
      </w:r>
    </w:p>
    <w:p w:rsidR="00547E7E" w:rsidRPr="00075492" w:rsidRDefault="00547E7E">
      <w:pPr>
        <w:rPr>
          <w:i/>
        </w:rPr>
      </w:pPr>
      <w:bookmarkStart w:id="141" w:name="_Toc525377220"/>
      <w:r w:rsidRPr="00075492">
        <w:rPr>
          <w:i/>
        </w:rPr>
        <w:t>År 1996 – Översikt av det svenska systemet</w:t>
      </w:r>
      <w:bookmarkEnd w:id="141"/>
    </w:p>
    <w:p w:rsidR="00547E7E" w:rsidRPr="00075492" w:rsidRDefault="00547E7E">
      <w:r w:rsidRPr="00075492">
        <w:t>Kommissionens syfte med det första besöket var att få en bild av det svenska systemet för livsmedelstillsyn, bl.a. avseende lagstiftning och ansvarsförde</w:t>
      </w:r>
      <w:r w:rsidRPr="00075492">
        <w:t>l</w:t>
      </w:r>
      <w:r w:rsidRPr="00075492">
        <w:t xml:space="preserve">ning mellan olika myndigheter. </w:t>
      </w:r>
    </w:p>
    <w:p w:rsidR="00547E7E" w:rsidRPr="00075492" w:rsidRDefault="00547E7E">
      <w:pPr>
        <w:pStyle w:val="Normaltindrag"/>
      </w:pPr>
      <w:r w:rsidRPr="00075492">
        <w:t>Beträffande Livsmedelsverkets styrning konstateras att ”Lagen verkar oc</w:t>
      </w:r>
      <w:r w:rsidRPr="00075492">
        <w:t>k</w:t>
      </w:r>
      <w:r w:rsidRPr="00075492">
        <w:t>så medge, även om denna möjlighet inte används fullt ut, styrning av til</w:t>
      </w:r>
      <w:r w:rsidRPr="00075492">
        <w:t>l</w:t>
      </w:r>
      <w:r w:rsidRPr="00075492">
        <w:t>synsmyndigheter beträffande hur och i vilken omfattning de skall bedriva den livsmedelskontroll för vilken de är ansvariga”</w:t>
      </w:r>
      <w:r w:rsidRPr="00075492">
        <w:rPr>
          <w:rStyle w:val="Fotnotsreferens"/>
        </w:rPr>
        <w:footnoteReference w:id="5"/>
      </w:r>
      <w:r w:rsidRPr="00075492">
        <w:t>. Samtidigt sades att Livsmedelsverkets möjligheter till viss del begränsades av den kommunala självstyre</w:t>
      </w:r>
      <w:r w:rsidRPr="00075492">
        <w:t>l</w:t>
      </w:r>
      <w:r w:rsidRPr="00075492">
        <w:t>sen.</w:t>
      </w:r>
    </w:p>
    <w:p w:rsidR="00547E7E" w:rsidRPr="00075492" w:rsidRDefault="00547E7E">
      <w:pPr>
        <w:pStyle w:val="Normaltindrag"/>
      </w:pPr>
      <w:r w:rsidRPr="00075492">
        <w:t>Kritik framfördes mot den kommunala tillsynen. Kommissionen menade att kunskapsnivån hos de kommunala inspektörerna var ojämn och på vissa ställen alltför låg. Vidare konstaterade kommissionen att det behövdes ytte</w:t>
      </w:r>
      <w:r w:rsidRPr="00075492">
        <w:t>r</w:t>
      </w:r>
      <w:r w:rsidRPr="00075492">
        <w:t>ligare ansträngningar för att företagens egenkontroll enligt HACCP</w:t>
      </w:r>
      <w:r w:rsidRPr="00075492">
        <w:rPr>
          <w:rStyle w:val="Fotnotsreferens"/>
        </w:rPr>
        <w:footnoteReference w:id="6"/>
      </w:r>
      <w:r w:rsidRPr="00075492">
        <w:t xml:space="preserve"> skulle utvecklas och tillämpas i tillräcklig utsträckning.</w:t>
      </w:r>
    </w:p>
    <w:p w:rsidR="00547E7E" w:rsidRPr="00075492" w:rsidRDefault="00547E7E">
      <w:pPr>
        <w:rPr>
          <w:i/>
        </w:rPr>
      </w:pPr>
      <w:bookmarkStart w:id="142" w:name="_Toc525377221"/>
      <w:bookmarkStart w:id="143" w:name="_Toc532292018"/>
      <w:bookmarkStart w:id="144" w:name="_Toc84567"/>
      <w:r w:rsidRPr="00075492">
        <w:rPr>
          <w:i/>
        </w:rPr>
        <w:t>År 1998 – Uppföljning av det första besöket</w:t>
      </w:r>
      <w:bookmarkEnd w:id="142"/>
      <w:bookmarkEnd w:id="143"/>
      <w:bookmarkEnd w:id="144"/>
    </w:p>
    <w:p w:rsidR="00547E7E" w:rsidRPr="00075492" w:rsidRDefault="00547E7E">
      <w:r w:rsidRPr="00075492">
        <w:t xml:space="preserve">Kommissionens andra besök var en uppföljning av det första besöket. Det huvudsakliga syftet var att undersöka vilka organisatoriska förändringar som hade genomförts i samtliga medlemsländer. Dessutom specialgranskade </w:t>
      </w:r>
      <w:r w:rsidRPr="00075492">
        <w:lastRenderedPageBreak/>
        <w:t>kommissionens tjänstemän systemet för kontroll av importerade livsmedel av icke animaliskt ursprung. I rapporten konstaterade kommissionen att inga organisatoriska förändringar hade genomförts i Sverige samt att importko</w:t>
      </w:r>
      <w:r w:rsidRPr="00075492">
        <w:t>n</w:t>
      </w:r>
      <w:r w:rsidRPr="00075492">
        <w:t>trollen fungerade väl.</w:t>
      </w:r>
    </w:p>
    <w:p w:rsidR="00547E7E" w:rsidRPr="00075492" w:rsidRDefault="00547E7E">
      <w:pPr>
        <w:rPr>
          <w:i/>
        </w:rPr>
      </w:pPr>
      <w:bookmarkStart w:id="145" w:name="_Toc525377222"/>
      <w:bookmarkStart w:id="146" w:name="_Toc532292019"/>
      <w:bookmarkStart w:id="147" w:name="_Toc84568"/>
      <w:r w:rsidRPr="00075492">
        <w:rPr>
          <w:i/>
        </w:rPr>
        <w:t>År 2000 – Kritik mot den svenska livsmedelstillsynen</w:t>
      </w:r>
      <w:bookmarkEnd w:id="145"/>
      <w:bookmarkEnd w:id="146"/>
      <w:bookmarkEnd w:id="147"/>
    </w:p>
    <w:p w:rsidR="00547E7E" w:rsidRPr="00075492" w:rsidRDefault="00547E7E">
      <w:r w:rsidRPr="00075492">
        <w:t>På grundval av kommissionens tredje besök riktades betydligt mer kritik mot den kommunala tillsynen än vid tidigare besök. Kommissionens tjänstemän besökte bl.a. tio anläggningar i Sverige där livsmedel hanterades. Enligt Livsmedelsverket besöktes enbart anläggningar som stod under kommunal tillsyn, vilket inte fra</w:t>
      </w:r>
      <w:r w:rsidRPr="00075492">
        <w:t>m</w:t>
      </w:r>
      <w:r w:rsidRPr="00075492">
        <w:t>går av rapporten.</w:t>
      </w:r>
    </w:p>
    <w:p w:rsidR="00547E7E" w:rsidRPr="00075492" w:rsidRDefault="00547E7E">
      <w:pPr>
        <w:pStyle w:val="Normaltindrag"/>
      </w:pPr>
      <w:r w:rsidRPr="00075492">
        <w:t>På grundval av dessa besök drog kommissionen slutsatser om den låga kvaliteten i kommunernas livsmedelstillsyn. Framför allt kritiserade ko</w:t>
      </w:r>
      <w:r w:rsidRPr="00075492">
        <w:t>m</w:t>
      </w:r>
      <w:r w:rsidRPr="00075492">
        <w:t xml:space="preserve">missionen kommunerna för att inte använda likvärdiga eller tillräckliga checklistor vid tillsynen, dålig uppföljning av inspektörernas utbildning samt alltför låg tillsynsfrekvens. </w:t>
      </w:r>
    </w:p>
    <w:p w:rsidR="00547E7E" w:rsidRPr="00075492" w:rsidRDefault="00547E7E">
      <w:pPr>
        <w:pStyle w:val="Normaltindrag"/>
      </w:pPr>
      <w:r w:rsidRPr="00075492">
        <w:t>Kommissionen kommenterade också hygienförhållanden vid de olika a</w:t>
      </w:r>
      <w:r w:rsidRPr="00075492">
        <w:t>n</w:t>
      </w:r>
      <w:r w:rsidRPr="00075492">
        <w:t xml:space="preserve">läggningarna som besöktes. Synpunkter lämnades om att det fanns utrymme för förbättringar, speciellt vad gällde restaurangerna. Även egenkontrollen vid anläggningar var bristfällig. Detta tolkades som ytterligare ett tecken på bristande tillsyn. </w:t>
      </w:r>
    </w:p>
    <w:p w:rsidR="00547E7E" w:rsidRPr="00075492" w:rsidRDefault="00547E7E">
      <w:pPr>
        <w:pStyle w:val="Rubrik3"/>
      </w:pPr>
      <w:bookmarkStart w:id="148" w:name="_Toc525377223"/>
      <w:bookmarkStart w:id="149" w:name="_Toc532284458"/>
      <w:bookmarkStart w:id="150" w:name="_Toc532292020"/>
      <w:bookmarkStart w:id="151" w:name="_Toc84569"/>
      <w:bookmarkStart w:id="152" w:name="_Toc6634529"/>
      <w:bookmarkStart w:id="153" w:name="_Toc6637111"/>
      <w:r w:rsidRPr="00075492">
        <w:t>Granskningar inom olika områden av livsmedelstillsynen</w:t>
      </w:r>
      <w:bookmarkEnd w:id="148"/>
      <w:bookmarkEnd w:id="149"/>
      <w:bookmarkEnd w:id="150"/>
      <w:bookmarkEnd w:id="151"/>
      <w:bookmarkEnd w:id="152"/>
      <w:bookmarkEnd w:id="153"/>
    </w:p>
    <w:p w:rsidR="00547E7E" w:rsidRPr="00075492" w:rsidRDefault="00547E7E">
      <w:r w:rsidRPr="00075492">
        <w:t>Kommissionen genomför årligen ett antal inspektioner inom olika områden av livsmedelstillsynen. Inspektionerna görs i EU:s medlemsländer, kand</w:t>
      </w:r>
      <w:r w:rsidRPr="00075492">
        <w:t>i</w:t>
      </w:r>
      <w:r w:rsidRPr="00075492">
        <w:t>datländerna samt vissa tredje länder. För ett särskilt område (t.ex. köttha</w:t>
      </w:r>
      <w:r w:rsidRPr="00075492">
        <w:t>n</w:t>
      </w:r>
      <w:r w:rsidRPr="00075492">
        <w:t xml:space="preserve">teringen) besöks inte samtliga medlemsländer utan endast vissa utvalda länder. </w:t>
      </w:r>
    </w:p>
    <w:p w:rsidR="00547E7E" w:rsidRPr="00075492" w:rsidRDefault="00547E7E">
      <w:pPr>
        <w:pStyle w:val="Normaltindrag"/>
      </w:pPr>
      <w:r w:rsidRPr="00075492">
        <w:t>Under år 2000 genomförde kommissionen 121 besök i olika medlemslä</w:t>
      </w:r>
      <w:r w:rsidRPr="00075492">
        <w:t>n</w:t>
      </w:r>
      <w:r w:rsidRPr="00075492">
        <w:t>der i syfte att utvärdera livsmedelstillsynen. Fem besök gjordes i Sverige. Redovisade rapporter framgår av tabell 1.</w:t>
      </w:r>
    </w:p>
    <w:p w:rsidR="00547E7E" w:rsidRPr="00075492" w:rsidRDefault="00547E7E">
      <w:pPr>
        <w:pStyle w:val="Normaltindrag"/>
      </w:pPr>
    </w:p>
    <w:p w:rsidR="00547E7E" w:rsidRPr="00075492" w:rsidRDefault="00547E7E">
      <w:pPr>
        <w:pStyle w:val="Beskrivning"/>
      </w:pPr>
      <w:r w:rsidRPr="00075492">
        <w:t xml:space="preserve">Tabell </w:t>
      </w:r>
      <w:r w:rsidRPr="00075492">
        <w:t>1</w:t>
      </w:r>
      <w:r w:rsidRPr="00075492">
        <w:t xml:space="preserve">   Utvärderingsrapporter</w:t>
      </w:r>
    </w:p>
    <w:p w:rsidR="00547E7E" w:rsidRPr="00075492" w:rsidRDefault="00547E7E">
      <w:pPr>
        <w:pStyle w:val="Tabell"/>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97"/>
        <w:gridCol w:w="3839"/>
      </w:tblGrid>
      <w:tr w:rsidR="00000000" w:rsidRPr="00075492">
        <w:tblPrEx>
          <w:tblCellMar>
            <w:top w:w="0" w:type="dxa"/>
            <w:bottom w:w="0" w:type="dxa"/>
          </w:tblCellMar>
        </w:tblPrEx>
        <w:trPr>
          <w:cantSplit/>
          <w:trHeight w:val="247"/>
        </w:trPr>
        <w:tc>
          <w:tcPr>
            <w:tcW w:w="6036" w:type="dxa"/>
            <w:gridSpan w:val="2"/>
            <w:shd w:val="pct10" w:color="auto" w:fill="FFFFFF"/>
            <w:vAlign w:val="center"/>
          </w:tcPr>
          <w:p w:rsidR="00547E7E" w:rsidRPr="00075492" w:rsidRDefault="00547E7E">
            <w:pPr>
              <w:pStyle w:val="Tabellrubrik"/>
            </w:pPr>
            <w:r w:rsidRPr="00075492">
              <w:t>1999</w:t>
            </w:r>
          </w:p>
        </w:tc>
      </w:tr>
      <w:tr w:rsidR="00000000" w:rsidRPr="00075492">
        <w:tblPrEx>
          <w:tblCellMar>
            <w:top w:w="0" w:type="dxa"/>
            <w:bottom w:w="0" w:type="dxa"/>
          </w:tblCellMar>
        </w:tblPrEx>
        <w:trPr>
          <w:trHeight w:val="255"/>
        </w:trPr>
        <w:tc>
          <w:tcPr>
            <w:tcW w:w="2197" w:type="dxa"/>
            <w:vAlign w:val="center"/>
          </w:tcPr>
          <w:p w:rsidR="00547E7E" w:rsidRPr="00075492" w:rsidRDefault="00547E7E">
            <w:pPr>
              <w:pStyle w:val="Tabell"/>
            </w:pPr>
            <w:r w:rsidRPr="00075492">
              <w:t>DG(SANCO)/1153/1999</w:t>
            </w:r>
          </w:p>
        </w:tc>
        <w:tc>
          <w:tcPr>
            <w:tcW w:w="3839" w:type="dxa"/>
            <w:vAlign w:val="center"/>
          </w:tcPr>
          <w:p w:rsidR="00547E7E" w:rsidRPr="00075492" w:rsidRDefault="00547E7E">
            <w:pPr>
              <w:pStyle w:val="Tabell"/>
            </w:pPr>
            <w:r w:rsidRPr="00075492">
              <w:t>Hantering av mjölk och mjölkprodukter.</w:t>
            </w:r>
          </w:p>
        </w:tc>
      </w:tr>
      <w:tr w:rsidR="00000000" w:rsidRPr="00075492">
        <w:tblPrEx>
          <w:tblCellMar>
            <w:top w:w="0" w:type="dxa"/>
            <w:bottom w:w="0" w:type="dxa"/>
          </w:tblCellMar>
        </w:tblPrEx>
        <w:trPr>
          <w:cantSplit/>
          <w:trHeight w:val="255"/>
        </w:trPr>
        <w:tc>
          <w:tcPr>
            <w:tcW w:w="6036" w:type="dxa"/>
            <w:gridSpan w:val="2"/>
            <w:shd w:val="pct10" w:color="auto" w:fill="FFFFFF"/>
            <w:vAlign w:val="center"/>
          </w:tcPr>
          <w:p w:rsidR="00547E7E" w:rsidRPr="00075492" w:rsidRDefault="00547E7E">
            <w:pPr>
              <w:pStyle w:val="Tabellrubrik"/>
            </w:pPr>
            <w:r w:rsidRPr="00075492">
              <w:t>2000</w:t>
            </w:r>
          </w:p>
        </w:tc>
      </w:tr>
      <w:tr w:rsidR="00000000" w:rsidRPr="00075492">
        <w:tblPrEx>
          <w:tblCellMar>
            <w:top w:w="0" w:type="dxa"/>
            <w:bottom w:w="0" w:type="dxa"/>
          </w:tblCellMar>
        </w:tblPrEx>
        <w:trPr>
          <w:trHeight w:val="247"/>
        </w:trPr>
        <w:tc>
          <w:tcPr>
            <w:tcW w:w="2197" w:type="dxa"/>
            <w:vAlign w:val="center"/>
          </w:tcPr>
          <w:p w:rsidR="00547E7E" w:rsidRPr="00075492" w:rsidRDefault="00547E7E">
            <w:pPr>
              <w:pStyle w:val="Tabell"/>
            </w:pPr>
            <w:r w:rsidRPr="00075492">
              <w:t>DG(SANCO)/1135/2000</w:t>
            </w:r>
          </w:p>
        </w:tc>
        <w:tc>
          <w:tcPr>
            <w:tcW w:w="3839" w:type="dxa"/>
            <w:vAlign w:val="center"/>
          </w:tcPr>
          <w:p w:rsidR="00547E7E" w:rsidRPr="00075492" w:rsidRDefault="00547E7E">
            <w:pPr>
              <w:pStyle w:val="Tabell"/>
            </w:pPr>
            <w:r w:rsidRPr="00075492">
              <w:t>Hantering av kött från fjäderfä (kyckling m.m.).</w:t>
            </w:r>
          </w:p>
        </w:tc>
      </w:tr>
      <w:tr w:rsidR="00000000" w:rsidRPr="00075492">
        <w:tblPrEx>
          <w:tblCellMar>
            <w:top w:w="0" w:type="dxa"/>
            <w:bottom w:w="0" w:type="dxa"/>
          </w:tblCellMar>
        </w:tblPrEx>
        <w:trPr>
          <w:trHeight w:val="248"/>
        </w:trPr>
        <w:tc>
          <w:tcPr>
            <w:tcW w:w="2197" w:type="dxa"/>
            <w:vAlign w:val="center"/>
          </w:tcPr>
          <w:p w:rsidR="00547E7E" w:rsidRPr="00075492" w:rsidRDefault="00547E7E">
            <w:pPr>
              <w:pStyle w:val="Tabell"/>
            </w:pPr>
            <w:r w:rsidRPr="00075492">
              <w:t>DG(SANCO)/1189/2000</w:t>
            </w:r>
          </w:p>
        </w:tc>
        <w:tc>
          <w:tcPr>
            <w:tcW w:w="3839" w:type="dxa"/>
            <w:vAlign w:val="center"/>
          </w:tcPr>
          <w:p w:rsidR="00547E7E" w:rsidRPr="00075492" w:rsidRDefault="00547E7E">
            <w:pPr>
              <w:pStyle w:val="Tabell"/>
            </w:pPr>
            <w:r w:rsidRPr="00075492">
              <w:t>Rester av bekämpningsmedel i livsmedel.</w:t>
            </w:r>
          </w:p>
        </w:tc>
      </w:tr>
      <w:tr w:rsidR="00000000" w:rsidRPr="00075492">
        <w:tblPrEx>
          <w:tblCellMar>
            <w:top w:w="0" w:type="dxa"/>
            <w:bottom w:w="0" w:type="dxa"/>
          </w:tblCellMar>
        </w:tblPrEx>
        <w:trPr>
          <w:trHeight w:val="248"/>
        </w:trPr>
        <w:tc>
          <w:tcPr>
            <w:tcW w:w="2197" w:type="dxa"/>
            <w:vAlign w:val="center"/>
          </w:tcPr>
          <w:p w:rsidR="00547E7E" w:rsidRPr="00075492" w:rsidRDefault="00547E7E">
            <w:pPr>
              <w:pStyle w:val="Tabell"/>
            </w:pPr>
            <w:r w:rsidRPr="00075492">
              <w:t>DG(SANCO)/1216/2000</w:t>
            </w:r>
          </w:p>
        </w:tc>
        <w:tc>
          <w:tcPr>
            <w:tcW w:w="3839" w:type="dxa"/>
            <w:vAlign w:val="center"/>
          </w:tcPr>
          <w:p w:rsidR="00547E7E" w:rsidRPr="00075492" w:rsidRDefault="00547E7E">
            <w:pPr>
              <w:pStyle w:val="Tabell"/>
            </w:pPr>
            <w:r w:rsidRPr="00075492">
              <w:t>Hanteringen av köttprodukter.</w:t>
            </w:r>
          </w:p>
        </w:tc>
      </w:tr>
      <w:tr w:rsidR="00000000" w:rsidRPr="00075492">
        <w:tblPrEx>
          <w:tblCellMar>
            <w:top w:w="0" w:type="dxa"/>
            <w:bottom w:w="0" w:type="dxa"/>
          </w:tblCellMar>
        </w:tblPrEx>
        <w:trPr>
          <w:trHeight w:val="248"/>
        </w:trPr>
        <w:tc>
          <w:tcPr>
            <w:tcW w:w="2197" w:type="dxa"/>
            <w:vAlign w:val="center"/>
          </w:tcPr>
          <w:p w:rsidR="00547E7E" w:rsidRPr="00075492" w:rsidRDefault="00547E7E">
            <w:pPr>
              <w:pStyle w:val="Tabell"/>
            </w:pPr>
            <w:r w:rsidRPr="00075492">
              <w:t>DG(SANCO)/1226/2000</w:t>
            </w:r>
          </w:p>
        </w:tc>
        <w:tc>
          <w:tcPr>
            <w:tcW w:w="3839" w:type="dxa"/>
            <w:vAlign w:val="center"/>
          </w:tcPr>
          <w:p w:rsidR="00547E7E" w:rsidRPr="00075492" w:rsidRDefault="00547E7E">
            <w:pPr>
              <w:pStyle w:val="Tabell"/>
            </w:pPr>
            <w:r w:rsidRPr="00075492">
              <w:t>Hanteringen av viltkött (inklusive renkött).</w:t>
            </w:r>
          </w:p>
        </w:tc>
      </w:tr>
      <w:tr w:rsidR="00000000" w:rsidRPr="00075492">
        <w:tblPrEx>
          <w:tblCellMar>
            <w:top w:w="0" w:type="dxa"/>
            <w:bottom w:w="0" w:type="dxa"/>
          </w:tblCellMar>
        </w:tblPrEx>
        <w:trPr>
          <w:trHeight w:val="247"/>
        </w:trPr>
        <w:tc>
          <w:tcPr>
            <w:tcW w:w="2197" w:type="dxa"/>
            <w:vAlign w:val="center"/>
          </w:tcPr>
          <w:p w:rsidR="00547E7E" w:rsidRPr="00075492" w:rsidRDefault="00547E7E">
            <w:pPr>
              <w:pStyle w:val="Tabell"/>
            </w:pPr>
            <w:r w:rsidRPr="00075492">
              <w:t>DG(SANCO)/1271/2000</w:t>
            </w:r>
          </w:p>
        </w:tc>
        <w:tc>
          <w:tcPr>
            <w:tcW w:w="3839" w:type="dxa"/>
            <w:vAlign w:val="center"/>
          </w:tcPr>
          <w:p w:rsidR="00547E7E" w:rsidRPr="00075492" w:rsidRDefault="00547E7E">
            <w:pPr>
              <w:pStyle w:val="Tabell"/>
            </w:pPr>
            <w:r w:rsidRPr="00075492">
              <w:t>Gränskontroller.</w:t>
            </w:r>
          </w:p>
        </w:tc>
      </w:tr>
      <w:tr w:rsidR="00000000" w:rsidRPr="00075492">
        <w:tblPrEx>
          <w:tblCellMar>
            <w:top w:w="0" w:type="dxa"/>
            <w:bottom w:w="0" w:type="dxa"/>
          </w:tblCellMar>
        </w:tblPrEx>
        <w:trPr>
          <w:cantSplit/>
          <w:trHeight w:val="247"/>
        </w:trPr>
        <w:tc>
          <w:tcPr>
            <w:tcW w:w="6036" w:type="dxa"/>
            <w:gridSpan w:val="2"/>
            <w:shd w:val="pct10" w:color="auto" w:fill="FFFFFF"/>
            <w:vAlign w:val="center"/>
          </w:tcPr>
          <w:p w:rsidR="00547E7E" w:rsidRPr="00075492" w:rsidRDefault="00547E7E">
            <w:pPr>
              <w:pStyle w:val="Tabellrubrik"/>
            </w:pPr>
            <w:r w:rsidRPr="00075492">
              <w:t>2001</w:t>
            </w:r>
          </w:p>
        </w:tc>
      </w:tr>
      <w:tr w:rsidR="00000000" w:rsidRPr="00075492">
        <w:tblPrEx>
          <w:tblCellMar>
            <w:top w:w="0" w:type="dxa"/>
            <w:bottom w:w="0" w:type="dxa"/>
          </w:tblCellMar>
        </w:tblPrEx>
        <w:trPr>
          <w:trHeight w:val="248"/>
        </w:trPr>
        <w:tc>
          <w:tcPr>
            <w:tcW w:w="2197" w:type="dxa"/>
            <w:vAlign w:val="center"/>
          </w:tcPr>
          <w:p w:rsidR="00547E7E" w:rsidRPr="00075492" w:rsidRDefault="00547E7E">
            <w:pPr>
              <w:pStyle w:val="Tabell"/>
            </w:pPr>
            <w:r w:rsidRPr="00075492">
              <w:t>DG(SANCO)/3236/2001</w:t>
            </w:r>
          </w:p>
        </w:tc>
        <w:tc>
          <w:tcPr>
            <w:tcW w:w="3839" w:type="dxa"/>
            <w:vAlign w:val="center"/>
          </w:tcPr>
          <w:p w:rsidR="00547E7E" w:rsidRPr="00075492" w:rsidRDefault="00547E7E">
            <w:pPr>
              <w:pStyle w:val="Tabell"/>
            </w:pPr>
            <w:r w:rsidRPr="00075492">
              <w:t>Kontrollen av BSE i Sverige.</w:t>
            </w:r>
          </w:p>
        </w:tc>
      </w:tr>
    </w:tbl>
    <w:p w:rsidR="00547E7E" w:rsidRPr="00075492" w:rsidRDefault="00547E7E">
      <w:r w:rsidRPr="00075492">
        <w:lastRenderedPageBreak/>
        <w:t>Kommissionens synpunkter på det svenska systemet för livsmedelstillsyn baseras på utvärderingsrapporterna från år 2000 samt en rapport från vardera år 1999 och år 2001.</w:t>
      </w:r>
      <w:bookmarkStart w:id="154" w:name="_Toc525377224"/>
      <w:bookmarkStart w:id="155" w:name="_Toc525377226"/>
      <w:bookmarkStart w:id="156" w:name="_Toc532292021"/>
    </w:p>
    <w:p w:rsidR="00547E7E" w:rsidRPr="00075492" w:rsidRDefault="00547E7E">
      <w:pPr>
        <w:rPr>
          <w:i/>
        </w:rPr>
      </w:pPr>
      <w:r w:rsidRPr="00075492">
        <w:rPr>
          <w:i/>
        </w:rPr>
        <w:t>Kommunernas tillsyn</w:t>
      </w:r>
      <w:bookmarkEnd w:id="155"/>
      <w:bookmarkEnd w:id="156"/>
    </w:p>
    <w:p w:rsidR="00547E7E" w:rsidRPr="00075492" w:rsidRDefault="00547E7E">
      <w:r w:rsidRPr="00075492">
        <w:t>Som tidigare nämnts har kommissionen riktat kritik mot kommunernas til</w:t>
      </w:r>
      <w:r w:rsidRPr="00075492">
        <w:t>l</w:t>
      </w:r>
      <w:r w:rsidRPr="00075492">
        <w:t>syn av livsmedelsanläggningar. I utvärderingsrapporten om tillsynen över hanteringen av mjölk och mjölkprodukter konstaterar kommissionen att kommunernas resursbrist för livsmedelstillsyn är uppenbar och påverkar kvaliteten i tillsynen.</w:t>
      </w:r>
    </w:p>
    <w:p w:rsidR="00547E7E" w:rsidRPr="00075492" w:rsidRDefault="00547E7E">
      <w:pPr>
        <w:pStyle w:val="Normaltindrag"/>
      </w:pPr>
      <w:r w:rsidRPr="00075492">
        <w:t xml:space="preserve">I en utvärdering av det svenska systemet för livsmedelstillsyn år 1996, som tidigare redovisats, ansåg kommissionen att makten över den kommunala tillsynen låg hos kommunens politiker. </w:t>
      </w:r>
    </w:p>
    <w:p w:rsidR="00547E7E" w:rsidRPr="00075492" w:rsidRDefault="00547E7E">
      <w:pPr>
        <w:rPr>
          <w:i/>
        </w:rPr>
      </w:pPr>
      <w:bookmarkStart w:id="157" w:name="_Toc525377225"/>
      <w:bookmarkStart w:id="158" w:name="_Toc532292022"/>
      <w:bookmarkStart w:id="159" w:name="_Toc84570"/>
      <w:bookmarkEnd w:id="154"/>
      <w:r w:rsidRPr="00075492">
        <w:rPr>
          <w:i/>
        </w:rPr>
        <w:t>Livsmedelsverkets egen tillsyn</w:t>
      </w:r>
      <w:bookmarkEnd w:id="157"/>
      <w:r w:rsidRPr="00075492">
        <w:rPr>
          <w:i/>
        </w:rPr>
        <w:t>sverksamhet</w:t>
      </w:r>
      <w:bookmarkEnd w:id="158"/>
      <w:bookmarkEnd w:id="159"/>
    </w:p>
    <w:p w:rsidR="00547E7E" w:rsidRPr="00075492" w:rsidRDefault="00547E7E">
      <w:r w:rsidRPr="00075492">
        <w:t>Den huvudsakliga kritiken som kommissionen har riktat mot Livsmedelsve</w:t>
      </w:r>
      <w:r w:rsidRPr="00075492">
        <w:t>r</w:t>
      </w:r>
      <w:r w:rsidRPr="00075492">
        <w:t>kets egen tillsynsverksamhet går ut på att verket inte har tillräckliga resurser att bedriva en heltäckande tillsyn. Urvalet av de anläggningar som verkligen blir besökta av Livsmedelsverket baseras inte på en tydlig riskbedömning från myndighetens sida. Livsmedelsverkets kontroll av rester av bekäm</w:t>
      </w:r>
      <w:r w:rsidRPr="00075492">
        <w:t>p</w:t>
      </w:r>
      <w:r w:rsidRPr="00075492">
        <w:t>ningsmedel i livsmedel fungerar enligt kommissionen ”välorganiserat och effe</w:t>
      </w:r>
      <w:r w:rsidRPr="00075492">
        <w:t>k</w:t>
      </w:r>
      <w:r w:rsidRPr="00075492">
        <w:t xml:space="preserve">tivt”. </w:t>
      </w:r>
    </w:p>
    <w:p w:rsidR="00547E7E" w:rsidRPr="00075492" w:rsidRDefault="00547E7E">
      <w:pPr>
        <w:pStyle w:val="Normaltindrag"/>
        <w:rPr>
          <w:color w:val="FF0000"/>
        </w:rPr>
      </w:pPr>
      <w:r w:rsidRPr="00075492">
        <w:t>Kontrollen av slakterier ombesörjs av Livsmedelsverkets besiktningsvet</w:t>
      </w:r>
      <w:r w:rsidRPr="00075492">
        <w:t>e</w:t>
      </w:r>
      <w:r w:rsidRPr="00075492">
        <w:t>rinärer och kompletteras av Livsmedelsverkets inspektörer. Kommissionen konstaterade att tillsynen över besiktningsveterinärerna hade stora brister. I rapporten om tillsynen över kötthanteringen från år 2000 redovisas att vet</w:t>
      </w:r>
      <w:r w:rsidRPr="00075492">
        <w:t>e</w:t>
      </w:r>
      <w:r w:rsidRPr="00075492">
        <w:t>rinärkontrollerna av slakterier och andra anläggningar är otillfredställande ”främst på grund av att den centrala behöriga myndigheten [Livsmedelsve</w:t>
      </w:r>
      <w:r w:rsidRPr="00075492">
        <w:t>r</w:t>
      </w:r>
      <w:r w:rsidRPr="00075492">
        <w:t>ket] inte har infört ett effektivt system för kontroll av dem”.</w:t>
      </w:r>
    </w:p>
    <w:p w:rsidR="00547E7E" w:rsidRPr="00075492" w:rsidRDefault="00547E7E">
      <w:pPr>
        <w:pStyle w:val="Normaltindrag"/>
      </w:pPr>
      <w:r w:rsidRPr="00075492">
        <w:t>Kommissionen har också påpekat att varken Livsmedelsverket eller ko</w:t>
      </w:r>
      <w:r w:rsidRPr="00075492">
        <w:t>m</w:t>
      </w:r>
      <w:r w:rsidRPr="00075492">
        <w:t>munerna har tillräckliga personalresurser i form av veterinärer för att kunna säkerställa att verksamheten på anläggningarna bedrevs i enlighet med EU:s lagstif</w:t>
      </w:r>
      <w:r w:rsidRPr="00075492">
        <w:t>t</w:t>
      </w:r>
      <w:r w:rsidRPr="00075492">
        <w:t>ning.</w:t>
      </w:r>
    </w:p>
    <w:p w:rsidR="00547E7E" w:rsidRPr="00075492" w:rsidRDefault="00547E7E">
      <w:pPr>
        <w:rPr>
          <w:i/>
        </w:rPr>
      </w:pPr>
      <w:bookmarkStart w:id="160" w:name="_Toc532292023"/>
      <w:bookmarkStart w:id="161" w:name="_Toc84571"/>
      <w:r w:rsidRPr="00075492">
        <w:rPr>
          <w:i/>
        </w:rPr>
        <w:t>Livsmedelsverkets styrning av kommunernas tillsyn</w:t>
      </w:r>
      <w:bookmarkEnd w:id="160"/>
      <w:bookmarkEnd w:id="161"/>
    </w:p>
    <w:p w:rsidR="00547E7E" w:rsidRPr="00075492" w:rsidRDefault="00547E7E">
      <w:r w:rsidRPr="00075492">
        <w:t>En återkommande kritik i kommissionens utvärderingar är att kvaliteten på den svenska tillsynen är alltför ojämn och i vissa fall för låg. Olika skäl anges som orsak till bristerna. I vissa rapporter pekar kommissionen ut Livsmedelsverkets bristande styrning av kommunernas tillsynsverksamhet. I andra nämns resurser eller bristande intresse för tillsynen i kommune</w:t>
      </w:r>
      <w:r w:rsidRPr="00075492">
        <w:t>r</w:t>
      </w:r>
      <w:r w:rsidRPr="00075492">
        <w:t>na.</w:t>
      </w:r>
    </w:p>
    <w:p w:rsidR="00547E7E" w:rsidRPr="00075492" w:rsidRDefault="00547E7E">
      <w:pPr>
        <w:pStyle w:val="Normaltindrag"/>
      </w:pPr>
      <w:r w:rsidRPr="00075492">
        <w:t>I utvärderingen av mjölkhantering från 1999 kritiserades hur Livsmedel</w:t>
      </w:r>
      <w:r w:rsidRPr="00075492">
        <w:t>s</w:t>
      </w:r>
      <w:r w:rsidRPr="00075492">
        <w:t>verket övervakar kommunernas tillsyn. Livsmedelsverkets inriktning är, enligt kommissionen, de faktiska hygienförhållandena vid de olika anläg</w:t>
      </w:r>
      <w:r w:rsidRPr="00075492">
        <w:t>g</w:t>
      </w:r>
      <w:r w:rsidRPr="00075492">
        <w:t>ningarna inom kommunens tillsynsområde och inte den tillsyn som komm</w:t>
      </w:r>
      <w:r w:rsidRPr="00075492">
        <w:t>u</w:t>
      </w:r>
      <w:r w:rsidRPr="00075492">
        <w:t>nen bedriver. I stället för att övervaka kommunernas verksamhet försöker man övervaka slutresultatet av denna verksamhet.</w:t>
      </w:r>
    </w:p>
    <w:p w:rsidR="00547E7E" w:rsidRPr="00075492" w:rsidRDefault="00547E7E">
      <w:pPr>
        <w:pStyle w:val="Normaltindrag"/>
      </w:pPr>
      <w:r w:rsidRPr="00075492">
        <w:t xml:space="preserve">Kommissionens tjänstemän noterade i utvärderingen av kötthantering från 2000 att det inte fanns någon plan för verkets styrning av kommunernas </w:t>
      </w:r>
      <w:r w:rsidRPr="00075492">
        <w:lastRenderedPageBreak/>
        <w:t>tillsyn och att informationsutbytet mellan de båda insatserna var bristfälligt. Man konstaterade också att Livsmedelsverket inte hade någon enhet som ägnade sig åt öve</w:t>
      </w:r>
      <w:r w:rsidRPr="00075492">
        <w:t>r</w:t>
      </w:r>
      <w:r w:rsidRPr="00075492">
        <w:t>vakningen av kommunerna.</w:t>
      </w:r>
    </w:p>
    <w:p w:rsidR="00547E7E" w:rsidRPr="00075492" w:rsidRDefault="00547E7E">
      <w:pPr>
        <w:pStyle w:val="Normaltindrag"/>
      </w:pPr>
      <w:r w:rsidRPr="00075492">
        <w:t>Kommissionen noterade att Livsmedelsverket hade ett antal rättsliga och tekniska instrument för att se till att gemenskapslagstiftningen följdes. Dessa instrument användes dock på ett oläm</w:t>
      </w:r>
      <w:r w:rsidRPr="00075492">
        <w:t>p</w:t>
      </w:r>
      <w:r w:rsidRPr="00075492">
        <w:t>ligt eller otillfredsställande sätt.</w:t>
      </w:r>
    </w:p>
    <w:p w:rsidR="00547E7E" w:rsidRPr="00075492" w:rsidRDefault="00547E7E">
      <w:pPr>
        <w:pStyle w:val="Normaltindrag"/>
      </w:pPr>
      <w:r w:rsidRPr="00075492">
        <w:t>I utvärderingen om hanteringen av viltkött från 2000 upprepar kommissi</w:t>
      </w:r>
      <w:r w:rsidRPr="00075492">
        <w:t>o</w:t>
      </w:r>
      <w:r w:rsidRPr="00075492">
        <w:t>nen den kritik som framfördes i utvärderingen av kötthanteringen. Kommi</w:t>
      </w:r>
      <w:r w:rsidRPr="00075492">
        <w:t>s</w:t>
      </w:r>
      <w:r w:rsidRPr="00075492">
        <w:t>sionen konstaterar att ”flera av de problem som identifierades i fråga om veterinärkontrollen av anläggningar beror på ett misslyckande från den ce</w:t>
      </w:r>
      <w:r w:rsidRPr="00075492">
        <w:t>n</w:t>
      </w:r>
      <w:r w:rsidRPr="00075492">
        <w:t>trala tillsynsmyndighetens [Livsmedelsverkets] sida att tillhandahålla nö</w:t>
      </w:r>
      <w:r w:rsidRPr="00075492">
        <w:t>d</w:t>
      </w:r>
      <w:r w:rsidRPr="00075492">
        <w:t>vändiga instrukti</w:t>
      </w:r>
      <w:r w:rsidRPr="00075492">
        <w:t>o</w:t>
      </w:r>
      <w:r w:rsidRPr="00075492">
        <w:t xml:space="preserve">ner och anvisningar”. </w:t>
      </w:r>
    </w:p>
    <w:p w:rsidR="00547E7E" w:rsidRPr="00075492" w:rsidRDefault="00547E7E">
      <w:pPr>
        <w:pStyle w:val="Rubrik3"/>
      </w:pPr>
      <w:bookmarkStart w:id="162" w:name="_Toc525377227"/>
      <w:bookmarkStart w:id="163" w:name="_Toc532284459"/>
      <w:bookmarkStart w:id="164" w:name="_Toc532292024"/>
      <w:bookmarkStart w:id="165" w:name="_Toc84572"/>
      <w:bookmarkStart w:id="166" w:name="_Toc6634530"/>
      <w:bookmarkStart w:id="167" w:name="_Toc6637112"/>
      <w:r w:rsidRPr="00075492">
        <w:t xml:space="preserve">Livsmedelsverkets svar på </w:t>
      </w:r>
      <w:bookmarkEnd w:id="162"/>
      <w:r w:rsidRPr="00075492">
        <w:t>kritiken</w:t>
      </w:r>
      <w:bookmarkEnd w:id="163"/>
      <w:bookmarkEnd w:id="164"/>
      <w:bookmarkEnd w:id="165"/>
      <w:bookmarkEnd w:id="166"/>
      <w:bookmarkEnd w:id="167"/>
    </w:p>
    <w:p w:rsidR="00547E7E" w:rsidRPr="00075492" w:rsidRDefault="00547E7E">
      <w:r w:rsidRPr="00075492">
        <w:t>Livsmedelsverket bifogar ett svar till varje rapport om livsmedelstillsynen i Sverige som kommissionen publicerar. Svaret offentliggörs tillsammans med rapporten. Verket redovisar dels sakfel i rapporten, dels verkets kommentarer till kommissionens kritik. I de fall där kommissionen funnit brister kan den ansvariga myndigheten också åläggas att presentera ett program för kommi</w:t>
      </w:r>
      <w:r w:rsidRPr="00075492">
        <w:t>s</w:t>
      </w:r>
      <w:r w:rsidRPr="00075492">
        <w:t>sionen där man redogör för hur bristerna ska a</w:t>
      </w:r>
      <w:r w:rsidRPr="00075492">
        <w:t>v</w:t>
      </w:r>
      <w:r w:rsidRPr="00075492">
        <w:t>hjälpas.</w:t>
      </w:r>
    </w:p>
    <w:p w:rsidR="00547E7E" w:rsidRPr="00075492" w:rsidRDefault="00547E7E">
      <w:pPr>
        <w:pStyle w:val="Normaltindrag"/>
      </w:pPr>
      <w:r w:rsidRPr="00075492">
        <w:t xml:space="preserve">Livsmedelsverket har i sina svar främst kommenterat utvärderingen av hanteringen av mjölk (1153/1999) och den tredje utvärderingen av systemet för livsmedelstillsyn (1134/2000). I övriga svar har fel i översättning och bakgrundsfakta kommenterats. </w:t>
      </w:r>
    </w:p>
    <w:p w:rsidR="00547E7E" w:rsidRPr="00075492" w:rsidRDefault="00547E7E">
      <w:pPr>
        <w:pStyle w:val="Normaltindrag"/>
      </w:pPr>
      <w:r w:rsidRPr="00075492">
        <w:t>I utvärderingen av hanteringen av mjölk (1153/1999) kritiserar kommi</w:t>
      </w:r>
      <w:r w:rsidRPr="00075492">
        <w:t>s</w:t>
      </w:r>
      <w:r w:rsidRPr="00075492">
        <w:t xml:space="preserve">sionen Livsmedelsverket för att verket gör för få tillsynsbesök och för att dessa besök inte baseras på riskanalyser. Livsmedelsverket menade i sitt svar att den svenska tillsynen vad gäller t.ex. mjölk bygger på systemtillsyn, vilket innebär att företagen själva är ansvariga för att kontrollera hygienen. Enligt Livsmedelsverket måste även hänsyn tas till Sveriges goda hälsoläge vid bedömning av risken. Livsmedelsverket påpekade också att den nya organisation som träder i kraft den 1 juli 2000 innebär ett </w:t>
      </w:r>
      <w:r w:rsidRPr="00075492">
        <w:t>tydligare arbete med riskbedömning.</w:t>
      </w:r>
    </w:p>
    <w:p w:rsidR="00547E7E" w:rsidRPr="00075492" w:rsidRDefault="00547E7E">
      <w:pPr>
        <w:pStyle w:val="Normaltindrag"/>
      </w:pPr>
      <w:r w:rsidRPr="00075492">
        <w:t>Livsmedelsverket har i sitt svar till kommissionen också förtydligat sitt s</w:t>
      </w:r>
      <w:r w:rsidRPr="00075492">
        <w:t>y</w:t>
      </w:r>
      <w:r w:rsidRPr="00075492">
        <w:t>stem för övervakning av kommunerna. Redovisningen omfattar verkets uppföljning av kommunerna dvs. normerande inspektioner och kommunb</w:t>
      </w:r>
      <w:r w:rsidRPr="00075492">
        <w:t>e</w:t>
      </w:r>
      <w:r w:rsidRPr="00075492">
        <w:t>sök. Livsmedelsverket har också meddelat att man tidigare endast har haft bemyndiganden att utföra normerande besök. Under senare år har de norm</w:t>
      </w:r>
      <w:r w:rsidRPr="00075492">
        <w:t>e</w:t>
      </w:r>
      <w:r w:rsidRPr="00075492">
        <w:t>rande besöken alltmer kommit att inriktas mot en uppföljning av kommune</w:t>
      </w:r>
      <w:r w:rsidRPr="00075492">
        <w:t>r</w:t>
      </w:r>
      <w:r w:rsidRPr="00075492">
        <w:t xml:space="preserve">nas tillsyn. </w:t>
      </w:r>
    </w:p>
    <w:p w:rsidR="00547E7E" w:rsidRPr="00075492" w:rsidRDefault="00547E7E">
      <w:pPr>
        <w:pStyle w:val="Normaltindrag"/>
      </w:pPr>
      <w:r w:rsidRPr="00075492">
        <w:t>Kommissionen kritiserade arbetet med egenkontrollen i de svenska föret</w:t>
      </w:r>
      <w:r w:rsidRPr="00075492">
        <w:t>a</w:t>
      </w:r>
      <w:r w:rsidRPr="00075492">
        <w:t>gen. Livsmedelsverket medgav att man funnit att mindre företag haft pr</w:t>
      </w:r>
      <w:r w:rsidRPr="00075492">
        <w:t>o</w:t>
      </w:r>
      <w:r w:rsidRPr="00075492">
        <w:t>blem med egenkontroll enligt HACCP, men att detta inte är unikt för Sver</w:t>
      </w:r>
      <w:r w:rsidRPr="00075492">
        <w:t>i</w:t>
      </w:r>
      <w:r w:rsidRPr="00075492">
        <w:t>ge.</w:t>
      </w:r>
    </w:p>
    <w:p w:rsidR="00547E7E" w:rsidRPr="00075492" w:rsidRDefault="00547E7E">
      <w:pPr>
        <w:pStyle w:val="Normaltindrag"/>
      </w:pPr>
      <w:r w:rsidRPr="00075492">
        <w:t>Livsmedelsverket medger i sitt svar på utvärderingen av systemet för liv</w:t>
      </w:r>
      <w:r w:rsidRPr="00075492">
        <w:t>s</w:t>
      </w:r>
      <w:r w:rsidRPr="00075492">
        <w:t>medelstillsyn (1134/2000) att man funnit en viss ojämnhet i kommunernas tillsyn, men att den svenska grundlagen förhindrar verket att styra komm</w:t>
      </w:r>
      <w:r w:rsidRPr="00075492">
        <w:t>u</w:t>
      </w:r>
      <w:r w:rsidRPr="00075492">
        <w:lastRenderedPageBreak/>
        <w:t>nerna hårdare än vad man gör i dag. Verket tillbakavisar också kritiken att man inte ger de kommunala inspektörerna tillräckligt tydliga anvisningar. I ett svar till kommissionen tar Livsmedelsverket upp ”ABC för inspektörer” som exempel på vägledning till de kommunala inspektörerna. Livsmedel</w:t>
      </w:r>
      <w:r w:rsidRPr="00075492">
        <w:t>s</w:t>
      </w:r>
      <w:r w:rsidRPr="00075492">
        <w:t>verket påpekar också att utbildningar anordnas regelbundet för kommunal</w:t>
      </w:r>
      <w:r w:rsidRPr="00075492">
        <w:t>a inspektörer med syfte att förbättra kvaliteten i tills</w:t>
      </w:r>
      <w:r w:rsidRPr="00075492">
        <w:t>y</w:t>
      </w:r>
      <w:r w:rsidRPr="00075492">
        <w:t>nen.</w:t>
      </w:r>
    </w:p>
    <w:p w:rsidR="00547E7E" w:rsidRPr="00075492" w:rsidRDefault="00547E7E">
      <w:pPr>
        <w:pStyle w:val="Normaltindrag"/>
      </w:pPr>
      <w:r w:rsidRPr="00075492">
        <w:t>Med anledning av kommissionens kritik meddelade Livsmedelsverket att man har inlett ett omfattande arbete med att utarbeta instruktioner till pers</w:t>
      </w:r>
      <w:r w:rsidRPr="00075492">
        <w:t>o</w:t>
      </w:r>
      <w:r w:rsidRPr="00075492">
        <w:t>nal inom besiktningsveterinärsorganisati</w:t>
      </w:r>
      <w:r w:rsidRPr="00075492">
        <w:t>o</w:t>
      </w:r>
      <w:r w:rsidRPr="00075492">
        <w:t xml:space="preserve">nen. </w:t>
      </w:r>
    </w:p>
    <w:p w:rsidR="00547E7E" w:rsidRPr="00075492" w:rsidRDefault="00547E7E">
      <w:pPr>
        <w:pStyle w:val="Rubrik3"/>
      </w:pPr>
      <w:bookmarkStart w:id="168" w:name="_Toc532284460"/>
      <w:bookmarkStart w:id="169" w:name="_Toc532292025"/>
      <w:bookmarkStart w:id="170" w:name="_Toc84573"/>
      <w:bookmarkStart w:id="171" w:name="_Toc6634531"/>
      <w:bookmarkStart w:id="172" w:name="_Toc6637113"/>
      <w:r w:rsidRPr="00075492">
        <w:t>Livsmedelsverkets åtgärder med anledning av kritiken</w:t>
      </w:r>
      <w:bookmarkEnd w:id="168"/>
      <w:bookmarkEnd w:id="169"/>
      <w:bookmarkEnd w:id="170"/>
      <w:bookmarkEnd w:id="171"/>
      <w:bookmarkEnd w:id="172"/>
    </w:p>
    <w:p w:rsidR="00547E7E" w:rsidRPr="00075492" w:rsidRDefault="00547E7E">
      <w:r w:rsidRPr="00075492">
        <w:t>Livsmedelsverket ser kommissionens observationer som ett värdefullt u</w:t>
      </w:r>
      <w:r w:rsidRPr="00075492">
        <w:t>n</w:t>
      </w:r>
      <w:r w:rsidRPr="00075492">
        <w:t xml:space="preserve">derlag för förbättringar och de används därför i verksamhetsplaneringen. Exempel på åtgärder som Livsmedelsverket har vidtagit med anledning av kommissionens kritik är: </w:t>
      </w:r>
    </w:p>
    <w:p w:rsidR="00547E7E" w:rsidRPr="00075492" w:rsidRDefault="00547E7E">
      <w:pPr>
        <w:numPr>
          <w:ilvl w:val="0"/>
          <w:numId w:val="95"/>
        </w:numPr>
      </w:pPr>
      <w:r w:rsidRPr="00075492">
        <w:t xml:space="preserve">ändring i verkets föreskrift (brister i införlivande), </w:t>
      </w:r>
    </w:p>
    <w:p w:rsidR="00547E7E" w:rsidRPr="00075492" w:rsidRDefault="00547E7E">
      <w:pPr>
        <w:numPr>
          <w:ilvl w:val="0"/>
          <w:numId w:val="95"/>
        </w:numPr>
      </w:pPr>
      <w:r w:rsidRPr="00075492">
        <w:t xml:space="preserve">utarbetande av instruktioner till BVO-personal (brister i den interna styrningen), </w:t>
      </w:r>
    </w:p>
    <w:p w:rsidR="00547E7E" w:rsidRPr="00075492" w:rsidRDefault="00547E7E">
      <w:pPr>
        <w:numPr>
          <w:ilvl w:val="0"/>
          <w:numId w:val="95"/>
        </w:numPr>
      </w:pPr>
      <w:r w:rsidRPr="00075492">
        <w:t>fler besiktningsveterinärer (otillräcklig bemanning i fjäde</w:t>
      </w:r>
      <w:r w:rsidRPr="00075492">
        <w:t>r</w:t>
      </w:r>
      <w:r w:rsidRPr="00075492">
        <w:t xml:space="preserve">fäslakterier), </w:t>
      </w:r>
    </w:p>
    <w:p w:rsidR="00547E7E" w:rsidRPr="00075492" w:rsidRDefault="00547E7E">
      <w:pPr>
        <w:numPr>
          <w:ilvl w:val="0"/>
          <w:numId w:val="95"/>
        </w:numPr>
      </w:pPr>
      <w:r w:rsidRPr="00075492">
        <w:t xml:space="preserve">utbildning av besiktningsveterinärer (otillräcklig kunskap om kliniska symptom som kan tyda på BSE), </w:t>
      </w:r>
    </w:p>
    <w:p w:rsidR="00547E7E" w:rsidRPr="00075492" w:rsidRDefault="00547E7E">
      <w:pPr>
        <w:numPr>
          <w:ilvl w:val="0"/>
          <w:numId w:val="95"/>
        </w:numPr>
      </w:pPr>
      <w:r w:rsidRPr="00075492">
        <w:t>inspektionsplaner som grundas på riskvärdering (mjölkomr</w:t>
      </w:r>
      <w:r w:rsidRPr="00075492">
        <w:t>å</w:t>
      </w:r>
      <w:r w:rsidRPr="00075492">
        <w:t>det) samt</w:t>
      </w:r>
    </w:p>
    <w:p w:rsidR="00547E7E" w:rsidRPr="00075492" w:rsidRDefault="00547E7E">
      <w:pPr>
        <w:numPr>
          <w:ilvl w:val="0"/>
          <w:numId w:val="95"/>
        </w:numPr>
      </w:pPr>
      <w:r w:rsidRPr="00075492">
        <w:t>påbörjat projekt som syftar till att utveckla arbetsformer och arbetsm</w:t>
      </w:r>
      <w:r w:rsidRPr="00075492">
        <w:t>e</w:t>
      </w:r>
      <w:r w:rsidRPr="00075492">
        <w:t>toder som tillförsäkrar likvärdig tillsyn (ojämn tillsyn i landet).</w:t>
      </w:r>
    </w:p>
    <w:p w:rsidR="00547E7E" w:rsidRPr="00075492" w:rsidRDefault="00547E7E">
      <w:r w:rsidRPr="00075492">
        <w:t>För kritik som lämnas avseende den kommunala tillsynen har verket begärt en åtgärdsplan från den kommunala nämnden. I något fall har åtgärdsplanen följts upp genom en normerande inspektion. För närvarande utarbetar verket ett utbildningsmaterial avseende HACCP som vänder sig till olika aktörer inom livsmedelsområdet, bl.a. kommunala inspektörer.</w:t>
      </w:r>
    </w:p>
    <w:p w:rsidR="00547E7E" w:rsidRPr="00075492" w:rsidRDefault="00547E7E">
      <w:pPr>
        <w:pStyle w:val="Normaltindrag"/>
      </w:pPr>
      <w:r w:rsidRPr="00075492">
        <w:t>Kommissionens rapporter skickas till alla kommuner som berörs av i</w:t>
      </w:r>
      <w:r w:rsidRPr="00075492">
        <w:t>n</w:t>
      </w:r>
      <w:r w:rsidRPr="00075492">
        <w:t>spektionen. Kommunernas kommentarer används även som underlag för verkets svar till kommissionen.</w:t>
      </w:r>
    </w:p>
    <w:p w:rsidR="00547E7E" w:rsidRPr="00075492" w:rsidRDefault="00547E7E">
      <w:pPr>
        <w:pStyle w:val="Rubrik3"/>
      </w:pPr>
      <w:bookmarkStart w:id="173" w:name="_Toc525377228"/>
      <w:bookmarkStart w:id="174" w:name="_Toc532284461"/>
      <w:bookmarkStart w:id="175" w:name="_Toc532292026"/>
      <w:bookmarkStart w:id="176" w:name="_Toc84574"/>
      <w:bookmarkStart w:id="177" w:name="_Toc6634532"/>
      <w:bookmarkStart w:id="178" w:name="_Toc6637114"/>
      <w:r w:rsidRPr="00075492">
        <w:t>Kritik mot andra medlemsländer</w:t>
      </w:r>
      <w:bookmarkEnd w:id="173"/>
      <w:bookmarkEnd w:id="174"/>
      <w:bookmarkEnd w:id="175"/>
      <w:bookmarkEnd w:id="176"/>
      <w:bookmarkEnd w:id="177"/>
      <w:bookmarkEnd w:id="178"/>
    </w:p>
    <w:p w:rsidR="00547E7E" w:rsidRPr="00075492" w:rsidRDefault="00547E7E">
      <w:r w:rsidRPr="00075492">
        <w:t xml:space="preserve">Det verkar som om de problem som uppmärksammats i Sverige inte är unika. </w:t>
      </w:r>
    </w:p>
    <w:p w:rsidR="00547E7E" w:rsidRPr="00075492" w:rsidRDefault="00547E7E">
      <w:pPr>
        <w:pStyle w:val="Normaltindrag"/>
      </w:pPr>
      <w:r w:rsidRPr="00075492">
        <w:t xml:space="preserve">Vid en genomgång av utvärderingar som kommissionen har genomfört i Finland, Tyskland, Italien och Nederländerna kan konstateras att även andra länder får kritik för bristande och ojämn tillsyn. </w:t>
      </w:r>
    </w:p>
    <w:p w:rsidR="00547E7E" w:rsidRPr="00075492" w:rsidRDefault="00547E7E">
      <w:pPr>
        <w:pStyle w:val="Normaltindrag"/>
      </w:pPr>
      <w:r w:rsidRPr="00075492">
        <w:t xml:space="preserve">Av de fyra medlemsstaterna som redovisas har Nederländerna det mest centraliserade systemet för livsmedelstillsyn. Nederländerna är också den medlemsstat som har fått minst kritik från kommissionen. Finland, Tyskland och Italien har, i likhet med Sverige, ett decentraliserat system för tillsyn. I </w:t>
      </w:r>
      <w:r w:rsidRPr="00075492">
        <w:lastRenderedPageBreak/>
        <w:t>dessa stater finns också problem med den centrala nivåns styrning. I Italien öve</w:t>
      </w:r>
      <w:r w:rsidRPr="00075492">
        <w:t>r</w:t>
      </w:r>
      <w:r w:rsidRPr="00075492">
        <w:t xml:space="preserve">skuggas dock dessa problem av resursbristen. </w:t>
      </w:r>
      <w:bookmarkStart w:id="179" w:name="_Toc532292027"/>
    </w:p>
    <w:p w:rsidR="00547E7E" w:rsidRPr="00075492" w:rsidRDefault="00547E7E">
      <w:pPr>
        <w:rPr>
          <w:i/>
        </w:rPr>
      </w:pPr>
      <w:r w:rsidRPr="00075492">
        <w:rPr>
          <w:i/>
        </w:rPr>
        <w:t>Kommentar</w:t>
      </w:r>
      <w:bookmarkEnd w:id="179"/>
    </w:p>
    <w:p w:rsidR="00547E7E" w:rsidRPr="00075492" w:rsidRDefault="00547E7E">
      <w:r w:rsidRPr="00075492">
        <w:t>Nederländerna som får minst kritik av kommissionen är samtidigt det till ytan minsta landet av de länder som har studerats.</w:t>
      </w:r>
    </w:p>
    <w:p w:rsidR="00547E7E" w:rsidRPr="00075492" w:rsidRDefault="00547E7E">
      <w:pPr>
        <w:pStyle w:val="Rubrik2"/>
      </w:pPr>
      <w:bookmarkStart w:id="180" w:name="_Toc525377235"/>
      <w:bookmarkStart w:id="181" w:name="_Toc532284462"/>
      <w:bookmarkStart w:id="182" w:name="_Toc532292028"/>
      <w:bookmarkStart w:id="183" w:name="_Toc84575"/>
      <w:bookmarkStart w:id="184" w:name="_Toc6634533"/>
      <w:bookmarkStart w:id="185" w:name="_Toc6637115"/>
      <w:r w:rsidRPr="00075492">
        <w:t>Rapportering till EU</w:t>
      </w:r>
      <w:bookmarkEnd w:id="180"/>
      <w:bookmarkEnd w:id="181"/>
      <w:bookmarkEnd w:id="182"/>
      <w:bookmarkEnd w:id="183"/>
      <w:bookmarkEnd w:id="184"/>
      <w:bookmarkEnd w:id="185"/>
    </w:p>
    <w:p w:rsidR="00547E7E" w:rsidRPr="00075492" w:rsidRDefault="00547E7E">
      <w:r w:rsidRPr="00075492">
        <w:t>EU:s formella krav på medlemsländernas rapportering av livsmedelsko</w:t>
      </w:r>
      <w:r w:rsidRPr="00075492">
        <w:t>n</w:t>
      </w:r>
      <w:r w:rsidRPr="00075492">
        <w:t>trollen framgår av direktiv 89/397/EEG om offentlig kontroll av livsmedel. Av artikel 14 stadgas att medlemsstaterna årl</w:t>
      </w:r>
      <w:r w:rsidRPr="00075492">
        <w:t>i</w:t>
      </w:r>
      <w:r w:rsidRPr="00075492">
        <w:t xml:space="preserve">gen ska rapportera: </w:t>
      </w:r>
    </w:p>
    <w:p w:rsidR="00547E7E" w:rsidRPr="00075492" w:rsidRDefault="00547E7E">
      <w:pPr>
        <w:numPr>
          <w:ilvl w:val="0"/>
          <w:numId w:val="96"/>
        </w:numPr>
      </w:pPr>
      <w:r w:rsidRPr="00075492">
        <w:t>kriterier för de program som regelbundna inspektioner ska omfatta,</w:t>
      </w:r>
    </w:p>
    <w:p w:rsidR="00547E7E" w:rsidRPr="00075492" w:rsidRDefault="00547E7E">
      <w:pPr>
        <w:numPr>
          <w:ilvl w:val="0"/>
          <w:numId w:val="97"/>
        </w:numPr>
      </w:pPr>
      <w:r w:rsidRPr="00075492">
        <w:t>antalet och arten utförda kontroller,</w:t>
      </w:r>
    </w:p>
    <w:p w:rsidR="00547E7E" w:rsidRPr="00075492" w:rsidRDefault="00547E7E">
      <w:pPr>
        <w:numPr>
          <w:ilvl w:val="0"/>
          <w:numId w:val="98"/>
        </w:numPr>
      </w:pPr>
      <w:r w:rsidRPr="00075492">
        <w:t>antalet och arten av konstaterade överträdelser.</w:t>
      </w:r>
    </w:p>
    <w:p w:rsidR="00547E7E" w:rsidRPr="00075492" w:rsidRDefault="00547E7E">
      <w:r w:rsidRPr="00075492">
        <w:t>På grundval av direktivet har rekommendationer (Doc. III/5120/95) utarb</w:t>
      </w:r>
      <w:r w:rsidRPr="00075492">
        <w:t>e</w:t>
      </w:r>
      <w:r w:rsidRPr="00075492">
        <w:t>tats för att underlätta medlemsstaternas rapportering. I rekommendationen finns ett formulär med relativt detaljerade uppgifter som årligen ska lämnas till kommissionen. Uppgifterna avser t.ex. antal anläggningar och inspekti</w:t>
      </w:r>
      <w:r w:rsidRPr="00075492">
        <w:t>o</w:t>
      </w:r>
      <w:r w:rsidRPr="00075492">
        <w:t xml:space="preserve">ner samt resultat av inspektionerna. </w:t>
      </w:r>
    </w:p>
    <w:p w:rsidR="00547E7E" w:rsidRPr="00075492" w:rsidRDefault="00547E7E">
      <w:pPr>
        <w:pStyle w:val="Normaltindrag"/>
      </w:pPr>
      <w:r w:rsidRPr="00075492">
        <w:t>Enligt Livsmedelsverket följer alla medlemsländer denna rekommend</w:t>
      </w:r>
      <w:r w:rsidRPr="00075492">
        <w:t>a</w:t>
      </w:r>
      <w:r w:rsidRPr="00075492">
        <w:t xml:space="preserve">tion. </w:t>
      </w:r>
    </w:p>
    <w:p w:rsidR="00547E7E" w:rsidRPr="00075492" w:rsidRDefault="00547E7E">
      <w:pPr>
        <w:pStyle w:val="Rubrik2"/>
      </w:pPr>
      <w:bookmarkStart w:id="186" w:name="_Toc528123590"/>
      <w:bookmarkStart w:id="187" w:name="_Toc532284463"/>
      <w:bookmarkStart w:id="188" w:name="_Toc532292029"/>
      <w:bookmarkStart w:id="189" w:name="_Toc84576"/>
      <w:bookmarkStart w:id="190" w:name="_Toc6634534"/>
      <w:bookmarkStart w:id="191" w:name="_Toc6637116"/>
      <w:r w:rsidRPr="00075492">
        <w:t>Förändringar av EU:s lagstiftning</w:t>
      </w:r>
      <w:bookmarkEnd w:id="186"/>
      <w:bookmarkEnd w:id="187"/>
      <w:bookmarkEnd w:id="188"/>
      <w:bookmarkEnd w:id="189"/>
      <w:bookmarkEnd w:id="190"/>
      <w:bookmarkEnd w:id="191"/>
    </w:p>
    <w:p w:rsidR="00547E7E" w:rsidRPr="00075492" w:rsidRDefault="00547E7E">
      <w:r w:rsidRPr="00075492">
        <w:t>Europeiska kommissionen har i en s.k. vitbok bl.a. angivit principer för livsmedelssäkerhet, livsmedelslagstiftningen och kontroll.</w:t>
      </w:r>
      <w:r w:rsidRPr="00075492">
        <w:rPr>
          <w:rStyle w:val="Fotnotsreferens"/>
        </w:rPr>
        <w:footnoteReference w:id="7"/>
      </w:r>
      <w:r w:rsidRPr="00075492">
        <w:t xml:space="preserve"> Syftet med vitb</w:t>
      </w:r>
      <w:r w:rsidRPr="00075492">
        <w:t>o</w:t>
      </w:r>
      <w:r w:rsidRPr="00075492">
        <w:t>ken är att förändra EU:s livsmedelspolitik till ett aktivt, dynamiskt, enhetligt och heltäckande styrmedel för att säkerställa en hög hälsoskyddsnivå för människor och ett gott konsumentskydd. Även frågan om att inrätta en EU-myndighet inom livsmedelsområdet b</w:t>
      </w:r>
      <w:r w:rsidRPr="00075492">
        <w:t>e</w:t>
      </w:r>
      <w:r w:rsidRPr="00075492">
        <w:t xml:space="preserve">handlas. </w:t>
      </w:r>
    </w:p>
    <w:p w:rsidR="00547E7E" w:rsidRPr="00075492" w:rsidRDefault="00547E7E">
      <w:pPr>
        <w:pStyle w:val="Normaltindrag"/>
      </w:pPr>
      <w:r w:rsidRPr="00075492">
        <w:t>I vitboken aviserar kommissionen att den kommer att lägga fram förslag till en ny livsmedelslagstiftning, baserat på kommissionens grönbok</w:t>
      </w:r>
      <w:r w:rsidRPr="00075492">
        <w:rPr>
          <w:rStyle w:val="Fotnotsreferens"/>
        </w:rPr>
        <w:footnoteReference w:id="8"/>
      </w:r>
      <w:r w:rsidRPr="00075492">
        <w:t xml:space="preserve"> och efte</w:t>
      </w:r>
      <w:r w:rsidRPr="00075492">
        <w:t>r</w:t>
      </w:r>
      <w:r w:rsidRPr="00075492">
        <w:t xml:space="preserve">följande samråd. </w:t>
      </w:r>
    </w:p>
    <w:p w:rsidR="00547E7E" w:rsidRPr="00075492" w:rsidRDefault="00547E7E">
      <w:pPr>
        <w:pStyle w:val="Normaltindrag"/>
      </w:pPr>
      <w:r w:rsidRPr="00075492">
        <w:t>Kommissionen antog i juli 2001 en vitbok om styrelseformer inom EU.</w:t>
      </w:r>
      <w:r w:rsidRPr="00075492">
        <w:rPr>
          <w:rStyle w:val="Fotnotsreferens"/>
        </w:rPr>
        <w:footnoteReference w:id="9"/>
      </w:r>
      <w:r w:rsidRPr="00075492">
        <w:t xml:space="preserve"> </w:t>
      </w:r>
    </w:p>
    <w:p w:rsidR="00547E7E" w:rsidRPr="00075492" w:rsidRDefault="00547E7E">
      <w:pPr>
        <w:pStyle w:val="Normaltindrag"/>
      </w:pPr>
      <w:r w:rsidRPr="00075492">
        <w:t>I vitboken föreslår kommissionen hur arbetet inom EU kan förändras efter de fem principerna öppenhet, delaktighet, tydlig ansvarsfördelning, effekt</w:t>
      </w:r>
      <w:r w:rsidRPr="00075492">
        <w:t>i</w:t>
      </w:r>
      <w:r w:rsidRPr="00075492">
        <w:t>vitet och konsekvens.</w:t>
      </w:r>
    </w:p>
    <w:p w:rsidR="00547E7E" w:rsidRPr="00075492" w:rsidRDefault="00547E7E">
      <w:pPr>
        <w:pStyle w:val="Normaltindrag"/>
      </w:pPr>
      <w:r w:rsidRPr="00075492">
        <w:lastRenderedPageBreak/>
        <w:t>Kommissionen förespråkar i vitboken en större flexibilitet i genomförandet av lagstiftningen. Beslutsfattande ska i större utsträckning kunna decentral</w:t>
      </w:r>
      <w:r w:rsidRPr="00075492">
        <w:t>i</w:t>
      </w:r>
      <w:r w:rsidRPr="00075492">
        <w:t xml:space="preserve">seras för att ta hänsyn till lokala och regionala behov. </w:t>
      </w:r>
    </w:p>
    <w:p w:rsidR="00547E7E" w:rsidRPr="00075492" w:rsidRDefault="00547E7E">
      <w:pPr>
        <w:pStyle w:val="Normaltindrag"/>
      </w:pPr>
      <w:r w:rsidRPr="00075492">
        <w:t>Statskontoret konstaterar i sin studie av EU:s påverkan på den svenska statliga tillsynen att ”en ökad flexibilitet för lokala och regionala myndigh</w:t>
      </w:r>
      <w:r w:rsidRPr="00075492">
        <w:t>e</w:t>
      </w:r>
      <w:r w:rsidRPr="00075492">
        <w:t>ter att utforma genomförandet efter de specifika förhållandena även skulle att lokala tillsynslösningar kan utformas, så länge den gemensamma markn</w:t>
      </w:r>
      <w:r w:rsidRPr="00075492">
        <w:t>a</w:t>
      </w:r>
      <w:r w:rsidRPr="00075492">
        <w:t>dens grundläggande krav på likvärdighet i regler och tillämpning kan tillg</w:t>
      </w:r>
      <w:r w:rsidRPr="00075492">
        <w:t>o</w:t>
      </w:r>
      <w:r w:rsidRPr="00075492">
        <w:t>doses”.</w:t>
      </w:r>
    </w:p>
    <w:p w:rsidR="00547E7E" w:rsidRPr="00075492" w:rsidRDefault="00547E7E">
      <w:pPr>
        <w:pStyle w:val="Rubrik2"/>
      </w:pPr>
      <w:bookmarkStart w:id="192" w:name="_Toc528123596"/>
      <w:bookmarkStart w:id="193" w:name="_Toc532284464"/>
      <w:bookmarkStart w:id="194" w:name="_Toc532292030"/>
      <w:bookmarkStart w:id="195" w:name="_Toc84577"/>
      <w:bookmarkStart w:id="196" w:name="_Toc6634535"/>
      <w:bookmarkStart w:id="197" w:name="_Toc6637117"/>
      <w:r w:rsidRPr="00075492">
        <w:t>Sammanfattning</w:t>
      </w:r>
      <w:bookmarkEnd w:id="192"/>
      <w:bookmarkEnd w:id="193"/>
      <w:bookmarkEnd w:id="194"/>
      <w:bookmarkEnd w:id="195"/>
      <w:bookmarkEnd w:id="196"/>
      <w:bookmarkEnd w:id="197"/>
    </w:p>
    <w:p w:rsidR="00547E7E" w:rsidRPr="00075492" w:rsidRDefault="00547E7E">
      <w:pPr>
        <w:numPr>
          <w:ilvl w:val="0"/>
          <w:numId w:val="156"/>
        </w:numPr>
      </w:pPr>
      <w:r w:rsidRPr="00075492">
        <w:t>EU:s lagstiftning</w:t>
      </w:r>
    </w:p>
    <w:p w:rsidR="00547E7E" w:rsidRPr="00075492" w:rsidRDefault="00547E7E">
      <w:r w:rsidRPr="00075492">
        <w:t>EU:s lagstiftning om livsmedelstillsynen är omfattande och komplicerad. Ett problem är EU:s förordningar, som gäller direkt som lag i medlemsstaterna. Förordningarna får liten uppmärksamhet när de antas. Det saknas även en komplett förteckning av gä</w:t>
      </w:r>
      <w:r w:rsidRPr="00075492">
        <w:t>l</w:t>
      </w:r>
      <w:r w:rsidRPr="00075492">
        <w:t>lande förordningar.</w:t>
      </w:r>
    </w:p>
    <w:p w:rsidR="00547E7E" w:rsidRPr="00075492" w:rsidRDefault="00547E7E">
      <w:pPr>
        <w:pStyle w:val="Normaltindrag"/>
      </w:pPr>
      <w:r w:rsidRPr="00075492">
        <w:t xml:space="preserve">Det är dessutom mycket svårt att få en överblick över lagstiftningen. EU:s lagstiftning publiceras endast löpande, allt eftersom rättsakterna antas. Den bristfälliga informationen om förordningar komplicerar möjligheterna för tillsynsmyndigheterna att tillämpa regelverket korrekt. </w:t>
      </w:r>
    </w:p>
    <w:p w:rsidR="00547E7E" w:rsidRPr="00075492" w:rsidRDefault="00547E7E">
      <w:pPr>
        <w:pStyle w:val="Normaltindrag"/>
      </w:pPr>
      <w:r w:rsidRPr="00075492">
        <w:t>EU:s lagstiftning inom livsmedelsområdet fastställer hur kontroller bör gå till och vad som ska kontrolleras. Däremot saknas angivelser om hur til</w:t>
      </w:r>
      <w:r w:rsidRPr="00075492">
        <w:t>l</w:t>
      </w:r>
      <w:r w:rsidRPr="00075492">
        <w:t>synsverksamheten bör organiseras. Tvärtom anger direktivet 89/397/EEG att medlemsstaterna ska ha ”en viss grad av frihet” vad gäller det praktiska genomförandet av tills</w:t>
      </w:r>
      <w:r w:rsidRPr="00075492">
        <w:t>y</w:t>
      </w:r>
      <w:r w:rsidRPr="00075492">
        <w:t xml:space="preserve">nen. </w:t>
      </w:r>
    </w:p>
    <w:p w:rsidR="00547E7E" w:rsidRPr="00075492" w:rsidRDefault="00547E7E">
      <w:pPr>
        <w:numPr>
          <w:ilvl w:val="0"/>
          <w:numId w:val="158"/>
        </w:numPr>
      </w:pPr>
      <w:r w:rsidRPr="00075492">
        <w:t>EU:s utvärderingar av den svenska livsmedelstillsynen</w:t>
      </w:r>
    </w:p>
    <w:p w:rsidR="00547E7E" w:rsidRPr="00075492" w:rsidRDefault="00547E7E">
      <w:r w:rsidRPr="00075492">
        <w:t>Resultatet av kommissionens utvärderingar av den svenska livsmedelstills</w:t>
      </w:r>
      <w:r w:rsidRPr="00075492">
        <w:t>y</w:t>
      </w:r>
      <w:r w:rsidRPr="00075492">
        <w:t>nen visar att både Livsmedelsverkets och kommunernas tillsyn har brister vad gäller tillsynsfrekvens och tillvägagångssätt. Kommissionen anser att detta beror på bristande resu</w:t>
      </w:r>
      <w:r w:rsidRPr="00075492">
        <w:t>r</w:t>
      </w:r>
      <w:r w:rsidRPr="00075492">
        <w:t xml:space="preserve">ser. </w:t>
      </w:r>
    </w:p>
    <w:p w:rsidR="00547E7E" w:rsidRPr="00075492" w:rsidRDefault="00547E7E">
      <w:pPr>
        <w:pStyle w:val="Normaltindrag"/>
      </w:pPr>
      <w:r w:rsidRPr="00075492">
        <w:t>Kommissionens utvärderingar av livsmedelstillsynen i andra länder visar att kritik för ojämn tillsyn på lokal nivå inte är unikt för Sverige. Kommi</w:t>
      </w:r>
      <w:r w:rsidRPr="00075492">
        <w:t>s</w:t>
      </w:r>
      <w:r w:rsidRPr="00075492">
        <w:t>sionen anser att orsaken till variationen i kommunernas tillsynsverksamhet bl.a. består i bristande styrning av Livsmedelsverket. Kommissionen anser att Livsmedelsverkets styrning kan bli bättre, även under rådande juridiska förhålla</w:t>
      </w:r>
      <w:r w:rsidRPr="00075492">
        <w:t>n</w:t>
      </w:r>
      <w:r w:rsidRPr="00075492">
        <w:t xml:space="preserve">den. </w:t>
      </w:r>
    </w:p>
    <w:p w:rsidR="00547E7E" w:rsidRPr="00075492" w:rsidRDefault="00547E7E">
      <w:pPr>
        <w:pStyle w:val="Normaltindrag"/>
      </w:pPr>
      <w:r w:rsidRPr="00075492">
        <w:t>Livsmedelsverket har i ett svar till kommissionen framhållit att den sven</w:t>
      </w:r>
      <w:r w:rsidRPr="00075492">
        <w:t>s</w:t>
      </w:r>
      <w:r w:rsidRPr="00075492">
        <w:t xml:space="preserve">ka grundlagen förhindrar verket att styra kommunerna hårdare än vad man gör i dag. Denna fråga diskuteras i kap. 12. </w:t>
      </w:r>
    </w:p>
    <w:p w:rsidR="00547E7E" w:rsidRPr="00075492" w:rsidRDefault="00547E7E">
      <w:pPr>
        <w:pStyle w:val="Normaltindrag"/>
      </w:pPr>
      <w:r w:rsidRPr="00075492">
        <w:t>Dessutom kan konstateras att Livsmedelsverket får kritik för styrningen av besiktningsveterinärsorganisationen som ligger inom verkets egen organis</w:t>
      </w:r>
      <w:r w:rsidRPr="00075492">
        <w:t>a</w:t>
      </w:r>
      <w:r w:rsidRPr="00075492">
        <w:t>tion.</w:t>
      </w:r>
    </w:p>
    <w:p w:rsidR="00547E7E" w:rsidRPr="00075492" w:rsidRDefault="00547E7E">
      <w:pPr>
        <w:pStyle w:val="Rubrik1"/>
      </w:pPr>
      <w:r w:rsidRPr="00075492">
        <w:br w:type="page"/>
      </w:r>
      <w:bookmarkStart w:id="198" w:name="_Toc532284465"/>
      <w:bookmarkStart w:id="199" w:name="_Toc532292031"/>
      <w:bookmarkStart w:id="200" w:name="_Toc84578"/>
      <w:bookmarkStart w:id="201" w:name="_Toc6634536"/>
      <w:bookmarkStart w:id="202" w:name="_Toc6637118"/>
      <w:r w:rsidRPr="00075492">
        <w:lastRenderedPageBreak/>
        <w:t>Livsmedelssektorn</w:t>
      </w:r>
      <w:bookmarkEnd w:id="198"/>
      <w:bookmarkEnd w:id="199"/>
      <w:bookmarkEnd w:id="200"/>
      <w:bookmarkEnd w:id="201"/>
      <w:bookmarkEnd w:id="202"/>
    </w:p>
    <w:p w:rsidR="00547E7E" w:rsidRPr="00075492" w:rsidRDefault="00547E7E">
      <w:r w:rsidRPr="00075492">
        <w:t>I detta kapitel finns en översiktlig beskrivning av livsmedelssektorn. En mer utförlig redovisning finns i bilaga 2.</w:t>
      </w:r>
    </w:p>
    <w:p w:rsidR="00547E7E" w:rsidRPr="00075492" w:rsidRDefault="00547E7E">
      <w:pPr>
        <w:pStyle w:val="Rubrik2"/>
      </w:pPr>
      <w:bookmarkStart w:id="203" w:name="_Toc532284466"/>
      <w:bookmarkStart w:id="204" w:name="_Toc532292032"/>
      <w:bookmarkStart w:id="205" w:name="_Toc84579"/>
      <w:bookmarkStart w:id="206" w:name="_Toc6634537"/>
      <w:bookmarkStart w:id="207" w:name="_Toc6637119"/>
      <w:r w:rsidRPr="00075492">
        <w:t>Allmänt om livsmedelssektorn</w:t>
      </w:r>
      <w:bookmarkEnd w:id="203"/>
      <w:bookmarkEnd w:id="204"/>
      <w:bookmarkEnd w:id="205"/>
      <w:bookmarkEnd w:id="206"/>
      <w:bookmarkEnd w:id="207"/>
    </w:p>
    <w:p w:rsidR="00547E7E" w:rsidRPr="00075492" w:rsidRDefault="00547E7E">
      <w:pPr>
        <w:tabs>
          <w:tab w:val="left" w:pos="425"/>
        </w:tabs>
        <w:outlineLvl w:val="0"/>
      </w:pPr>
      <w:r w:rsidRPr="00075492">
        <w:t>Livsmedelssektorn kan delas in i fyra led som motsvarar olika skeden i liv</w:t>
      </w:r>
      <w:r w:rsidRPr="00075492">
        <w:t>s</w:t>
      </w:r>
      <w:r w:rsidRPr="00075492">
        <w:t xml:space="preserve">medelskedjan. Första ledet består av </w:t>
      </w:r>
      <w:r w:rsidRPr="00075492">
        <w:rPr>
          <w:i/>
        </w:rPr>
        <w:t>råvaruproduktion</w:t>
      </w:r>
      <w:r w:rsidRPr="00075492">
        <w:t xml:space="preserve"> (ibland även kallad för </w:t>
      </w:r>
      <w:r w:rsidRPr="00075492">
        <w:rPr>
          <w:i/>
        </w:rPr>
        <w:t>primärproduktion</w:t>
      </w:r>
      <w:r w:rsidRPr="00075492">
        <w:t>) inom jordbruk, trädgårdsbruk, jakt, vattenbruk och fiske. Andra ledet är</w:t>
      </w:r>
      <w:r w:rsidRPr="00075492">
        <w:rPr>
          <w:i/>
        </w:rPr>
        <w:t xml:space="preserve"> förädlingsledet</w:t>
      </w:r>
      <w:r w:rsidRPr="00075492">
        <w:t xml:space="preserve"> som främst</w:t>
      </w:r>
      <w:r w:rsidRPr="00075492">
        <w:rPr>
          <w:i/>
        </w:rPr>
        <w:t xml:space="preserve"> </w:t>
      </w:r>
      <w:r w:rsidRPr="00075492">
        <w:t>avser tillverkningen i liv</w:t>
      </w:r>
      <w:r w:rsidRPr="00075492">
        <w:t>s</w:t>
      </w:r>
      <w:r w:rsidRPr="00075492">
        <w:t xml:space="preserve">medelsindustrin. I tredje ledet, </w:t>
      </w:r>
      <w:r w:rsidRPr="00075492">
        <w:rPr>
          <w:i/>
        </w:rPr>
        <w:t>distributionsledet</w:t>
      </w:r>
      <w:r w:rsidRPr="00075492">
        <w:t>, sprids maten via lagerce</w:t>
      </w:r>
      <w:r w:rsidRPr="00075492">
        <w:t>n</w:t>
      </w:r>
      <w:r w:rsidRPr="00075492">
        <w:t xml:space="preserve">traler och affärer för att sedan konsumeras i det fjärde och sista ledet, </w:t>
      </w:r>
      <w:r w:rsidRPr="00075492">
        <w:rPr>
          <w:i/>
        </w:rPr>
        <w:t>ko</w:t>
      </w:r>
      <w:r w:rsidRPr="00075492">
        <w:rPr>
          <w:i/>
        </w:rPr>
        <w:t>n</w:t>
      </w:r>
      <w:r w:rsidRPr="00075492">
        <w:rPr>
          <w:i/>
        </w:rPr>
        <w:t xml:space="preserve">sumtionsledet. </w:t>
      </w:r>
      <w:r w:rsidRPr="00075492">
        <w:t>Detta led inkluderar både konsumtion i hemmet och mat som konsumeras i storhushåll, t.ex. restauranger och skolb</w:t>
      </w:r>
      <w:r w:rsidRPr="00075492">
        <w:t>e</w:t>
      </w:r>
      <w:r w:rsidRPr="00075492">
        <w:t>spisn</w:t>
      </w:r>
      <w:r w:rsidRPr="00075492">
        <w:t xml:space="preserve">ingar. </w:t>
      </w:r>
    </w:p>
    <w:p w:rsidR="00547E7E" w:rsidRPr="00075492" w:rsidRDefault="00547E7E">
      <w:pPr>
        <w:pStyle w:val="Normaltindrag"/>
      </w:pPr>
      <w:r w:rsidRPr="00075492">
        <w:t>Med livsmedel avses enligt livsmedelslagen matvara, dryckesvara, nju</w:t>
      </w:r>
      <w:r w:rsidRPr="00075492">
        <w:t>t</w:t>
      </w:r>
      <w:r w:rsidRPr="00075492">
        <w:t>ningsmedel eller annan vara som är avsedd att förtäras av människor, dock inte läkemedel. Enligt förarbetena till livsmedelslagen bör en råvara ur liv</w:t>
      </w:r>
      <w:r w:rsidRPr="00075492">
        <w:t>s</w:t>
      </w:r>
      <w:r w:rsidRPr="00075492">
        <w:t>medelshygienisk synpunkt bedömas som livsmedel på ett så tidigt stadium i beredningsproceduren som möjligt</w:t>
      </w:r>
      <w:r w:rsidRPr="00075492">
        <w:rPr>
          <w:rStyle w:val="Fotnotsreferens"/>
        </w:rPr>
        <w:footnoteReference w:id="10"/>
      </w:r>
      <w:r w:rsidRPr="00075492">
        <w:t xml:space="preserve">. </w:t>
      </w:r>
    </w:p>
    <w:p w:rsidR="00547E7E" w:rsidRPr="00075492" w:rsidRDefault="00547E7E">
      <w:pPr>
        <w:pStyle w:val="Normaltindrag"/>
      </w:pPr>
      <w:r w:rsidRPr="00075492">
        <w:t>Detta innebär att råvaruproduktionen inte omfattas av livsmedelstillsyn. Tillsynen avser de övriga tre leden, inklusive konsumtionsledet i de fall maten lagas i storhushåll.</w:t>
      </w:r>
    </w:p>
    <w:p w:rsidR="00547E7E" w:rsidRPr="00075492" w:rsidRDefault="00547E7E">
      <w:pPr>
        <w:pStyle w:val="Normaltindrag"/>
      </w:pPr>
      <w:r w:rsidRPr="00075492">
        <w:t>Totalt finns ca 48 000 arbetsställen med 284 000 sysselsatta inom livsm</w:t>
      </w:r>
      <w:r w:rsidRPr="00075492">
        <w:t>e</w:t>
      </w:r>
      <w:r w:rsidRPr="00075492">
        <w:t>delsindustrin, parti- och detaljhandeln samt storhu</w:t>
      </w:r>
      <w:r w:rsidRPr="00075492">
        <w:t>s</w:t>
      </w:r>
      <w:r w:rsidRPr="00075492">
        <w:t>hållsbranschen</w:t>
      </w:r>
      <w:r w:rsidRPr="00075492">
        <w:rPr>
          <w:rStyle w:val="Fotnotsreferens"/>
        </w:rPr>
        <w:footnoteReference w:id="11"/>
      </w:r>
      <w:r w:rsidRPr="00075492">
        <w:t xml:space="preserve">. </w:t>
      </w:r>
    </w:p>
    <w:p w:rsidR="00547E7E" w:rsidRPr="00075492" w:rsidRDefault="00547E7E">
      <w:pPr>
        <w:pStyle w:val="Rubrik2"/>
      </w:pPr>
      <w:bookmarkStart w:id="208" w:name="_Toc532284467"/>
      <w:bookmarkStart w:id="209" w:name="_Toc532292033"/>
      <w:bookmarkStart w:id="210" w:name="_Toc84580"/>
      <w:bookmarkStart w:id="211" w:name="_Toc6634538"/>
      <w:bookmarkStart w:id="212" w:name="_Toc6637120"/>
      <w:r w:rsidRPr="00075492">
        <w:t>Livsmedelsindustrin</w:t>
      </w:r>
      <w:bookmarkEnd w:id="208"/>
      <w:bookmarkEnd w:id="209"/>
      <w:bookmarkEnd w:id="210"/>
      <w:bookmarkEnd w:id="211"/>
      <w:bookmarkEnd w:id="212"/>
    </w:p>
    <w:p w:rsidR="00547E7E" w:rsidRPr="00075492" w:rsidRDefault="00547E7E">
      <w:pPr>
        <w:tabs>
          <w:tab w:val="left" w:pos="425"/>
        </w:tabs>
      </w:pPr>
      <w:r w:rsidRPr="00075492">
        <w:t>Livsmedelsindustrin utgör en av landets största industrisektorer. Med liv</w:t>
      </w:r>
      <w:r w:rsidRPr="00075492">
        <w:t>s</w:t>
      </w:r>
      <w:r w:rsidRPr="00075492">
        <w:t xml:space="preserve">medelsindustri avses den industri som förädlar råvaror genom att mala, stycka, blanda värmebehandla, konservera, baka etc. </w:t>
      </w:r>
    </w:p>
    <w:p w:rsidR="00547E7E" w:rsidRPr="00075492" w:rsidRDefault="00547E7E">
      <w:pPr>
        <w:pStyle w:val="Normaltindrag"/>
      </w:pPr>
      <w:r w:rsidRPr="00075492">
        <w:t>Beroende på om man ser till omsättning eller antal anställda är det landets fjärde respektive femte största industrisektor. År 1999 omsatte livsmedelsi</w:t>
      </w:r>
      <w:r w:rsidRPr="00075492">
        <w:t>n</w:t>
      </w:r>
      <w:r w:rsidRPr="00075492">
        <w:t>dustrin 133 miljarder kronor, vilket motsvarade ca 11 % av hela industrise</w:t>
      </w:r>
      <w:r w:rsidRPr="00075492">
        <w:t>k</w:t>
      </w:r>
      <w:r w:rsidRPr="00075492">
        <w:t>torns produktionsvärde. Med drygt 61 000 anställda 1999 svarade livsm</w:t>
      </w:r>
      <w:r w:rsidRPr="00075492">
        <w:t>e</w:t>
      </w:r>
      <w:r w:rsidRPr="00075492">
        <w:t>delsindustrin för 9 % av industrisysselsättningen i Sver</w:t>
      </w:r>
      <w:r w:rsidRPr="00075492">
        <w:t>i</w:t>
      </w:r>
      <w:r w:rsidRPr="00075492">
        <w:t>ge.</w:t>
      </w:r>
    </w:p>
    <w:p w:rsidR="00547E7E" w:rsidRPr="00075492" w:rsidRDefault="00547E7E">
      <w:pPr>
        <w:pStyle w:val="Normaltindrag"/>
      </w:pPr>
      <w:r w:rsidRPr="00075492">
        <w:t>Livsmedelsindustrin är en av de geografiskt mest spridda industrierna i landet. De senaste decennierna har livsmedelsindustrin blivit alltmer reg</w:t>
      </w:r>
      <w:r w:rsidRPr="00075492">
        <w:t>i</w:t>
      </w:r>
      <w:r w:rsidRPr="00075492">
        <w:t xml:space="preserve">onalt centrerad. I Skåne, Västsverige och Stockholmsområdet återfinns drygt hälften av alla sysselsatta inom livsmedelsindustrin. </w:t>
      </w:r>
    </w:p>
    <w:p w:rsidR="00547E7E" w:rsidRPr="00075492" w:rsidRDefault="00547E7E">
      <w:pPr>
        <w:pStyle w:val="Normaltindrag"/>
      </w:pPr>
      <w:r w:rsidRPr="00075492">
        <w:t>År 2000 fanns ca 60 000 sysselsatta på 3 200 arbetsplatser inom livsm</w:t>
      </w:r>
      <w:r w:rsidRPr="00075492">
        <w:t>e</w:t>
      </w:r>
      <w:r w:rsidRPr="00075492">
        <w:t>delsindustrin. Knappt 80 % av samtliga arbetsplatser hade nio eller färre anställda.</w:t>
      </w:r>
    </w:p>
    <w:p w:rsidR="00547E7E" w:rsidRPr="00075492" w:rsidRDefault="00547E7E">
      <w:pPr>
        <w:pStyle w:val="Normaltindrag"/>
      </w:pPr>
      <w:r w:rsidRPr="00075492">
        <w:lastRenderedPageBreak/>
        <w:t>Sedan 1970-talet har utvecklingen gått mot allt större företag med färre och större produktionsenheter.</w:t>
      </w:r>
    </w:p>
    <w:p w:rsidR="00547E7E" w:rsidRPr="00075492" w:rsidRDefault="00547E7E">
      <w:pPr>
        <w:pStyle w:val="Rubrik2"/>
      </w:pPr>
      <w:bookmarkStart w:id="213" w:name="_Toc532284468"/>
      <w:bookmarkStart w:id="214" w:name="_Toc532292034"/>
      <w:bookmarkStart w:id="215" w:name="_Toc84581"/>
      <w:bookmarkStart w:id="216" w:name="_Toc6634539"/>
      <w:bookmarkStart w:id="217" w:name="_Toc6637121"/>
      <w:r w:rsidRPr="00075492">
        <w:t>Parti- och detaljhandel</w:t>
      </w:r>
      <w:bookmarkEnd w:id="213"/>
      <w:bookmarkEnd w:id="214"/>
      <w:bookmarkEnd w:id="215"/>
      <w:bookmarkEnd w:id="216"/>
      <w:bookmarkEnd w:id="217"/>
    </w:p>
    <w:p w:rsidR="00547E7E" w:rsidRPr="00075492" w:rsidRDefault="00547E7E">
      <w:pPr>
        <w:tabs>
          <w:tab w:val="left" w:pos="425"/>
        </w:tabs>
        <w:rPr>
          <w:u w:val="single"/>
        </w:rPr>
      </w:pPr>
      <w:r w:rsidRPr="00075492">
        <w:t>Distributionsledet – ofta kallat dagligvaruhandeln – omfattar två led: part</w:t>
      </w:r>
      <w:r w:rsidRPr="00075492">
        <w:t>i</w:t>
      </w:r>
      <w:r w:rsidRPr="00075492">
        <w:t>handeln och detaljhandeln. Med partihandel avses grossist- och leverantö</w:t>
      </w:r>
      <w:r w:rsidRPr="00075492">
        <w:t>r</w:t>
      </w:r>
      <w:r w:rsidRPr="00075492">
        <w:t>försäljning som riktar sig till andra konsumenter än slutkonsumenterna. Partihandelns kunder är därmed i huvudsak detaljhandeln och storkök, såsom restauranger och den offentliga sektorns kök. Till detaljhandeln räknas fö</w:t>
      </w:r>
      <w:r w:rsidRPr="00075492">
        <w:t>r</w:t>
      </w:r>
      <w:r w:rsidRPr="00075492">
        <w:t>säljning i livsmedelsbutik, kiosker, torghandel och ambulerande försäl</w:t>
      </w:r>
      <w:r w:rsidRPr="00075492">
        <w:t>j</w:t>
      </w:r>
      <w:r w:rsidRPr="00075492">
        <w:t>ning</w:t>
      </w:r>
      <w:r w:rsidRPr="00075492">
        <w:rPr>
          <w:rStyle w:val="Fotnotsreferens"/>
        </w:rPr>
        <w:footnoteReference w:id="12"/>
      </w:r>
      <w:r w:rsidRPr="00075492">
        <w:t xml:space="preserve">. </w:t>
      </w:r>
    </w:p>
    <w:p w:rsidR="00547E7E" w:rsidRPr="00075492" w:rsidRDefault="00547E7E">
      <w:pPr>
        <w:pStyle w:val="Normaltindrag"/>
      </w:pPr>
      <w:r w:rsidRPr="00075492">
        <w:t>Den svenska dagligvaruhandeln kännetecknas av att det råder en stark i</w:t>
      </w:r>
      <w:r w:rsidRPr="00075492">
        <w:t>n</w:t>
      </w:r>
      <w:r w:rsidRPr="00075492">
        <w:t>tegration mellan parti- och detaljhandel samt av att marknaden domineras av tre block: ICA, Konsumentkooperationen (KF) och Axfood. År 1999 svarade de stora aktörerna sammanlagt för knappt 90 % av omsättningen i dagligv</w:t>
      </w:r>
      <w:r w:rsidRPr="00075492">
        <w:t>a</w:t>
      </w:r>
      <w:r w:rsidRPr="00075492">
        <w:t xml:space="preserve">rubutikerna. </w:t>
      </w:r>
    </w:p>
    <w:p w:rsidR="00547E7E" w:rsidRPr="00075492" w:rsidRDefault="00547E7E">
      <w:pPr>
        <w:pStyle w:val="Normaltindrag"/>
      </w:pPr>
      <w:r w:rsidRPr="00075492">
        <w:t>Partihandeln sysselsätter 28 000 personer fördelade på 4 800 arbetsplatser. Av arbetsplatserna har ca 74 % nio eller färre anstäl</w:t>
      </w:r>
      <w:r w:rsidRPr="00075492">
        <w:t>l</w:t>
      </w:r>
      <w:r w:rsidRPr="00075492">
        <w:t>da.</w:t>
      </w:r>
    </w:p>
    <w:p w:rsidR="00547E7E" w:rsidRPr="00075492" w:rsidRDefault="00547E7E">
      <w:pPr>
        <w:pStyle w:val="Normaltindrag"/>
      </w:pPr>
      <w:r w:rsidRPr="00075492">
        <w:t>I Sverige finns det ca 7 600 s.k. dagligvarubutiker med knappt 70 000 sy</w:t>
      </w:r>
      <w:r w:rsidRPr="00075492">
        <w:t>s</w:t>
      </w:r>
      <w:r w:rsidRPr="00075492">
        <w:t>selsatta som helt eller delvis säljer livsmedel</w:t>
      </w:r>
      <w:r w:rsidRPr="00075492">
        <w:rPr>
          <w:rStyle w:val="Fotnotsreferens"/>
        </w:rPr>
        <w:footnoteReference w:id="13"/>
      </w:r>
      <w:r w:rsidRPr="00075492">
        <w:t>.</w:t>
      </w:r>
    </w:p>
    <w:p w:rsidR="00547E7E" w:rsidRPr="00075492" w:rsidRDefault="00547E7E">
      <w:pPr>
        <w:pStyle w:val="Normaltindrag"/>
      </w:pPr>
      <w:r w:rsidRPr="00075492">
        <w:t>Dagligvarubutikerna har genomgått stora förändringar sedan mitten av 1970-talet. Antalet stormarknader och små servicebutiker har ökat avsevärt medan antalet mellanstora butiker har min</w:t>
      </w:r>
      <w:r w:rsidRPr="00075492">
        <w:t>s</w:t>
      </w:r>
      <w:r w:rsidRPr="00075492">
        <w:t>kat.</w:t>
      </w:r>
    </w:p>
    <w:p w:rsidR="00547E7E" w:rsidRPr="00075492" w:rsidRDefault="00547E7E">
      <w:pPr>
        <w:pStyle w:val="Rubrik2"/>
      </w:pPr>
      <w:bookmarkStart w:id="218" w:name="_Toc532284469"/>
      <w:bookmarkStart w:id="219" w:name="_Toc532292035"/>
      <w:bookmarkStart w:id="220" w:name="_Toc84582"/>
      <w:bookmarkStart w:id="221" w:name="_Toc6634540"/>
      <w:bookmarkStart w:id="222" w:name="_Toc6637122"/>
      <w:r w:rsidRPr="00075492">
        <w:t>Offentliga och privatägda storhushåll</w:t>
      </w:r>
      <w:bookmarkEnd w:id="218"/>
      <w:bookmarkEnd w:id="219"/>
      <w:bookmarkEnd w:id="220"/>
      <w:bookmarkEnd w:id="221"/>
      <w:bookmarkEnd w:id="222"/>
    </w:p>
    <w:p w:rsidR="00547E7E" w:rsidRPr="00075492" w:rsidRDefault="00547E7E">
      <w:pPr>
        <w:pStyle w:val="Normaltindrag"/>
        <w:ind w:firstLine="0"/>
      </w:pPr>
    </w:p>
    <w:p w:rsidR="00547E7E" w:rsidRPr="00075492" w:rsidRDefault="00547E7E">
      <w:pPr>
        <w:pStyle w:val="Normaltindrag"/>
        <w:ind w:firstLine="0"/>
      </w:pPr>
      <w:r w:rsidRPr="00075492">
        <w:t>Storhushållen kan delas in i två grupper: offentliga och privata storhushåll. Till den offentliga sektorns storhushåll räknas bl.a. storhushåll inom försv</w:t>
      </w:r>
      <w:r w:rsidRPr="00075492">
        <w:t>a</w:t>
      </w:r>
      <w:r w:rsidRPr="00075492">
        <w:t>ret samt skolor, barnomsorg, äldrevård och sjukvård i offentlig regi. Till den privata sektorn hänförs främst storhushåll inom sjöfart, kommunikationer i form av tåg och flyg, kommersiella restauranger, snabbmatsrestauranger och personalresta</w:t>
      </w:r>
      <w:r w:rsidRPr="00075492">
        <w:t>u</w:t>
      </w:r>
      <w:r w:rsidRPr="00075492">
        <w:t>ranger</w:t>
      </w:r>
      <w:r w:rsidRPr="00075492">
        <w:rPr>
          <w:rStyle w:val="Fotnotsreferens"/>
        </w:rPr>
        <w:footnoteReference w:id="14"/>
      </w:r>
      <w:r w:rsidRPr="00075492">
        <w:t xml:space="preserve">. </w:t>
      </w:r>
    </w:p>
    <w:p w:rsidR="00547E7E" w:rsidRPr="00075492" w:rsidRDefault="00547E7E">
      <w:pPr>
        <w:pStyle w:val="Normaltindrag"/>
      </w:pPr>
      <w:r w:rsidRPr="00075492">
        <w:t>År 1999 sysselsatte storhushållen drygt 127 000 människor, varav den o</w:t>
      </w:r>
      <w:r w:rsidRPr="00075492">
        <w:t>f</w:t>
      </w:r>
      <w:r w:rsidRPr="00075492">
        <w:t>fentliga sektorn svarade för 42 000 och den privata för 85 000. År 1999 omfattade storhushållen 32 000 enheter, varav den privata sektorn svarade för majoriteten med 18 000 enheter.</w:t>
      </w:r>
    </w:p>
    <w:p w:rsidR="00547E7E" w:rsidRPr="00075492" w:rsidRDefault="00547E7E">
      <w:pPr>
        <w:pStyle w:val="Normaltindrag"/>
      </w:pPr>
      <w:r w:rsidRPr="00075492">
        <w:t>De flesta storhushållen är små. 53 % av alla storhushåll har ingen anställd. Ytterligare 39 % har mindre än 10 anställda.</w:t>
      </w:r>
    </w:p>
    <w:p w:rsidR="00547E7E" w:rsidRPr="00075492" w:rsidRDefault="00547E7E">
      <w:pPr>
        <w:pStyle w:val="Rubrik2"/>
      </w:pPr>
      <w:bookmarkStart w:id="223" w:name="_Toc532284470"/>
      <w:bookmarkStart w:id="224" w:name="_Toc532292036"/>
      <w:bookmarkStart w:id="225" w:name="_Toc84583"/>
      <w:bookmarkStart w:id="226" w:name="_Toc6634541"/>
      <w:bookmarkStart w:id="227" w:name="_Toc6637123"/>
      <w:r w:rsidRPr="00075492">
        <w:lastRenderedPageBreak/>
        <w:t>Sammanfattning</w:t>
      </w:r>
      <w:bookmarkEnd w:id="223"/>
      <w:bookmarkEnd w:id="224"/>
      <w:bookmarkEnd w:id="225"/>
      <w:bookmarkEnd w:id="226"/>
      <w:bookmarkEnd w:id="227"/>
    </w:p>
    <w:p w:rsidR="00547E7E" w:rsidRPr="00075492" w:rsidRDefault="00547E7E">
      <w:r w:rsidRPr="00075492">
        <w:t xml:space="preserve">Livsmedelstillsyn omfattar livsmedelsindustrin, parti- och detaljhandeln samt offentliga och privata storhushåll. </w:t>
      </w:r>
    </w:p>
    <w:p w:rsidR="00547E7E" w:rsidRPr="00075492" w:rsidRDefault="00547E7E">
      <w:pPr>
        <w:pStyle w:val="Normaltindrag"/>
      </w:pPr>
      <w:r w:rsidRPr="00075492">
        <w:t>Utmärkande för sektorn är att det finns många små arbetsställen som är spridda över landet. Livsmedelsindustrin är en av de geografiskt mest spridda industrierna i la</w:t>
      </w:r>
      <w:r w:rsidRPr="00075492">
        <w:t>n</w:t>
      </w:r>
      <w:r w:rsidRPr="00075492">
        <w:t xml:space="preserve">det. </w:t>
      </w:r>
    </w:p>
    <w:p w:rsidR="00547E7E" w:rsidRPr="00075492" w:rsidRDefault="00547E7E">
      <w:pPr>
        <w:pStyle w:val="Rubrik1"/>
      </w:pPr>
      <w:r w:rsidRPr="00075492">
        <w:br w:type="page"/>
      </w:r>
      <w:bookmarkStart w:id="228" w:name="_Toc532284471"/>
      <w:bookmarkStart w:id="229" w:name="_Toc532292037"/>
      <w:bookmarkStart w:id="230" w:name="_Toc84584"/>
      <w:bookmarkStart w:id="231" w:name="_Toc6634542"/>
      <w:bookmarkStart w:id="232" w:name="_Toc6637124"/>
      <w:r w:rsidRPr="00075492">
        <w:lastRenderedPageBreak/>
        <w:t>Livsmedelstillsynen i Sverige – en översikt</w:t>
      </w:r>
      <w:bookmarkEnd w:id="228"/>
      <w:bookmarkEnd w:id="229"/>
      <w:bookmarkEnd w:id="230"/>
      <w:bookmarkEnd w:id="231"/>
      <w:bookmarkEnd w:id="232"/>
    </w:p>
    <w:p w:rsidR="00547E7E" w:rsidRPr="00075492" w:rsidRDefault="00547E7E">
      <w:pPr>
        <w:pStyle w:val="Rubrik2"/>
      </w:pPr>
      <w:bookmarkStart w:id="233" w:name="_Toc532284472"/>
      <w:bookmarkStart w:id="234" w:name="_Toc532292038"/>
      <w:bookmarkStart w:id="235" w:name="_Toc84585"/>
      <w:bookmarkStart w:id="236" w:name="_Toc6634543"/>
      <w:bookmarkStart w:id="237" w:name="_Toc6637125"/>
      <w:r w:rsidRPr="00075492">
        <w:t>Inledning</w:t>
      </w:r>
      <w:bookmarkEnd w:id="233"/>
      <w:bookmarkEnd w:id="234"/>
      <w:bookmarkEnd w:id="235"/>
      <w:bookmarkEnd w:id="236"/>
      <w:bookmarkEnd w:id="237"/>
    </w:p>
    <w:p w:rsidR="00547E7E" w:rsidRPr="00075492" w:rsidRDefault="00547E7E">
      <w:r w:rsidRPr="00075492">
        <w:t>Syftet med detta kapitel är att ge en översikt över regler, ansvarsfördelning mellan stat och kommun samt aktuella förslag rörande ansvarsfördelningen.</w:t>
      </w:r>
    </w:p>
    <w:p w:rsidR="00547E7E" w:rsidRPr="00075492" w:rsidRDefault="00547E7E">
      <w:pPr>
        <w:pStyle w:val="Rubrik2"/>
      </w:pPr>
      <w:bookmarkStart w:id="238" w:name="_Toc532284473"/>
      <w:bookmarkStart w:id="239" w:name="_Toc532292039"/>
      <w:bookmarkStart w:id="240" w:name="_Toc84586"/>
      <w:bookmarkStart w:id="241" w:name="_Toc6634544"/>
      <w:bookmarkStart w:id="242" w:name="_Toc6637126"/>
      <w:r w:rsidRPr="00075492">
        <w:t>Riksdagens beslut år 1989</w:t>
      </w:r>
      <w:bookmarkEnd w:id="238"/>
      <w:bookmarkEnd w:id="239"/>
      <w:bookmarkEnd w:id="240"/>
      <w:bookmarkEnd w:id="241"/>
      <w:bookmarkEnd w:id="242"/>
    </w:p>
    <w:p w:rsidR="00547E7E" w:rsidRPr="00075492" w:rsidRDefault="00547E7E">
      <w:r w:rsidRPr="00075492">
        <w:t xml:space="preserve">Senast riksdagen tog ett mer omfattande beslut om livsmedelskontrollen var år 1989 (prop. 1988/89:68, 1988/89:JoU14, 1988/89: rskr. 263). </w:t>
      </w:r>
    </w:p>
    <w:p w:rsidR="00547E7E" w:rsidRPr="00075492" w:rsidRDefault="00547E7E">
      <w:pPr>
        <w:pStyle w:val="Normaltindrag"/>
      </w:pPr>
      <w:r w:rsidRPr="00075492">
        <w:t>I propositionen angav regeringen som mål för den offentliga livsmedel</w:t>
      </w:r>
      <w:r w:rsidRPr="00075492">
        <w:t>s</w:t>
      </w:r>
      <w:r w:rsidRPr="00075492">
        <w:t xml:space="preserve">kontrollen att se till att livsmedelslagstiftningens bestämmelser följs, så att konsumenterna skyddas mot hälsorisker och oredliga förfaranden. </w:t>
      </w:r>
    </w:p>
    <w:p w:rsidR="00547E7E" w:rsidRPr="00075492" w:rsidRDefault="00547E7E">
      <w:pPr>
        <w:pStyle w:val="Normaltindrag"/>
      </w:pPr>
      <w:r w:rsidRPr="00075492">
        <w:t>Samhällets tillsyn borde, enligt regeringen, i princip vara oberoende av hur och var i landet livsmedlen produceras och oberoende av om livsmedlen är importerade eller inhemska. All livsmedelshantering borde därmed bli för</w:t>
      </w:r>
      <w:r w:rsidRPr="00075492">
        <w:t>e</w:t>
      </w:r>
      <w:r w:rsidRPr="00075492">
        <w:t>mål för en likartad offentlig livsmedelstillsyn. Tillsynen borde ha en sådan omfattning och inriktning att konsumenterna kan känna trygghet när det gäller att välja fullgoda livsmedel för en näringsrik och prisvärd kost.</w:t>
      </w:r>
    </w:p>
    <w:p w:rsidR="00547E7E" w:rsidRPr="00075492" w:rsidRDefault="00547E7E">
      <w:pPr>
        <w:pStyle w:val="Normaltindrag"/>
      </w:pPr>
      <w:r w:rsidRPr="00075492">
        <w:t>Regeringen konstaterade att livsmedelskontrollen inte i alla hänseenden uppfyllde redovisade mål. Den bristande måluppfyllelsen gällde främst den kontroll som syftar till att skydda konsumenterna mot oredliga förfara</w:t>
      </w:r>
      <w:r w:rsidRPr="00075492">
        <w:t>n</w:t>
      </w:r>
      <w:r w:rsidRPr="00075492">
        <w:t xml:space="preserve">den. </w:t>
      </w:r>
    </w:p>
    <w:p w:rsidR="00547E7E" w:rsidRPr="00075492" w:rsidRDefault="00547E7E">
      <w:pPr>
        <w:pStyle w:val="Normaltindrag"/>
      </w:pPr>
      <w:r w:rsidRPr="00075492">
        <w:t>Regeringen föreslog att livsmedelslagen skulle ändras för att göra det mö</w:t>
      </w:r>
      <w:r w:rsidRPr="00075492">
        <w:t>j</w:t>
      </w:r>
      <w:r w:rsidRPr="00075492">
        <w:t>ligt för Livsmedelsverket att i högre grad styra livsmedelskontrollen. Liv</w:t>
      </w:r>
      <w:r w:rsidRPr="00075492">
        <w:t>s</w:t>
      </w:r>
      <w:r w:rsidRPr="00075492">
        <w:t>medelsverket fick också ett större ansvar för tillsynen av livsmedelsanläg</w:t>
      </w:r>
      <w:r w:rsidRPr="00075492">
        <w:t>g</w:t>
      </w:r>
      <w:r w:rsidRPr="00075492">
        <w:t>ningar. För att fullgöra denna uppgift skulle verket tillföras ytterligare liv</w:t>
      </w:r>
      <w:r w:rsidRPr="00075492">
        <w:t>s</w:t>
      </w:r>
      <w:r w:rsidRPr="00075492">
        <w:t xml:space="preserve">medelstekniker. </w:t>
      </w:r>
    </w:p>
    <w:p w:rsidR="00547E7E" w:rsidRPr="00075492" w:rsidRDefault="00547E7E">
      <w:pPr>
        <w:pStyle w:val="Normaltindrag"/>
      </w:pPr>
      <w:r w:rsidRPr="00075492">
        <w:t>Enligt regeringen skulle länsstyrelserna även i fortsättningen fungera som stödjande och rådgivande organ gentemot kommunernas miljö- och häls</w:t>
      </w:r>
      <w:r w:rsidRPr="00075492">
        <w:t>o</w:t>
      </w:r>
      <w:r w:rsidRPr="00075492">
        <w:t xml:space="preserve">skyddsnämnder. </w:t>
      </w:r>
    </w:p>
    <w:p w:rsidR="00547E7E" w:rsidRPr="00075492" w:rsidRDefault="00547E7E">
      <w:pPr>
        <w:pStyle w:val="Normaltindrag"/>
      </w:pPr>
      <w:r w:rsidRPr="00075492">
        <w:t xml:space="preserve">Miljö- och hälsoskyddsnämnderna skulle även fortsättningsvis ansvara för godkännande av livsmedelslokaler och för den omedelbara tillsynen över efterlevnaden av livsmedelslagstiftningen, utom i de fall verksamheten står under Livsmedelsverkets direkta tillsyn. </w:t>
      </w:r>
    </w:p>
    <w:p w:rsidR="00547E7E" w:rsidRPr="00075492" w:rsidRDefault="00547E7E">
      <w:pPr>
        <w:pStyle w:val="Normaltindrag"/>
      </w:pPr>
      <w:r w:rsidRPr="00075492">
        <w:t>Verket skulle ansvara för livsmedelsanläggningar där värdet av årsprodu</w:t>
      </w:r>
      <w:r w:rsidRPr="00075492">
        <w:t>k</w:t>
      </w:r>
      <w:r w:rsidRPr="00075492">
        <w:t>tionen översteg 150 miljoner kronor. För företag med en årsproduktion i intervallet 50–150 miljoner kronor skulle företagens branschtillhörighet avgöra ansvarsfördelningen mellan Livsmedelsverket och kommunerna. Detta innebar att Livsmedelsverket övertog tillsynsansvaret från kommune</w:t>
      </w:r>
      <w:r w:rsidRPr="00075492">
        <w:t>r</w:t>
      </w:r>
      <w:r w:rsidRPr="00075492">
        <w:t>na för ett antal större industr</w:t>
      </w:r>
      <w:r w:rsidRPr="00075492">
        <w:t>i</w:t>
      </w:r>
      <w:r w:rsidRPr="00075492">
        <w:t>er.</w:t>
      </w:r>
    </w:p>
    <w:p w:rsidR="00547E7E" w:rsidRPr="00075492" w:rsidRDefault="00547E7E">
      <w:pPr>
        <w:pStyle w:val="Normaltindrag"/>
      </w:pPr>
      <w:r w:rsidRPr="00075492">
        <w:t>Livsmedelsverket med dess besiktningspersonal fick i princip hela ansv</w:t>
      </w:r>
      <w:r w:rsidRPr="00075492">
        <w:t>a</w:t>
      </w:r>
      <w:r w:rsidRPr="00075492">
        <w:t>ret för livsmedelskontrollen vid slakterierna, inklusive stycknings- och cha</w:t>
      </w:r>
      <w:r w:rsidRPr="00075492">
        <w:t>r</w:t>
      </w:r>
      <w:r w:rsidRPr="00075492">
        <w:t>kuteriverksamhet i anslutning till dessa a</w:t>
      </w:r>
      <w:r w:rsidRPr="00075492">
        <w:t>n</w:t>
      </w:r>
      <w:r w:rsidRPr="00075492">
        <w:t>läggningar.</w:t>
      </w:r>
    </w:p>
    <w:p w:rsidR="00547E7E" w:rsidRPr="00075492" w:rsidRDefault="00547E7E">
      <w:pPr>
        <w:pStyle w:val="Normaltindrag"/>
      </w:pPr>
      <w:r w:rsidRPr="00075492">
        <w:t>I livsmedelslagen bemyndigas regeringen att föreskriva avsteg från huvu</w:t>
      </w:r>
      <w:r w:rsidRPr="00075492">
        <w:t>d</w:t>
      </w:r>
      <w:r w:rsidRPr="00075492">
        <w:t>principen att miljö- och hälsoskyddsnämnderna utövar den omedelbara til</w:t>
      </w:r>
      <w:r w:rsidRPr="00075492">
        <w:t>l</w:t>
      </w:r>
      <w:r w:rsidRPr="00075492">
        <w:t xml:space="preserve">synen inom varje kommun. </w:t>
      </w:r>
    </w:p>
    <w:p w:rsidR="00547E7E" w:rsidRPr="00075492" w:rsidRDefault="00547E7E">
      <w:pPr>
        <w:pStyle w:val="Normaltindrag"/>
      </w:pPr>
      <w:r w:rsidRPr="00075492">
        <w:lastRenderedPageBreak/>
        <w:t>I propositionen framhöll regeringen att ett rapporteringssystem borde inf</w:t>
      </w:r>
      <w:r w:rsidRPr="00075492">
        <w:t>ö</w:t>
      </w:r>
      <w:r w:rsidRPr="00075492">
        <w:t>ras så att tillsynsmyndigheterna kunde få information om tillståndet inom livsmedelshanteringen. Formerna för denna rapportering skulle utarbetas av Livsmedelsverket. Enligt regeringen borde länsstyrelsen, som länk mellan övriga tillsynsmy</w:t>
      </w:r>
      <w:r w:rsidRPr="00075492">
        <w:t>n</w:t>
      </w:r>
      <w:r w:rsidRPr="00075492">
        <w:t xml:space="preserve">digheter, ha en viktig roll i rapporteringen. </w:t>
      </w:r>
    </w:p>
    <w:p w:rsidR="00547E7E" w:rsidRPr="00075492" w:rsidRDefault="00547E7E">
      <w:pPr>
        <w:pStyle w:val="Normaltindrag"/>
      </w:pPr>
      <w:r w:rsidRPr="00075492">
        <w:t>Utskottet instämde i de utgångspunkter som regeringen hade a</w:t>
      </w:r>
      <w:r w:rsidRPr="00075492">
        <w:t>n</w:t>
      </w:r>
      <w:r w:rsidRPr="00075492">
        <w:t>fört</w:t>
      </w:r>
      <w:r w:rsidRPr="00075492">
        <w:rPr>
          <w:rStyle w:val="Fotnotsreferens"/>
        </w:rPr>
        <w:footnoteReference w:id="15"/>
      </w:r>
      <w:r w:rsidRPr="00075492">
        <w:t xml:space="preserve">. </w:t>
      </w:r>
    </w:p>
    <w:p w:rsidR="00547E7E" w:rsidRPr="00075492" w:rsidRDefault="00547E7E">
      <w:pPr>
        <w:pStyle w:val="Normaltindrag"/>
      </w:pPr>
      <w:r w:rsidRPr="00075492">
        <w:t>Riksdagen beslutade i enlighet med utskottets förslag</w:t>
      </w:r>
      <w:r w:rsidRPr="00075492">
        <w:rPr>
          <w:rStyle w:val="Fotnotsreferens"/>
        </w:rPr>
        <w:footnoteReference w:id="16"/>
      </w:r>
      <w:r w:rsidRPr="00075492">
        <w:t>.</w:t>
      </w:r>
    </w:p>
    <w:p w:rsidR="00547E7E" w:rsidRPr="00075492" w:rsidRDefault="00547E7E">
      <w:pPr>
        <w:pStyle w:val="Rubrik2"/>
      </w:pPr>
      <w:bookmarkStart w:id="243" w:name="_Toc532284474"/>
      <w:bookmarkStart w:id="244" w:name="_Toc532292040"/>
      <w:bookmarkStart w:id="245" w:name="_Toc84587"/>
      <w:bookmarkStart w:id="246" w:name="_Toc6634545"/>
      <w:bookmarkStart w:id="247" w:name="_Toc6637127"/>
      <w:r w:rsidRPr="00075492">
        <w:t>Lagar och regler</w:t>
      </w:r>
      <w:bookmarkEnd w:id="243"/>
      <w:bookmarkEnd w:id="244"/>
      <w:bookmarkEnd w:id="245"/>
      <w:bookmarkEnd w:id="246"/>
      <w:bookmarkEnd w:id="247"/>
    </w:p>
    <w:p w:rsidR="00547E7E" w:rsidRPr="00075492" w:rsidRDefault="00547E7E">
      <w:r w:rsidRPr="00075492">
        <w:t>Kontroll av livsmedel regleras bl.a. i livsmedelslagen (1971:511) och liv</w:t>
      </w:r>
      <w:r w:rsidRPr="00075492">
        <w:t>s</w:t>
      </w:r>
      <w:r w:rsidRPr="00075492">
        <w:t>medelsförordningen (1971:807). Livsmedelslagen är en ramlag med grun</w:t>
      </w:r>
      <w:r w:rsidRPr="00075492">
        <w:t>d</w:t>
      </w:r>
      <w:r w:rsidRPr="00075492">
        <w:t>läggande bestämmelser om livsmedel och livsmedelshantering, myndigh</w:t>
      </w:r>
      <w:r w:rsidRPr="00075492">
        <w:t>e</w:t>
      </w:r>
      <w:r w:rsidRPr="00075492">
        <w:t>ternas tillsyn och sanktioner när för</w:t>
      </w:r>
      <w:r w:rsidRPr="00075492">
        <w:t>e</w:t>
      </w:r>
      <w:r w:rsidRPr="00075492">
        <w:t>skrifterna inte följs.</w:t>
      </w:r>
    </w:p>
    <w:p w:rsidR="00547E7E" w:rsidRPr="00075492" w:rsidRDefault="00547E7E">
      <w:pPr>
        <w:pStyle w:val="Normaltindrag"/>
      </w:pPr>
      <w:r w:rsidRPr="00075492">
        <w:t>I livsmedelslagen har riksdagen delegerat till regeringen eller till den my</w:t>
      </w:r>
      <w:r w:rsidRPr="00075492">
        <w:t>n</w:t>
      </w:r>
      <w:r w:rsidRPr="00075492">
        <w:t>dighet som regeringen bestämmer befogenheter att meddela närmare b</w:t>
      </w:r>
      <w:r w:rsidRPr="00075492">
        <w:t>e</w:t>
      </w:r>
      <w:r w:rsidRPr="00075492">
        <w:t>stämmelser om lagens tillämpning och om hantering m.m. Under regeringen har Livsmedelsverket normgivning</w:t>
      </w:r>
      <w:r w:rsidRPr="00075492">
        <w:t>s</w:t>
      </w:r>
      <w:r w:rsidRPr="00075492">
        <w:t>uppgifter.</w:t>
      </w:r>
    </w:p>
    <w:p w:rsidR="00547E7E" w:rsidRPr="00075492" w:rsidRDefault="00547E7E">
      <w:pPr>
        <w:pStyle w:val="Normaltindrag"/>
      </w:pPr>
      <w:r w:rsidRPr="00075492">
        <w:t xml:space="preserve">Utöver livsmedelslagen finns ett antal andra lagar som har större eller mindre anknytning till livsmedelslagstiftningen. Lagar som på olika sätt syftar till att skydda hälsan är exempelvis smittskyddslagen, miljöbalkens bestämmelser om hälsoskydd, genetiskt modifierade organismer och om kemiska produkter (se SOU 1998:61). </w:t>
      </w:r>
    </w:p>
    <w:p w:rsidR="00547E7E" w:rsidRPr="00075492" w:rsidRDefault="00547E7E">
      <w:pPr>
        <w:pStyle w:val="Rubrik2"/>
      </w:pPr>
      <w:bookmarkStart w:id="248" w:name="_Toc532284475"/>
      <w:bookmarkStart w:id="249" w:name="_Toc532292041"/>
      <w:bookmarkStart w:id="250" w:name="_Toc84588"/>
      <w:bookmarkStart w:id="251" w:name="_Toc6634546"/>
      <w:bookmarkStart w:id="252" w:name="_Toc6637128"/>
      <w:r w:rsidRPr="00075492">
        <w:t>Regeringens styrning av livsmedelstillsynen</w:t>
      </w:r>
      <w:bookmarkEnd w:id="248"/>
      <w:bookmarkEnd w:id="249"/>
      <w:bookmarkEnd w:id="250"/>
      <w:bookmarkEnd w:id="251"/>
      <w:bookmarkEnd w:id="252"/>
    </w:p>
    <w:p w:rsidR="00547E7E" w:rsidRPr="00075492" w:rsidRDefault="00547E7E">
      <w:r w:rsidRPr="00075492">
        <w:t>Regeringen har i livsmedelsförordningen</w:t>
      </w:r>
      <w:r w:rsidRPr="00075492">
        <w:rPr>
          <w:rStyle w:val="Fotnotsreferens"/>
        </w:rPr>
        <w:footnoteReference w:id="17"/>
      </w:r>
      <w:r w:rsidRPr="00075492">
        <w:t xml:space="preserve"> givit Livsmedelsverket befoge</w:t>
      </w:r>
      <w:r w:rsidRPr="00075492">
        <w:t>n</w:t>
      </w:r>
      <w:r w:rsidRPr="00075492">
        <w:t xml:space="preserve">heter att meddela detaljerade regler om livsmedelslagens tillämpning. </w:t>
      </w:r>
    </w:p>
    <w:p w:rsidR="00547E7E" w:rsidRPr="00075492" w:rsidRDefault="00547E7E">
      <w:pPr>
        <w:pStyle w:val="Normaltindrag"/>
      </w:pPr>
      <w:r w:rsidRPr="00075492">
        <w:t>Av förordningen framgår bl.a.:</w:t>
      </w:r>
    </w:p>
    <w:p w:rsidR="00547E7E" w:rsidRPr="00075492" w:rsidRDefault="00547E7E">
      <w:pPr>
        <w:pStyle w:val="Normaltindrag"/>
        <w:numPr>
          <w:ilvl w:val="0"/>
          <w:numId w:val="274"/>
        </w:numPr>
        <w:ind w:left="530"/>
      </w:pPr>
      <w:r w:rsidRPr="00075492">
        <w:t>Livsmedelsverket får meddela föreskrifter om hur tillsynen ska bedrivas, om undersökning och annan kontroll som behövs för att följa livsm</w:t>
      </w:r>
      <w:r w:rsidRPr="00075492">
        <w:t>e</w:t>
      </w:r>
      <w:r w:rsidRPr="00075492">
        <w:t>delslagen och de EG-förordningar som kompletterar lagen. Livsm</w:t>
      </w:r>
      <w:r w:rsidRPr="00075492">
        <w:t>e</w:t>
      </w:r>
      <w:r w:rsidRPr="00075492">
        <w:t>delsverket får också meddela föreskrifter om skyldigheter för övriga tillsynsmyndigheter att underrätta Livsmedelsverket om den tillsyn</w:t>
      </w:r>
      <w:r w:rsidRPr="00075492">
        <w:t>s</w:t>
      </w:r>
      <w:r w:rsidRPr="00075492">
        <w:t>ver</w:t>
      </w:r>
      <w:r w:rsidRPr="00075492">
        <w:t>k</w:t>
      </w:r>
      <w:r w:rsidRPr="00075492">
        <w:t>samhet som bedrivs och resultatet av verksamheten (48 §).</w:t>
      </w:r>
    </w:p>
    <w:p w:rsidR="00547E7E" w:rsidRPr="00075492" w:rsidRDefault="00547E7E">
      <w:pPr>
        <w:pStyle w:val="Normaltindrag"/>
        <w:numPr>
          <w:ilvl w:val="0"/>
          <w:numId w:val="274"/>
        </w:numPr>
        <w:ind w:left="530"/>
      </w:pPr>
      <w:r w:rsidRPr="00075492">
        <w:t>Tillsynsmyndigheten ska fortlöpande ta de prov och göra de undersö</w:t>
      </w:r>
      <w:r w:rsidRPr="00075492">
        <w:t>k</w:t>
      </w:r>
      <w:r w:rsidRPr="00075492">
        <w:t>ningar som fordras för tillsynen med hänsyn till livsmedelshanterin</w:t>
      </w:r>
      <w:r w:rsidRPr="00075492">
        <w:t>g</w:t>
      </w:r>
      <w:r w:rsidRPr="00075492">
        <w:t>en inom myndighetens ansvarsområde. Det åligger länsstyrelsen och den kommunala nämnd som utövar tillsyn enligt livsmedelslagen att biträda vid särskild provtagning och undersökning som Livsmedel</w:t>
      </w:r>
      <w:r w:rsidRPr="00075492">
        <w:t>s</w:t>
      </w:r>
      <w:r w:rsidRPr="00075492">
        <w:t>verket b</w:t>
      </w:r>
      <w:r w:rsidRPr="00075492">
        <w:t>e</w:t>
      </w:r>
      <w:r w:rsidRPr="00075492">
        <w:t>stämmer (48 §).</w:t>
      </w:r>
    </w:p>
    <w:p w:rsidR="00547E7E" w:rsidRPr="00075492" w:rsidRDefault="00547E7E">
      <w:pPr>
        <w:pStyle w:val="Normaltindrag"/>
        <w:numPr>
          <w:ilvl w:val="0"/>
          <w:numId w:val="274"/>
        </w:numPr>
        <w:ind w:left="530"/>
      </w:pPr>
      <w:r w:rsidRPr="00075492">
        <w:lastRenderedPageBreak/>
        <w:t>Livsmedelsverket får, efter samråd med den eller de kommunala näm</w:t>
      </w:r>
      <w:r w:rsidRPr="00075492">
        <w:t>n</w:t>
      </w:r>
      <w:r w:rsidRPr="00075492">
        <w:t>der som fullgör uppgifter inom miljö- och hälsoskyddsområdet, i det enskilda fallet besluta om att tillsynen över en viss verksamhet ska flyttas över från verket till nämnden (46 §).</w:t>
      </w:r>
    </w:p>
    <w:p w:rsidR="00547E7E" w:rsidRPr="00075492" w:rsidRDefault="00547E7E">
      <w:pPr>
        <w:pStyle w:val="Normaltindrag"/>
        <w:numPr>
          <w:ilvl w:val="0"/>
          <w:numId w:val="274"/>
        </w:numPr>
        <w:ind w:left="530"/>
      </w:pPr>
      <w:r w:rsidRPr="00075492">
        <w:t>Livsmedelsverket får efter samråd med den kommunala nämnden eller i det enskilda fallet besluta att den tillsyn över en viss verksamhet som nämnden annars har ska flyttas över till verket, om verksamheten har särskilt stor omfattning, är komplicerad eller om det finns andra sä</w:t>
      </w:r>
      <w:r w:rsidRPr="00075492">
        <w:t>r</w:t>
      </w:r>
      <w:r w:rsidRPr="00075492">
        <w:t>skilda skäl (46 §).</w:t>
      </w:r>
    </w:p>
    <w:p w:rsidR="00547E7E" w:rsidRPr="00075492" w:rsidRDefault="00547E7E">
      <w:pPr>
        <w:pStyle w:val="Normaltindrag"/>
        <w:numPr>
          <w:ilvl w:val="0"/>
          <w:numId w:val="274"/>
        </w:numPr>
        <w:ind w:left="530"/>
      </w:pPr>
      <w:r w:rsidRPr="00075492">
        <w:t>Livsmedelsverket får meddela föreskrifter om att näringsidkare inom livsmedelshanteringen är skyldig att utöva tillsyn över verksamheten (egentillsyn) och om program som närmare reglerar hur kontrollen ska utövas (kontrollprogram) (53 §).</w:t>
      </w:r>
    </w:p>
    <w:p w:rsidR="00547E7E" w:rsidRPr="00075492" w:rsidRDefault="00547E7E">
      <w:r w:rsidRPr="00075492">
        <w:t>Av förordningen framgår att regeringen har lämnat långtgående befogenheter till Livsmedelsverket att styra den kommunala liv</w:t>
      </w:r>
      <w:r w:rsidRPr="00075492">
        <w:t>s</w:t>
      </w:r>
      <w:r w:rsidRPr="00075492">
        <w:t xml:space="preserve">medelstillsynen. </w:t>
      </w:r>
    </w:p>
    <w:p w:rsidR="00547E7E" w:rsidRPr="00075492" w:rsidRDefault="00547E7E">
      <w:pPr>
        <w:pStyle w:val="Normaltindrag"/>
      </w:pPr>
      <w:r w:rsidRPr="00075492">
        <w:t>Livsmedelsförordningen har ändrats vid ett flertal tillfällen sedan rik</w:t>
      </w:r>
      <w:r w:rsidRPr="00075492">
        <w:t>s</w:t>
      </w:r>
      <w:r w:rsidRPr="00075492">
        <w:t>dagsbeslutet år 1989. Härmed har Livsmedelsverket fått utökade befogenh</w:t>
      </w:r>
      <w:r w:rsidRPr="00075492">
        <w:t>e</w:t>
      </w:r>
      <w:r w:rsidRPr="00075492">
        <w:t>ter att utöva tillsyn över de kommunala til</w:t>
      </w:r>
      <w:r w:rsidRPr="00075492">
        <w:t>l</w:t>
      </w:r>
      <w:r w:rsidRPr="00075492">
        <w:t xml:space="preserve">synsmyndigheterna. </w:t>
      </w:r>
    </w:p>
    <w:p w:rsidR="00547E7E" w:rsidRPr="00075492" w:rsidRDefault="00547E7E">
      <w:r w:rsidRPr="00075492">
        <w:t>Regeringens styrning av livsmedelstillsynen kommer även till uttryck i i</w:t>
      </w:r>
      <w:r w:rsidRPr="00075492">
        <w:t>n</w:t>
      </w:r>
      <w:r w:rsidRPr="00075492">
        <w:t xml:space="preserve">struktioner för och regleringsbrev till statliga myndigheter som har uppgifter inom området. </w:t>
      </w:r>
    </w:p>
    <w:p w:rsidR="00547E7E" w:rsidRPr="00075492" w:rsidRDefault="00547E7E">
      <w:pPr>
        <w:pStyle w:val="Normaltindrag"/>
      </w:pPr>
      <w:r w:rsidRPr="00075492">
        <w:t>Jordbruksdepartementet svarar för regeringens styrning av livsmedelstil</w:t>
      </w:r>
      <w:r w:rsidRPr="00075492">
        <w:t>l</w:t>
      </w:r>
      <w:r w:rsidRPr="00075492">
        <w:t>synen i Sverige. Företrädare för Jordbruksdepartementet anser att instrukti</w:t>
      </w:r>
      <w:r w:rsidRPr="00075492">
        <w:t>o</w:t>
      </w:r>
      <w:r w:rsidRPr="00075492">
        <w:t xml:space="preserve">nen till Livsmedelsverket är regeringens viktigaste styrinstrument inom livsmedelstillsynen. </w:t>
      </w:r>
    </w:p>
    <w:p w:rsidR="00547E7E" w:rsidRPr="00075492" w:rsidRDefault="00547E7E">
      <w:pPr>
        <w:pStyle w:val="Normaltindrag"/>
      </w:pPr>
      <w:r w:rsidRPr="00075492">
        <w:t>Vad gäller styrningen av länsstyrelserna svarar Jordbruksdepartementet för styrning av sakverksamheten. Frågorna bereds tillsammans med Finansd</w:t>
      </w:r>
      <w:r w:rsidRPr="00075492">
        <w:t>e</w:t>
      </w:r>
      <w:r w:rsidRPr="00075492">
        <w:t>partementets länsstyrelseenhet, som svarar för att se till att de uppgifter som åläggs länsstyrelserna motsvarar tillgängliga resurser och att regeringen styr länsstyrelsernas verksamhet på ett ändamålse</w:t>
      </w:r>
      <w:r w:rsidRPr="00075492">
        <w:t>n</w:t>
      </w:r>
      <w:r w:rsidRPr="00075492">
        <w:t>ligt sätt.</w:t>
      </w:r>
    </w:p>
    <w:p w:rsidR="00547E7E" w:rsidRPr="00075492" w:rsidRDefault="00547E7E">
      <w:pPr>
        <w:pStyle w:val="Rubrik2"/>
      </w:pPr>
      <w:bookmarkStart w:id="253" w:name="_Toc532284476"/>
      <w:bookmarkStart w:id="254" w:name="_Toc532292042"/>
      <w:bookmarkStart w:id="255" w:name="_Toc84589"/>
      <w:bookmarkStart w:id="256" w:name="_Toc6634547"/>
      <w:bookmarkStart w:id="257" w:name="_Toc6637129"/>
      <w:r w:rsidRPr="00075492">
        <w:t>Livsmedelsverkets uppgifter</w:t>
      </w:r>
      <w:bookmarkEnd w:id="253"/>
      <w:bookmarkEnd w:id="254"/>
      <w:bookmarkEnd w:id="255"/>
      <w:bookmarkEnd w:id="256"/>
      <w:bookmarkEnd w:id="257"/>
    </w:p>
    <w:p w:rsidR="00547E7E" w:rsidRPr="00075492" w:rsidRDefault="00547E7E">
      <w:r w:rsidRPr="00075492">
        <w:t>Statens livsmedelsverk (SLV) är, enligt instruktionen (SFS 1996:147), ce</w:t>
      </w:r>
      <w:r w:rsidRPr="00075492">
        <w:t>n</w:t>
      </w:r>
      <w:r w:rsidRPr="00075492">
        <w:t>tral förvaltningsmyndighet för frågor som rör livsmedel, i den mån sådana frågor inte ska handläggas av någon a</w:t>
      </w:r>
      <w:r w:rsidRPr="00075492">
        <w:t>n</w:t>
      </w:r>
      <w:r w:rsidRPr="00075492">
        <w:t xml:space="preserve">nan statlig myndighet. </w:t>
      </w:r>
    </w:p>
    <w:p w:rsidR="00547E7E" w:rsidRPr="00075492" w:rsidRDefault="00547E7E">
      <w:pPr>
        <w:pStyle w:val="Rubrik3"/>
      </w:pPr>
      <w:r w:rsidRPr="00075492">
        <w:br w:type="page"/>
      </w:r>
      <w:bookmarkStart w:id="258" w:name="_Toc532284477"/>
      <w:bookmarkStart w:id="259" w:name="_Toc532292043"/>
      <w:bookmarkStart w:id="260" w:name="_Toc84590"/>
      <w:bookmarkStart w:id="261" w:name="_Toc6634548"/>
      <w:bookmarkStart w:id="262" w:name="_Toc6637130"/>
      <w:r w:rsidRPr="00075492">
        <w:lastRenderedPageBreak/>
        <w:t>Livsmedelsverkets mål</w:t>
      </w:r>
      <w:bookmarkEnd w:id="258"/>
      <w:bookmarkEnd w:id="259"/>
      <w:bookmarkEnd w:id="260"/>
      <w:bookmarkEnd w:id="261"/>
      <w:bookmarkEnd w:id="262"/>
    </w:p>
    <w:p w:rsidR="00547E7E" w:rsidRPr="00075492" w:rsidRDefault="00547E7E">
      <w:pPr>
        <w:pBdr>
          <w:top w:val="single" w:sz="4" w:space="1" w:color="auto"/>
          <w:left w:val="single" w:sz="4" w:space="4" w:color="auto"/>
          <w:bottom w:val="single" w:sz="4" w:space="1" w:color="auto"/>
          <w:right w:val="single" w:sz="4" w:space="4" w:color="auto"/>
        </w:pBdr>
      </w:pPr>
      <w:r w:rsidRPr="00075492">
        <w:t>Livsmedelsverket ska i konsumenternas intresse verka för säkra livsmedel av god kvalitet, redlighet i livsmedelshanteringen och bra matvanor. För att nå målet ska verket</w:t>
      </w:r>
    </w:p>
    <w:p w:rsidR="00547E7E" w:rsidRPr="00075492" w:rsidRDefault="00547E7E">
      <w:pPr>
        <w:numPr>
          <w:ilvl w:val="0"/>
          <w:numId w:val="190"/>
        </w:numPr>
        <w:pBdr>
          <w:top w:val="single" w:sz="4" w:space="1" w:color="auto"/>
          <w:left w:val="single" w:sz="4" w:space="4" w:color="auto"/>
          <w:bottom w:val="single" w:sz="4" w:space="1" w:color="auto"/>
          <w:right w:val="single" w:sz="4" w:space="4" w:color="auto"/>
        </w:pBdr>
      </w:pPr>
      <w:r w:rsidRPr="00075492">
        <w:t>utarbeta normer inom livsmedelsområdet,</w:t>
      </w:r>
    </w:p>
    <w:p w:rsidR="00547E7E" w:rsidRPr="00075492" w:rsidRDefault="00547E7E">
      <w:pPr>
        <w:numPr>
          <w:ilvl w:val="0"/>
          <w:numId w:val="190"/>
        </w:numPr>
        <w:pBdr>
          <w:top w:val="single" w:sz="4" w:space="1" w:color="auto"/>
          <w:left w:val="single" w:sz="4" w:space="4" w:color="auto"/>
          <w:bottom w:val="single" w:sz="4" w:space="1" w:color="auto"/>
          <w:right w:val="single" w:sz="4" w:space="4" w:color="auto"/>
        </w:pBdr>
      </w:pPr>
      <w:r w:rsidRPr="00075492">
        <w:t>utöva tillsyn enligt livsmedelslagen (1971:511) samt leda och samordna livsmedelskontrollen,</w:t>
      </w:r>
    </w:p>
    <w:p w:rsidR="00547E7E" w:rsidRPr="00075492" w:rsidRDefault="00547E7E">
      <w:pPr>
        <w:numPr>
          <w:ilvl w:val="0"/>
          <w:numId w:val="190"/>
        </w:numPr>
        <w:pBdr>
          <w:top w:val="single" w:sz="4" w:space="1" w:color="auto"/>
          <w:left w:val="single" w:sz="4" w:space="4" w:color="auto"/>
          <w:bottom w:val="single" w:sz="4" w:space="1" w:color="auto"/>
          <w:right w:val="single" w:sz="4" w:space="4" w:color="auto"/>
        </w:pBdr>
      </w:pPr>
      <w:r w:rsidRPr="00075492">
        <w:t>informera om viktiga förhållanden på livsmedelsområdet,</w:t>
      </w:r>
    </w:p>
    <w:p w:rsidR="00547E7E" w:rsidRPr="00075492" w:rsidRDefault="00547E7E">
      <w:pPr>
        <w:numPr>
          <w:ilvl w:val="0"/>
          <w:numId w:val="190"/>
        </w:numPr>
        <w:pBdr>
          <w:top w:val="single" w:sz="4" w:space="1" w:color="auto"/>
          <w:left w:val="single" w:sz="4" w:space="4" w:color="auto"/>
          <w:bottom w:val="single" w:sz="4" w:space="1" w:color="auto"/>
          <w:right w:val="single" w:sz="4" w:space="4" w:color="auto"/>
        </w:pBdr>
      </w:pPr>
      <w:r w:rsidRPr="00075492">
        <w:t>aktivt medverka till att riksdagens och regeringens riktlinjer i fråga om kost och hälsa fullföljs,</w:t>
      </w:r>
    </w:p>
    <w:p w:rsidR="00547E7E" w:rsidRPr="00075492" w:rsidRDefault="00547E7E">
      <w:pPr>
        <w:numPr>
          <w:ilvl w:val="0"/>
          <w:numId w:val="190"/>
        </w:numPr>
        <w:pBdr>
          <w:top w:val="single" w:sz="4" w:space="1" w:color="auto"/>
          <w:left w:val="single" w:sz="4" w:space="4" w:color="auto"/>
          <w:bottom w:val="single" w:sz="4" w:space="1" w:color="auto"/>
          <w:right w:val="single" w:sz="4" w:space="4" w:color="auto"/>
        </w:pBdr>
      </w:pPr>
      <w:r w:rsidRPr="00075492">
        <w:t>verkställa utredningar och praktiskt vetenskapliga undersökningar om livsmedel och matvanor samt utveckla metoder för livsmedelskontro</w:t>
      </w:r>
      <w:r w:rsidRPr="00075492">
        <w:t>l</w:t>
      </w:r>
      <w:r w:rsidRPr="00075492">
        <w:t xml:space="preserve">len. </w:t>
      </w:r>
    </w:p>
    <w:p w:rsidR="00547E7E" w:rsidRPr="00075492" w:rsidRDefault="00547E7E">
      <w:r w:rsidRPr="00075492">
        <w:t>Livsmedelsverkets instruktion har ändrast vid några tillfällen efter 1989 års riksdagsbeslut. Verkets uppgift att leda och samordna livsmedelskontrollen har dock inte ändrats. För närvarande pågår en översyn av verkets instru</w:t>
      </w:r>
      <w:r w:rsidRPr="00075492">
        <w:t>k</w:t>
      </w:r>
      <w:r w:rsidRPr="00075492">
        <w:t>tion.</w:t>
      </w:r>
    </w:p>
    <w:p w:rsidR="00547E7E" w:rsidRPr="00075492" w:rsidRDefault="00547E7E">
      <w:pPr>
        <w:pStyle w:val="Normaltindrag"/>
      </w:pPr>
      <w:r w:rsidRPr="00075492">
        <w:t xml:space="preserve">I regleringsbrev anger regeringen årligen mål, återrapporteringskrav och vid behov särskilda uppdrag till myndigheterna. </w:t>
      </w:r>
    </w:p>
    <w:p w:rsidR="00547E7E" w:rsidRPr="00075492" w:rsidRDefault="00547E7E">
      <w:pPr>
        <w:pStyle w:val="Normaltindrag"/>
      </w:pPr>
      <w:r w:rsidRPr="00075492">
        <w:t>Vid en jämförelse av regleringsbreven till Livsmedelsverket under peri</w:t>
      </w:r>
      <w:r w:rsidRPr="00075492">
        <w:t>o</w:t>
      </w:r>
      <w:r w:rsidRPr="00075492">
        <w:t xml:space="preserve">den 1991/92 - 1993/94 till år 2001 framgår att målen har blivit färre och allt mindre detaljerade. Regeringens krav på återrapportering har varierat över tiden. Återrapporteringskraven har överlag blivit färre. </w:t>
      </w:r>
    </w:p>
    <w:p w:rsidR="00547E7E" w:rsidRPr="00075492" w:rsidRDefault="00547E7E">
      <w:pPr>
        <w:pStyle w:val="Normaltindrag"/>
      </w:pPr>
      <w:r w:rsidRPr="00075492">
        <w:t>För budgetåret 2001 anger regeringen följande övergripande mål för ve</w:t>
      </w:r>
      <w:r w:rsidRPr="00075492">
        <w:t>r</w:t>
      </w:r>
      <w:r w:rsidRPr="00075492">
        <w:t xml:space="preserve">ket: </w:t>
      </w:r>
    </w:p>
    <w:p w:rsidR="00547E7E" w:rsidRPr="00075492" w:rsidRDefault="00547E7E">
      <w:pPr>
        <w:pStyle w:val="Normaltindrag"/>
        <w:numPr>
          <w:ilvl w:val="0"/>
          <w:numId w:val="275"/>
        </w:numPr>
        <w:ind w:left="530"/>
      </w:pPr>
      <w:r w:rsidRPr="00075492">
        <w:t>En ekologiskt, ekonomiskt och socialt hållbar livsm</w:t>
      </w:r>
      <w:r w:rsidRPr="00075492">
        <w:t>e</w:t>
      </w:r>
      <w:r w:rsidRPr="00075492">
        <w:t>delsproduktion.</w:t>
      </w:r>
    </w:p>
    <w:p w:rsidR="00547E7E" w:rsidRPr="00075492" w:rsidRDefault="00547E7E">
      <w:pPr>
        <w:pStyle w:val="Normaltindrag"/>
        <w:numPr>
          <w:ilvl w:val="0"/>
          <w:numId w:val="275"/>
        </w:numPr>
        <w:ind w:left="530"/>
      </w:pPr>
      <w:r w:rsidRPr="00075492">
        <w:t>En produktion av säkra livsmedel med hög kvalitet och förstärkning av konsumentperspektivet.</w:t>
      </w:r>
    </w:p>
    <w:p w:rsidR="00547E7E" w:rsidRPr="00075492" w:rsidRDefault="00547E7E">
      <w:pPr>
        <w:pStyle w:val="Normaltindrag"/>
      </w:pPr>
      <w:r w:rsidRPr="00075492">
        <w:t xml:space="preserve">Preciserade mål och återrapporteringskrav finns i tabell 2. </w:t>
      </w:r>
    </w:p>
    <w:p w:rsidR="00547E7E" w:rsidRPr="00075492" w:rsidRDefault="00547E7E">
      <w:pPr>
        <w:pStyle w:val="Beskrivning"/>
        <w:keepNext/>
      </w:pPr>
      <w:r w:rsidRPr="00075492">
        <w:lastRenderedPageBreak/>
        <w:t xml:space="preserve">Tabell </w:t>
      </w:r>
      <w:r w:rsidRPr="00075492">
        <w:t>2</w:t>
      </w:r>
      <w:r w:rsidRPr="00075492">
        <w:t xml:space="preserve">  Mål och återrapportering för ver</w:t>
      </w:r>
      <w:r w:rsidRPr="00075492">
        <w:t>k</w:t>
      </w:r>
      <w:r w:rsidRPr="00075492">
        <w:t>samhetsgrenarna, år 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098"/>
        <w:gridCol w:w="2098"/>
      </w:tblGrid>
      <w:tr w:rsidR="00000000" w:rsidRPr="00075492">
        <w:tblPrEx>
          <w:tblCellMar>
            <w:top w:w="0" w:type="dxa"/>
            <w:bottom w:w="0" w:type="dxa"/>
          </w:tblCellMar>
        </w:tblPrEx>
        <w:tc>
          <w:tcPr>
            <w:tcW w:w="1701" w:type="dxa"/>
          </w:tcPr>
          <w:p w:rsidR="00547E7E" w:rsidRPr="00075492" w:rsidRDefault="00547E7E">
            <w:pPr>
              <w:pStyle w:val="Normaltindrag"/>
              <w:keepNext/>
              <w:ind w:firstLine="0"/>
            </w:pPr>
          </w:p>
        </w:tc>
        <w:tc>
          <w:tcPr>
            <w:tcW w:w="2098" w:type="dxa"/>
          </w:tcPr>
          <w:p w:rsidR="00547E7E" w:rsidRPr="00075492" w:rsidRDefault="00547E7E">
            <w:pPr>
              <w:pStyle w:val="Normaltindrag"/>
              <w:keepNext/>
              <w:ind w:firstLine="0"/>
            </w:pPr>
            <w:r w:rsidRPr="00075492">
              <w:t>Mål</w:t>
            </w:r>
          </w:p>
        </w:tc>
        <w:tc>
          <w:tcPr>
            <w:tcW w:w="2098" w:type="dxa"/>
          </w:tcPr>
          <w:p w:rsidR="00547E7E" w:rsidRPr="00075492" w:rsidRDefault="00547E7E">
            <w:pPr>
              <w:pStyle w:val="Normaltindrag"/>
              <w:keepNext/>
              <w:ind w:firstLine="0"/>
            </w:pPr>
            <w:r w:rsidRPr="00075492">
              <w:t>Återrapportering</w:t>
            </w:r>
          </w:p>
        </w:tc>
      </w:tr>
      <w:tr w:rsidR="00000000" w:rsidRPr="00075492">
        <w:tblPrEx>
          <w:tblCellMar>
            <w:top w:w="0" w:type="dxa"/>
            <w:bottom w:w="0" w:type="dxa"/>
          </w:tblCellMar>
        </w:tblPrEx>
        <w:tc>
          <w:tcPr>
            <w:tcW w:w="1701" w:type="dxa"/>
          </w:tcPr>
          <w:p w:rsidR="00547E7E" w:rsidRPr="00075492" w:rsidRDefault="00547E7E">
            <w:pPr>
              <w:pStyle w:val="Normaltindrag"/>
              <w:keepNext/>
              <w:ind w:firstLine="0"/>
              <w:rPr>
                <w:sz w:val="17"/>
              </w:rPr>
            </w:pPr>
            <w:r w:rsidRPr="00075492">
              <w:rPr>
                <w:sz w:val="17"/>
              </w:rPr>
              <w:t>Verksamhetsgren 1</w:t>
            </w:r>
          </w:p>
          <w:p w:rsidR="00547E7E" w:rsidRPr="00075492" w:rsidRDefault="00547E7E">
            <w:pPr>
              <w:pStyle w:val="Normaltindrag"/>
              <w:keepNext/>
              <w:ind w:firstLine="0"/>
              <w:rPr>
                <w:sz w:val="17"/>
              </w:rPr>
            </w:pPr>
            <w:r w:rsidRPr="00075492">
              <w:rPr>
                <w:sz w:val="17"/>
              </w:rPr>
              <w:t>Kunskapsuppbyg</w:t>
            </w:r>
            <w:r w:rsidRPr="00075492">
              <w:rPr>
                <w:sz w:val="17"/>
              </w:rPr>
              <w:t>g</w:t>
            </w:r>
            <w:r w:rsidRPr="00075492">
              <w:rPr>
                <w:sz w:val="17"/>
              </w:rPr>
              <w:t>nad</w:t>
            </w:r>
          </w:p>
        </w:tc>
        <w:tc>
          <w:tcPr>
            <w:tcW w:w="2098" w:type="dxa"/>
          </w:tcPr>
          <w:p w:rsidR="00547E7E" w:rsidRPr="00075492" w:rsidRDefault="00547E7E">
            <w:pPr>
              <w:pStyle w:val="Normaltindrag"/>
              <w:keepNext/>
              <w:ind w:firstLine="0"/>
              <w:rPr>
                <w:sz w:val="17"/>
              </w:rPr>
            </w:pPr>
            <w:r w:rsidRPr="00075492">
              <w:rPr>
                <w:sz w:val="17"/>
              </w:rPr>
              <w:t>Följa utvecklingen inom vetenskapliga discipliner och genomföra vetenskapl</w:t>
            </w:r>
            <w:r w:rsidRPr="00075492">
              <w:rPr>
                <w:sz w:val="17"/>
              </w:rPr>
              <w:t>i</w:t>
            </w:r>
            <w:r w:rsidRPr="00075492">
              <w:rPr>
                <w:sz w:val="17"/>
              </w:rPr>
              <w:t>ga studier.</w:t>
            </w:r>
          </w:p>
          <w:p w:rsidR="00547E7E" w:rsidRPr="00075492" w:rsidRDefault="00547E7E">
            <w:pPr>
              <w:pStyle w:val="Normaltindrag"/>
              <w:keepNext/>
              <w:ind w:firstLine="0"/>
              <w:rPr>
                <w:sz w:val="17"/>
              </w:rPr>
            </w:pPr>
            <w:r w:rsidRPr="00075492">
              <w:rPr>
                <w:sz w:val="17"/>
              </w:rPr>
              <w:t>Genomföra riskvärd</w:t>
            </w:r>
            <w:r w:rsidRPr="00075492">
              <w:rPr>
                <w:sz w:val="17"/>
              </w:rPr>
              <w:t>e</w:t>
            </w:r>
            <w:r w:rsidRPr="00075492">
              <w:rPr>
                <w:sz w:val="17"/>
              </w:rPr>
              <w:t>ringar.</w:t>
            </w:r>
          </w:p>
        </w:tc>
        <w:tc>
          <w:tcPr>
            <w:tcW w:w="2098" w:type="dxa"/>
          </w:tcPr>
          <w:p w:rsidR="00547E7E" w:rsidRPr="00075492" w:rsidRDefault="00547E7E">
            <w:pPr>
              <w:pStyle w:val="Normaltindrag"/>
              <w:keepNext/>
              <w:ind w:firstLine="0"/>
              <w:rPr>
                <w:sz w:val="17"/>
              </w:rPr>
            </w:pPr>
            <w:r w:rsidRPr="00075492">
              <w:rPr>
                <w:sz w:val="17"/>
              </w:rPr>
              <w:t>Redovisning per område av vilka åtgärder som har vidtagits eller kommer att vidtas.</w:t>
            </w:r>
          </w:p>
        </w:tc>
      </w:tr>
      <w:tr w:rsidR="00000000" w:rsidRPr="00075492">
        <w:tblPrEx>
          <w:tblCellMar>
            <w:top w:w="0" w:type="dxa"/>
            <w:bottom w:w="0" w:type="dxa"/>
          </w:tblCellMar>
        </w:tblPrEx>
        <w:tc>
          <w:tcPr>
            <w:tcW w:w="1701" w:type="dxa"/>
          </w:tcPr>
          <w:p w:rsidR="00547E7E" w:rsidRPr="00075492" w:rsidRDefault="00547E7E">
            <w:pPr>
              <w:pStyle w:val="Normaltindrag"/>
              <w:keepNext/>
              <w:ind w:firstLine="0"/>
              <w:rPr>
                <w:sz w:val="17"/>
              </w:rPr>
            </w:pPr>
            <w:r w:rsidRPr="00075492">
              <w:rPr>
                <w:sz w:val="17"/>
              </w:rPr>
              <w:t>Verksamhetsgren 2</w:t>
            </w:r>
          </w:p>
          <w:p w:rsidR="00547E7E" w:rsidRPr="00075492" w:rsidRDefault="00547E7E">
            <w:pPr>
              <w:pStyle w:val="Normaltindrag"/>
              <w:keepNext/>
              <w:ind w:firstLine="0"/>
              <w:rPr>
                <w:sz w:val="17"/>
              </w:rPr>
            </w:pPr>
            <w:r w:rsidRPr="00075492">
              <w:rPr>
                <w:sz w:val="17"/>
              </w:rPr>
              <w:t>Regelarbete</w:t>
            </w:r>
          </w:p>
          <w:p w:rsidR="00547E7E" w:rsidRPr="00075492" w:rsidRDefault="00547E7E">
            <w:pPr>
              <w:pStyle w:val="Normaltindrag"/>
              <w:keepNext/>
              <w:ind w:firstLine="0"/>
              <w:rPr>
                <w:sz w:val="17"/>
              </w:rPr>
            </w:pPr>
          </w:p>
        </w:tc>
        <w:tc>
          <w:tcPr>
            <w:tcW w:w="2098" w:type="dxa"/>
          </w:tcPr>
          <w:p w:rsidR="00547E7E" w:rsidRPr="00075492" w:rsidRDefault="00547E7E">
            <w:pPr>
              <w:pStyle w:val="Normaltindrag"/>
              <w:keepNext/>
              <w:ind w:firstLine="0"/>
              <w:rPr>
                <w:sz w:val="17"/>
              </w:rPr>
            </w:pPr>
            <w:r w:rsidRPr="00075492">
              <w:rPr>
                <w:sz w:val="17"/>
              </w:rPr>
              <w:t>Tillgodose svenska kons</w:t>
            </w:r>
            <w:r w:rsidRPr="00075492">
              <w:rPr>
                <w:sz w:val="17"/>
              </w:rPr>
              <w:t>u</w:t>
            </w:r>
            <w:r w:rsidRPr="00075492">
              <w:rPr>
                <w:sz w:val="17"/>
              </w:rPr>
              <w:t>mentintressen.</w:t>
            </w:r>
          </w:p>
        </w:tc>
        <w:tc>
          <w:tcPr>
            <w:tcW w:w="2098" w:type="dxa"/>
          </w:tcPr>
          <w:p w:rsidR="00547E7E" w:rsidRPr="00075492" w:rsidRDefault="00547E7E">
            <w:pPr>
              <w:pStyle w:val="Normaltindrag"/>
              <w:keepNext/>
              <w:ind w:firstLine="0"/>
              <w:rPr>
                <w:sz w:val="17"/>
              </w:rPr>
            </w:pPr>
            <w:r w:rsidRPr="00075492">
              <w:rPr>
                <w:sz w:val="17"/>
              </w:rPr>
              <w:t>En redovisning av åtgärder inom regelarbetet, särskilt hur det svenska kons</w:t>
            </w:r>
            <w:r w:rsidRPr="00075492">
              <w:rPr>
                <w:sz w:val="17"/>
              </w:rPr>
              <w:t>u</w:t>
            </w:r>
            <w:r w:rsidRPr="00075492">
              <w:rPr>
                <w:sz w:val="17"/>
              </w:rPr>
              <w:t>mentintresset slagit igenom i EU-arbetet.</w:t>
            </w:r>
          </w:p>
        </w:tc>
      </w:tr>
      <w:tr w:rsidR="00000000" w:rsidRPr="00075492">
        <w:tblPrEx>
          <w:tblCellMar>
            <w:top w:w="0" w:type="dxa"/>
            <w:bottom w:w="0" w:type="dxa"/>
          </w:tblCellMar>
        </w:tblPrEx>
        <w:tc>
          <w:tcPr>
            <w:tcW w:w="1701" w:type="dxa"/>
          </w:tcPr>
          <w:p w:rsidR="00547E7E" w:rsidRPr="00075492" w:rsidRDefault="00547E7E">
            <w:pPr>
              <w:pStyle w:val="Normaltindrag"/>
              <w:keepNext/>
              <w:ind w:firstLine="0"/>
              <w:rPr>
                <w:sz w:val="17"/>
              </w:rPr>
            </w:pPr>
            <w:r w:rsidRPr="00075492">
              <w:rPr>
                <w:sz w:val="17"/>
              </w:rPr>
              <w:t>Verksamhetsgren 3</w:t>
            </w:r>
          </w:p>
          <w:p w:rsidR="00547E7E" w:rsidRPr="00075492" w:rsidRDefault="00547E7E">
            <w:pPr>
              <w:pStyle w:val="Normaltindrag"/>
              <w:keepNext/>
              <w:ind w:firstLine="0"/>
              <w:rPr>
                <w:sz w:val="17"/>
              </w:rPr>
            </w:pPr>
            <w:r w:rsidRPr="00075492">
              <w:rPr>
                <w:sz w:val="17"/>
              </w:rPr>
              <w:t>Tillsyn, inklusive besiktningsveterinärs-</w:t>
            </w:r>
          </w:p>
          <w:p w:rsidR="00547E7E" w:rsidRPr="00075492" w:rsidRDefault="00547E7E">
            <w:pPr>
              <w:pStyle w:val="Normaltindrag"/>
              <w:keepNext/>
              <w:ind w:firstLine="0"/>
              <w:rPr>
                <w:sz w:val="17"/>
              </w:rPr>
            </w:pPr>
            <w:r w:rsidRPr="00075492">
              <w:rPr>
                <w:sz w:val="17"/>
              </w:rPr>
              <w:t>organ</w:t>
            </w:r>
            <w:r w:rsidRPr="00075492">
              <w:rPr>
                <w:sz w:val="17"/>
              </w:rPr>
              <w:t>i</w:t>
            </w:r>
            <w:r w:rsidRPr="00075492">
              <w:rPr>
                <w:sz w:val="17"/>
              </w:rPr>
              <w:t>sationen</w:t>
            </w:r>
          </w:p>
        </w:tc>
        <w:tc>
          <w:tcPr>
            <w:tcW w:w="2098" w:type="dxa"/>
          </w:tcPr>
          <w:p w:rsidR="00547E7E" w:rsidRPr="00075492" w:rsidRDefault="00547E7E">
            <w:pPr>
              <w:pStyle w:val="Normaltindrag"/>
              <w:keepNext/>
              <w:ind w:firstLine="0"/>
              <w:rPr>
                <w:sz w:val="17"/>
              </w:rPr>
            </w:pPr>
            <w:r w:rsidRPr="00075492">
              <w:rPr>
                <w:sz w:val="17"/>
              </w:rPr>
              <w:t>En effektiv och likvärdig livsmedelstillsyn i hela landet.</w:t>
            </w:r>
          </w:p>
          <w:p w:rsidR="00547E7E" w:rsidRPr="00075492" w:rsidRDefault="00547E7E">
            <w:pPr>
              <w:pStyle w:val="Normaltindrag"/>
              <w:keepNext/>
              <w:ind w:firstLine="0"/>
              <w:rPr>
                <w:sz w:val="17"/>
              </w:rPr>
            </w:pPr>
            <w:r w:rsidRPr="00075492">
              <w:rPr>
                <w:sz w:val="17"/>
              </w:rPr>
              <w:t>Stöd till lokala tillsynsmy</w:t>
            </w:r>
            <w:r w:rsidRPr="00075492">
              <w:rPr>
                <w:sz w:val="17"/>
              </w:rPr>
              <w:t>n</w:t>
            </w:r>
            <w:r w:rsidRPr="00075492">
              <w:rPr>
                <w:sz w:val="17"/>
              </w:rPr>
              <w:t>digheter på ett professionellt och tydligt sätt.</w:t>
            </w:r>
          </w:p>
        </w:tc>
        <w:tc>
          <w:tcPr>
            <w:tcW w:w="2098" w:type="dxa"/>
          </w:tcPr>
          <w:p w:rsidR="00547E7E" w:rsidRPr="00075492" w:rsidRDefault="00547E7E">
            <w:pPr>
              <w:pStyle w:val="Normaltindrag"/>
              <w:keepNext/>
              <w:ind w:firstLine="0"/>
              <w:rPr>
                <w:sz w:val="17"/>
              </w:rPr>
            </w:pPr>
            <w:r w:rsidRPr="00075492">
              <w:rPr>
                <w:sz w:val="17"/>
              </w:rPr>
              <w:t>Redovisning av vilka åtgä</w:t>
            </w:r>
            <w:r w:rsidRPr="00075492">
              <w:rPr>
                <w:sz w:val="17"/>
              </w:rPr>
              <w:t>r</w:t>
            </w:r>
            <w:r w:rsidRPr="00075492">
              <w:rPr>
                <w:sz w:val="17"/>
              </w:rPr>
              <w:t>der som har vidtagits för att stödja den lokala tillsynen under 2001.</w:t>
            </w:r>
          </w:p>
          <w:p w:rsidR="00547E7E" w:rsidRPr="00075492" w:rsidRDefault="00547E7E">
            <w:pPr>
              <w:pStyle w:val="Normaltindrag"/>
              <w:keepNext/>
              <w:ind w:firstLine="0"/>
              <w:rPr>
                <w:sz w:val="17"/>
              </w:rPr>
            </w:pPr>
            <w:r w:rsidRPr="00075492">
              <w:rPr>
                <w:sz w:val="17"/>
              </w:rPr>
              <w:t>En bedömning av hur liv</w:t>
            </w:r>
            <w:r w:rsidRPr="00075492">
              <w:rPr>
                <w:sz w:val="17"/>
              </w:rPr>
              <w:t>s</w:t>
            </w:r>
            <w:r w:rsidRPr="00075492">
              <w:rPr>
                <w:sz w:val="17"/>
              </w:rPr>
              <w:t>medelstillsynen fungerar i landet.</w:t>
            </w:r>
          </w:p>
        </w:tc>
      </w:tr>
      <w:tr w:rsidR="00000000" w:rsidRPr="00075492">
        <w:tblPrEx>
          <w:tblCellMar>
            <w:top w:w="0" w:type="dxa"/>
            <w:bottom w:w="0" w:type="dxa"/>
          </w:tblCellMar>
        </w:tblPrEx>
        <w:tc>
          <w:tcPr>
            <w:tcW w:w="1701" w:type="dxa"/>
          </w:tcPr>
          <w:p w:rsidR="00547E7E" w:rsidRPr="00075492" w:rsidRDefault="00547E7E">
            <w:pPr>
              <w:pStyle w:val="Normaltindrag"/>
              <w:keepNext/>
              <w:ind w:firstLine="0"/>
              <w:rPr>
                <w:sz w:val="17"/>
              </w:rPr>
            </w:pPr>
            <w:r w:rsidRPr="00075492">
              <w:rPr>
                <w:sz w:val="17"/>
              </w:rPr>
              <w:t>Verksamhetsgren 4</w:t>
            </w:r>
          </w:p>
          <w:p w:rsidR="00547E7E" w:rsidRPr="00075492" w:rsidRDefault="00547E7E">
            <w:pPr>
              <w:pStyle w:val="Normaltindrag"/>
              <w:keepNext/>
              <w:ind w:firstLine="0"/>
              <w:rPr>
                <w:sz w:val="17"/>
              </w:rPr>
            </w:pPr>
            <w:r w:rsidRPr="00075492">
              <w:rPr>
                <w:sz w:val="17"/>
              </w:rPr>
              <w:t>Information</w:t>
            </w:r>
          </w:p>
        </w:tc>
        <w:tc>
          <w:tcPr>
            <w:tcW w:w="2098" w:type="dxa"/>
          </w:tcPr>
          <w:p w:rsidR="00547E7E" w:rsidRPr="00075492" w:rsidRDefault="00547E7E">
            <w:pPr>
              <w:pStyle w:val="Normaltindrag"/>
              <w:keepNext/>
              <w:ind w:firstLine="0"/>
              <w:rPr>
                <w:sz w:val="17"/>
              </w:rPr>
            </w:pPr>
            <w:r w:rsidRPr="00075492">
              <w:rPr>
                <w:sz w:val="17"/>
              </w:rPr>
              <w:t>Ge konsumenterna ökad kunskap så att</w:t>
            </w:r>
          </w:p>
          <w:p w:rsidR="00547E7E" w:rsidRPr="00075492" w:rsidRDefault="00547E7E">
            <w:pPr>
              <w:pStyle w:val="Normaltindrag"/>
              <w:keepNext/>
              <w:ind w:firstLine="0"/>
              <w:rPr>
                <w:sz w:val="17"/>
              </w:rPr>
            </w:pPr>
            <w:r w:rsidRPr="00075492">
              <w:rPr>
                <w:sz w:val="17"/>
              </w:rPr>
              <w:t>- deras möjligheter att göra bra och medvetna val av livsmedel ökar.</w:t>
            </w:r>
          </w:p>
          <w:p w:rsidR="00547E7E" w:rsidRPr="00075492" w:rsidRDefault="00547E7E">
            <w:pPr>
              <w:pStyle w:val="Normaltindrag"/>
              <w:keepNext/>
              <w:ind w:firstLine="0"/>
              <w:rPr>
                <w:sz w:val="17"/>
              </w:rPr>
            </w:pPr>
            <w:r w:rsidRPr="00075492">
              <w:rPr>
                <w:sz w:val="17"/>
              </w:rPr>
              <w:t>- antalet sjukdomsfall ors</w:t>
            </w:r>
            <w:r w:rsidRPr="00075492">
              <w:rPr>
                <w:sz w:val="17"/>
              </w:rPr>
              <w:t>a</w:t>
            </w:r>
            <w:r w:rsidRPr="00075492">
              <w:rPr>
                <w:sz w:val="17"/>
              </w:rPr>
              <w:t>kade av dålig hantering av livsmedel i hemmet kan minska.</w:t>
            </w:r>
          </w:p>
          <w:p w:rsidR="00547E7E" w:rsidRPr="00075492" w:rsidRDefault="00547E7E">
            <w:pPr>
              <w:pStyle w:val="Normaltindrag"/>
              <w:keepNext/>
              <w:ind w:firstLine="0"/>
              <w:rPr>
                <w:sz w:val="17"/>
              </w:rPr>
            </w:pPr>
            <w:r w:rsidRPr="00075492">
              <w:rPr>
                <w:sz w:val="17"/>
              </w:rPr>
              <w:t>Vara kunskapsförmedlare mellan landets kommuner och verka för en utveckling av skolmålt</w:t>
            </w:r>
            <w:r w:rsidRPr="00075492">
              <w:rPr>
                <w:sz w:val="17"/>
              </w:rPr>
              <w:t>i</w:t>
            </w:r>
            <w:r w:rsidRPr="00075492">
              <w:rPr>
                <w:sz w:val="17"/>
              </w:rPr>
              <w:t>der.</w:t>
            </w:r>
          </w:p>
        </w:tc>
        <w:tc>
          <w:tcPr>
            <w:tcW w:w="2098" w:type="dxa"/>
          </w:tcPr>
          <w:p w:rsidR="00547E7E" w:rsidRPr="00075492" w:rsidRDefault="00547E7E">
            <w:pPr>
              <w:pStyle w:val="Normaltindrag"/>
              <w:keepNext/>
              <w:ind w:firstLine="0"/>
              <w:rPr>
                <w:sz w:val="17"/>
              </w:rPr>
            </w:pPr>
            <w:r w:rsidRPr="00075492">
              <w:rPr>
                <w:sz w:val="17"/>
              </w:rPr>
              <w:t>Redovisning av åtgärder och effekter.</w:t>
            </w:r>
          </w:p>
          <w:p w:rsidR="00547E7E" w:rsidRPr="00075492" w:rsidRDefault="00547E7E">
            <w:pPr>
              <w:pStyle w:val="Normaltindrag"/>
              <w:keepNext/>
              <w:ind w:firstLine="0"/>
              <w:rPr>
                <w:sz w:val="17"/>
              </w:rPr>
            </w:pPr>
            <w:r w:rsidRPr="00075492">
              <w:rPr>
                <w:sz w:val="17"/>
              </w:rPr>
              <w:t>För de två förstnämnda målen ska redovisning av effekter ske vart tredje år.</w:t>
            </w:r>
          </w:p>
        </w:tc>
      </w:tr>
    </w:tbl>
    <w:p w:rsidR="00547E7E" w:rsidRPr="00075492" w:rsidRDefault="00547E7E">
      <w:pPr>
        <w:pStyle w:val="Normaltindrag"/>
      </w:pPr>
    </w:p>
    <w:p w:rsidR="00547E7E" w:rsidRPr="00075492" w:rsidRDefault="00547E7E">
      <w:r w:rsidRPr="00075492">
        <w:t>År 2000 kompletterades målformuleringen med begreppet ”likvärdig livsm</w:t>
      </w:r>
      <w:r w:rsidRPr="00075492">
        <w:t>e</w:t>
      </w:r>
      <w:r w:rsidRPr="00075492">
        <w:t xml:space="preserve">delstillsyn i hela landet”. Vid en intervju uppger Jordbruksdepartementet att Livsmedelsverket har preciserat mått för hur likvärdig tillsyn ska mätas. Det mått som används är att alla företag ska få ett besök per år. </w:t>
      </w:r>
    </w:p>
    <w:p w:rsidR="00547E7E" w:rsidRPr="00075492" w:rsidRDefault="00547E7E">
      <w:pPr>
        <w:pStyle w:val="Rubrik2"/>
      </w:pPr>
      <w:bookmarkStart w:id="263" w:name="_Ref526591885"/>
      <w:bookmarkStart w:id="264" w:name="_Ref526591911"/>
      <w:bookmarkStart w:id="265" w:name="_Toc532284478"/>
      <w:bookmarkStart w:id="266" w:name="_Toc532292044"/>
      <w:bookmarkStart w:id="267" w:name="_Toc84591"/>
      <w:bookmarkStart w:id="268" w:name="_Toc6634549"/>
      <w:bookmarkStart w:id="269" w:name="_Toc6637131"/>
      <w:r w:rsidRPr="00075492">
        <w:t>Ansvarsfördelning mellan Livsmedelsverket och kommunerna</w:t>
      </w:r>
      <w:bookmarkEnd w:id="265"/>
      <w:bookmarkEnd w:id="266"/>
      <w:bookmarkEnd w:id="267"/>
      <w:bookmarkEnd w:id="268"/>
      <w:bookmarkEnd w:id="269"/>
      <w:r w:rsidRPr="00075492">
        <w:t xml:space="preserve"> </w:t>
      </w:r>
      <w:bookmarkEnd w:id="263"/>
      <w:bookmarkEnd w:id="264"/>
    </w:p>
    <w:p w:rsidR="00547E7E" w:rsidRPr="00075492" w:rsidRDefault="00547E7E">
      <w:r w:rsidRPr="00075492">
        <w:t>Livsmedelsverket leder och samordnar livsmedelstillsynen för de livsm</w:t>
      </w:r>
      <w:r w:rsidRPr="00075492">
        <w:t>e</w:t>
      </w:r>
      <w:r w:rsidRPr="00075492">
        <w:t>delsanläggningar och vattenverk som finns i Sverige. Verket svarar också för tillsyn och godkännande av lokaler för större livsmedelsanläggningar. Totalt har verket ansvar för omkring 600 större livsmedelsanläggningar varav ca 130 slakterier.</w:t>
      </w:r>
    </w:p>
    <w:p w:rsidR="00547E7E" w:rsidRPr="00075492" w:rsidRDefault="00547E7E">
      <w:pPr>
        <w:pStyle w:val="Normaltindrag"/>
      </w:pPr>
      <w:r w:rsidRPr="00075492">
        <w:lastRenderedPageBreak/>
        <w:t>Livsmedelsverket har emellertid överfört tillsynsansvaret för vissa större anläggningar till en del kommuner, t.ex. Stockholm och Göteborg.</w:t>
      </w:r>
    </w:p>
    <w:p w:rsidR="00547E7E" w:rsidRPr="00075492" w:rsidRDefault="00547E7E">
      <w:pPr>
        <w:pStyle w:val="Normaltindrag"/>
      </w:pPr>
      <w:r w:rsidRPr="00075492">
        <w:t>Även om Livsmedelsverket har överlämnat tillsynsansvaret till den ko</w:t>
      </w:r>
      <w:r w:rsidRPr="00075492">
        <w:t>m</w:t>
      </w:r>
      <w:r w:rsidRPr="00075492">
        <w:t>munala tillsynsmyndigheten prövar verket dock lokalgodkännande för vissa anläggningar, enligt 38 § livsmedelsföror</w:t>
      </w:r>
      <w:r w:rsidRPr="00075492">
        <w:t>d</w:t>
      </w:r>
      <w:r w:rsidRPr="00075492">
        <w:t xml:space="preserve">ningen. </w:t>
      </w:r>
    </w:p>
    <w:p w:rsidR="00547E7E" w:rsidRPr="00075492" w:rsidRDefault="00547E7E">
      <w:pPr>
        <w:pStyle w:val="Normaltindrag"/>
      </w:pPr>
      <w:r w:rsidRPr="00075492">
        <w:t xml:space="preserve">Ansvarsfördelningen mellan kommunerna och Livsmedelsverket har på senare år inte förändrats nämnvärt. </w:t>
      </w:r>
    </w:p>
    <w:p w:rsidR="00547E7E" w:rsidRPr="00075492" w:rsidRDefault="00547E7E">
      <w:pPr>
        <w:pStyle w:val="Normaltindrag"/>
      </w:pPr>
      <w:r w:rsidRPr="00075492">
        <w:t>En förändring i ansvarsfördelningen som har diskuterats rör, enligt Liv</w:t>
      </w:r>
      <w:r w:rsidRPr="00075492">
        <w:t>s</w:t>
      </w:r>
      <w:r w:rsidRPr="00075492">
        <w:t>medelsverket, godkännande för äggpackerier. Enligt livsmedelsförordningen prövar Livsmedelsverket frågor om godkännande för äggpackerier. Verket har ansvar för ca 170 anläggningar, varav flertalet är mycket små. Enligt verkets uppfattning borde tillsynen kunna utföras av kommunerna. Svenska Kommunförbundet har dock motsatt sig detta med hänvisning till resur</w:t>
      </w:r>
      <w:r w:rsidRPr="00075492">
        <w:t>s</w:t>
      </w:r>
      <w:r w:rsidRPr="00075492">
        <w:t>brist.</w:t>
      </w:r>
    </w:p>
    <w:p w:rsidR="00547E7E" w:rsidRPr="00075492" w:rsidRDefault="00547E7E">
      <w:pPr>
        <w:pStyle w:val="Rubrik2"/>
      </w:pPr>
      <w:bookmarkStart w:id="270" w:name="_Toc532284479"/>
      <w:bookmarkStart w:id="271" w:name="_Toc532292045"/>
      <w:bookmarkStart w:id="272" w:name="_Toc84592"/>
      <w:bookmarkStart w:id="273" w:name="_Toc6634550"/>
      <w:bookmarkStart w:id="274" w:name="_Toc6637132"/>
      <w:r w:rsidRPr="00075492">
        <w:t>Länsstyrelserna</w:t>
      </w:r>
      <w:bookmarkEnd w:id="270"/>
      <w:bookmarkEnd w:id="271"/>
      <w:bookmarkEnd w:id="272"/>
      <w:bookmarkEnd w:id="273"/>
      <w:bookmarkEnd w:id="274"/>
    </w:p>
    <w:p w:rsidR="00547E7E" w:rsidRPr="00075492" w:rsidRDefault="00547E7E">
      <w:r w:rsidRPr="00075492">
        <w:t xml:space="preserve">Enligt livsmedelslagen ska länsstyrelserna svara för ”den närmare tillsynen inom länet”. </w:t>
      </w:r>
    </w:p>
    <w:p w:rsidR="00547E7E" w:rsidRPr="00075492" w:rsidRDefault="00547E7E">
      <w:pPr>
        <w:pStyle w:val="Normaltindrag"/>
      </w:pPr>
      <w:r w:rsidRPr="00075492">
        <w:t>I instruktionen (SFS 1997:1258) anges livsmedelstillsyn som en av län</w:t>
      </w:r>
      <w:r w:rsidRPr="00075492">
        <w:t>s</w:t>
      </w:r>
      <w:r w:rsidRPr="00075492">
        <w:t>styrelsernas uppgifter. Närmare precisering saknas. Instruktionen har ändrats vid några tillfällen sedan år 1990, men ingen av dessa förändringar gäller livsmedelstills</w:t>
      </w:r>
      <w:r w:rsidRPr="00075492">
        <w:t>y</w:t>
      </w:r>
      <w:r w:rsidRPr="00075492">
        <w:t xml:space="preserve">nen. </w:t>
      </w:r>
    </w:p>
    <w:p w:rsidR="00547E7E" w:rsidRPr="00075492" w:rsidRDefault="00547E7E">
      <w:pPr>
        <w:pStyle w:val="Normaltindrag"/>
      </w:pPr>
      <w:r w:rsidRPr="00075492">
        <w:t>En genomgång av regleringsbreven till länsstyrelserna under perioden 1992/93 t.o.m. 2001 visar att målformuleringar och återrapporteringskrav har varierat över tiden. För vissa år saknas u</w:t>
      </w:r>
      <w:r w:rsidRPr="00075492">
        <w:t>t</w:t>
      </w:r>
      <w:r w:rsidRPr="00075492">
        <w:t xml:space="preserve">tryckliga rapporteringskrav. </w:t>
      </w:r>
    </w:p>
    <w:p w:rsidR="00547E7E" w:rsidRPr="00075492" w:rsidRDefault="00547E7E">
      <w:pPr>
        <w:pStyle w:val="Normaltindrag"/>
      </w:pPr>
      <w:r w:rsidRPr="00075492">
        <w:t>I regleringsbrevet för år 2001 anger regeringen som mål för länsstyrelserna att kommunernas livsmedelstillsyn ska följas upp. Senast den 15 februari år 2002 ska länsstyrelserna återredovisa till Livsmedelsverket vilka insatser som de har gjort för att följa upp kommunernas livsmedelstillsyn.</w:t>
      </w:r>
    </w:p>
    <w:p w:rsidR="00547E7E" w:rsidRPr="00075492" w:rsidRDefault="00547E7E">
      <w:pPr>
        <w:pStyle w:val="Normaltindrag"/>
      </w:pPr>
      <w:r w:rsidRPr="00075492">
        <w:t>I regleringsbrevet för år 2000 angav regeringen att livsmedelskvaliteten och tillsynen därav skulle upprätthållas och vid behov förbättras. Därutöver sades: ”Länsstyrelserna skall aktivt följa upp kommunernas livsmedelstil</w:t>
      </w:r>
      <w:r w:rsidRPr="00075492">
        <w:t>l</w:t>
      </w:r>
      <w:r w:rsidRPr="00075492">
        <w:t xml:space="preserve">syn” (Statsliggaren för år 2000 s. 60). </w:t>
      </w:r>
    </w:p>
    <w:p w:rsidR="00547E7E" w:rsidRPr="00075492" w:rsidRDefault="00547E7E">
      <w:pPr>
        <w:pStyle w:val="Normaltindrag"/>
      </w:pPr>
      <w:r w:rsidRPr="00075492">
        <w:t>Vid några tillfällen har regeringen lämnat särskilda uppdrag till länsstyre</w:t>
      </w:r>
      <w:r w:rsidRPr="00075492">
        <w:t>l</w:t>
      </w:r>
      <w:r w:rsidRPr="00075492">
        <w:t>serna t.ex. att upprätta en regional samverkansgrupp för distriktsveterinär</w:t>
      </w:r>
      <w:r w:rsidRPr="00075492">
        <w:t>s</w:t>
      </w:r>
      <w:r w:rsidRPr="00075492">
        <w:t xml:space="preserve">organisationen. </w:t>
      </w:r>
    </w:p>
    <w:p w:rsidR="00547E7E" w:rsidRPr="00075492" w:rsidRDefault="00547E7E">
      <w:pPr>
        <w:pStyle w:val="Normaltindrag"/>
      </w:pPr>
      <w:r w:rsidRPr="00075492">
        <w:t>Totalt avsatte länsstyrelserna år 2000 ca 6 årsarbetskrafter för arbete med livsmedelstillsyn. Detta motsvarar ca 0,2 - 0,3 årsarbetskrafter per länsstyre</w:t>
      </w:r>
      <w:r w:rsidRPr="00075492">
        <w:t>l</w:t>
      </w:r>
      <w:r w:rsidRPr="00075492">
        <w:t xml:space="preserve">se. </w:t>
      </w:r>
    </w:p>
    <w:p w:rsidR="00547E7E" w:rsidRPr="00075492" w:rsidRDefault="00547E7E">
      <w:pPr>
        <w:pStyle w:val="Rubrik2"/>
      </w:pPr>
      <w:bookmarkStart w:id="275" w:name="_Toc532284480"/>
      <w:bookmarkStart w:id="276" w:name="_Toc532292046"/>
      <w:bookmarkStart w:id="277" w:name="_Toc84593"/>
      <w:bookmarkStart w:id="278" w:name="_Toc6634551"/>
      <w:bookmarkStart w:id="279" w:name="_Toc6637133"/>
      <w:r w:rsidRPr="00075492">
        <w:t>Kommunernas tillsynsansvar</w:t>
      </w:r>
      <w:bookmarkEnd w:id="275"/>
      <w:bookmarkEnd w:id="276"/>
      <w:bookmarkEnd w:id="277"/>
      <w:bookmarkEnd w:id="278"/>
      <w:bookmarkEnd w:id="279"/>
    </w:p>
    <w:p w:rsidR="00547E7E" w:rsidRPr="00075492" w:rsidRDefault="00547E7E">
      <w:r w:rsidRPr="00075492">
        <w:t>Enligt livsmedelslagen ska kommunerna utöva tillsyn över företag som til</w:t>
      </w:r>
      <w:r w:rsidRPr="00075492">
        <w:t>l</w:t>
      </w:r>
      <w:r w:rsidRPr="00075492">
        <w:t>verkar och saluför livsmedel. Inom kommunen utförs livsmedelstillsyn av den eller de kommunala nämnder som fullgör uppgifter inom miljö- och hälsoskyddsområdet om inte regeringen har föreskrivit att tillsynen ska u</w:t>
      </w:r>
      <w:r w:rsidRPr="00075492">
        <w:t>t</w:t>
      </w:r>
      <w:r w:rsidRPr="00075492">
        <w:t>övas av Livsmedelsverket (LL 24 §). Livsmedelsverket har också rätt att öve</w:t>
      </w:r>
      <w:r w:rsidRPr="00075492">
        <w:t>r</w:t>
      </w:r>
      <w:r w:rsidRPr="00075492">
        <w:t>låta tillsynsansvar till kommunerna för vissa anläggningar (LF 46 §).</w:t>
      </w:r>
    </w:p>
    <w:p w:rsidR="00547E7E" w:rsidRPr="00075492" w:rsidRDefault="00547E7E">
      <w:pPr>
        <w:pStyle w:val="Normaltindrag"/>
      </w:pPr>
      <w:r w:rsidRPr="00075492">
        <w:lastRenderedPageBreak/>
        <w:t>Kommunerna har i dag tillsyn över merparten (nästan 99 %) av alla liv</w:t>
      </w:r>
      <w:r w:rsidRPr="00075492">
        <w:t>s</w:t>
      </w:r>
      <w:r w:rsidRPr="00075492">
        <w:t>medelsanläggningar inklusive vattenverk. Av Sveriges 52 000 anläggningar är ca 80 % mindre anläggningar som sysselsätter mindre än 4 årsarbetskra</w:t>
      </w:r>
      <w:r w:rsidRPr="00075492">
        <w:t>f</w:t>
      </w:r>
      <w:r w:rsidRPr="00075492">
        <w:t>ter.</w:t>
      </w:r>
    </w:p>
    <w:p w:rsidR="00547E7E" w:rsidRPr="00075492" w:rsidRDefault="00547E7E">
      <w:pPr>
        <w:pStyle w:val="Normaltindrag"/>
      </w:pPr>
      <w:r w:rsidRPr="00075492">
        <w:t xml:space="preserve">Kommunerna har totalt ca 340 årsarbetskrafter för livsmedelstillsyn, varav ca 290 är inspektörer. </w:t>
      </w:r>
    </w:p>
    <w:p w:rsidR="00547E7E" w:rsidRPr="00075492" w:rsidRDefault="00547E7E">
      <w:pPr>
        <w:pStyle w:val="Rubrik2"/>
      </w:pPr>
      <w:bookmarkStart w:id="280" w:name="_Toc532284481"/>
      <w:bookmarkStart w:id="281" w:name="_Toc532292047"/>
      <w:bookmarkStart w:id="282" w:name="_Toc84594"/>
      <w:bookmarkStart w:id="283" w:name="_Toc6634552"/>
      <w:bookmarkStart w:id="284" w:name="_Toc6637134"/>
      <w:r w:rsidRPr="00075492">
        <w:t>Aktuella förslag om ansvarsfördelning mellan stat och kommun</w:t>
      </w:r>
      <w:bookmarkEnd w:id="280"/>
      <w:bookmarkEnd w:id="281"/>
      <w:bookmarkEnd w:id="282"/>
      <w:bookmarkEnd w:id="283"/>
      <w:bookmarkEnd w:id="284"/>
    </w:p>
    <w:p w:rsidR="00547E7E" w:rsidRPr="00075492" w:rsidRDefault="00547E7E">
      <w:pPr>
        <w:pStyle w:val="Rubrik3"/>
      </w:pPr>
      <w:bookmarkStart w:id="285" w:name="_Toc532284482"/>
      <w:bookmarkStart w:id="286" w:name="_Toc532292048"/>
      <w:bookmarkStart w:id="287" w:name="_Toc84595"/>
      <w:bookmarkStart w:id="288" w:name="_Toc6634553"/>
      <w:bookmarkStart w:id="289" w:name="_Toc6637135"/>
      <w:r w:rsidRPr="00075492">
        <w:t>Utredningen om livsmedelstillsynen i Sverige (SOU 1998:6)</w:t>
      </w:r>
      <w:bookmarkEnd w:id="285"/>
      <w:bookmarkEnd w:id="286"/>
      <w:bookmarkEnd w:id="287"/>
      <w:bookmarkEnd w:id="288"/>
      <w:bookmarkEnd w:id="289"/>
    </w:p>
    <w:p w:rsidR="00547E7E" w:rsidRPr="00075492" w:rsidRDefault="00547E7E">
      <w:r w:rsidRPr="00075492">
        <w:t>Utredningen om livsmedelstillsynen i Sverige hade till uppgift att särskilt utreda ansvarsfördelningen mellan stat och kommun.</w:t>
      </w:r>
      <w:r w:rsidRPr="00075492">
        <w:rPr>
          <w:rStyle w:val="Fotnotsreferens"/>
        </w:rPr>
        <w:footnoteReference w:id="18"/>
      </w:r>
      <w:r w:rsidRPr="00075492">
        <w:t xml:space="preserve"> </w:t>
      </w:r>
    </w:p>
    <w:p w:rsidR="00547E7E" w:rsidRPr="00075492" w:rsidRDefault="00547E7E">
      <w:pPr>
        <w:pStyle w:val="Normaltindrag"/>
      </w:pPr>
      <w:r w:rsidRPr="00075492">
        <w:t>Utredningen föreslog att grunderna för ansvarsfördelningen mellan stat och kommun vad gäller livsmedelstillsynen skulle bestå. Enligt utredningen borde en fortsatt decentralisering till kommunerna successivt ske när det finns förutsättningar för att upprätthålla erforderlig kompetens, kontinuitet och tillgänglighet i verksa</w:t>
      </w:r>
      <w:r w:rsidRPr="00075492">
        <w:t>m</w:t>
      </w:r>
      <w:r w:rsidRPr="00075492">
        <w:t xml:space="preserve">heten. </w:t>
      </w:r>
    </w:p>
    <w:p w:rsidR="00547E7E" w:rsidRPr="00075492" w:rsidRDefault="00547E7E">
      <w:pPr>
        <w:pStyle w:val="Normaltindrag"/>
      </w:pPr>
      <w:r w:rsidRPr="00075492">
        <w:t xml:space="preserve">Enligt förslaget skulle tillsynsansvar även fortsättningsvis kunna flyttas i motsatt riktning när tillräckliga skäl finns. Om Livsmedelsverket och en kommun har motsatt uppfattning om var tillsynsansvaret ska ligga, borde enligt utredningen regeringen kunna besluta i ärendet. </w:t>
      </w:r>
    </w:p>
    <w:p w:rsidR="00547E7E" w:rsidRPr="00075492" w:rsidRDefault="00547E7E">
      <w:pPr>
        <w:pStyle w:val="Normaltindrag"/>
      </w:pPr>
      <w:r w:rsidRPr="00075492">
        <w:t>Vidare föreslogs att regeringen skulle kunna besluta om att Livsmedel</w:t>
      </w:r>
      <w:r w:rsidRPr="00075492">
        <w:t>s</w:t>
      </w:r>
      <w:r w:rsidRPr="00075492">
        <w:t>verket övertar tillsynsansvar i en hel kommun i de fall kommunen grovt åsidosätter sina skyldigheter enligt livsmedelsl</w:t>
      </w:r>
      <w:r w:rsidRPr="00075492">
        <w:t>a</w:t>
      </w:r>
      <w:r w:rsidRPr="00075492">
        <w:t xml:space="preserve">gen. </w:t>
      </w:r>
    </w:p>
    <w:p w:rsidR="00547E7E" w:rsidRPr="00075492" w:rsidRDefault="00547E7E">
      <w:pPr>
        <w:pStyle w:val="Normaltindrag"/>
      </w:pPr>
      <w:r w:rsidRPr="00075492">
        <w:t>Kommittén ansåg vidare att länsstyrelsernas uppgifter enligt livsmedelsl</w:t>
      </w:r>
      <w:r w:rsidRPr="00075492">
        <w:t>a</w:t>
      </w:r>
      <w:r w:rsidRPr="00075492">
        <w:t>gen borde utgå. Behov av att utnyttja länsstyrelsernas sakkunskap inom livsmedelstillsynen kunde komma till uttryck i regleringsbrev.</w:t>
      </w:r>
    </w:p>
    <w:p w:rsidR="00547E7E" w:rsidRPr="00075492" w:rsidRDefault="00547E7E">
      <w:pPr>
        <w:pStyle w:val="Rubrik3"/>
      </w:pPr>
      <w:bookmarkStart w:id="290" w:name="_Toc532284483"/>
      <w:bookmarkStart w:id="291" w:name="_Toc532292049"/>
      <w:bookmarkStart w:id="292" w:name="_Toc84596"/>
      <w:bookmarkStart w:id="293" w:name="_Toc6634554"/>
      <w:bookmarkStart w:id="294" w:name="_Toc6637136"/>
      <w:r w:rsidRPr="00075492">
        <w:t>Livsmedelsverkets rapport, Effektivare livsmedelstillsyn</w:t>
      </w:r>
      <w:bookmarkEnd w:id="290"/>
      <w:bookmarkEnd w:id="291"/>
      <w:bookmarkEnd w:id="292"/>
      <w:bookmarkEnd w:id="293"/>
      <w:bookmarkEnd w:id="294"/>
      <w:r w:rsidRPr="00075492">
        <w:t xml:space="preserve"> </w:t>
      </w:r>
    </w:p>
    <w:p w:rsidR="00547E7E" w:rsidRPr="00075492" w:rsidRDefault="00547E7E">
      <w:r w:rsidRPr="00075492">
        <w:t>Livsmedelsverket har föreslagit att livsmedelstillsynen i Sverige ska första</w:t>
      </w:r>
      <w:r w:rsidRPr="00075492">
        <w:t>t</w:t>
      </w:r>
      <w:r w:rsidRPr="00075492">
        <w:t>ligas</w:t>
      </w:r>
      <w:r w:rsidRPr="00075492">
        <w:rPr>
          <w:rStyle w:val="Fotnotsreferens"/>
        </w:rPr>
        <w:footnoteReference w:id="19"/>
      </w:r>
      <w:r w:rsidRPr="00075492">
        <w:t>. Förslaget lämnades i samband med avrapporteringen av ett rege</w:t>
      </w:r>
      <w:r w:rsidRPr="00075492">
        <w:t>r</w:t>
      </w:r>
      <w:r w:rsidRPr="00075492">
        <w:t>ingsuppdrag. Verkets uppdrag var att utförligt redovisa de ekonomiska ko</w:t>
      </w:r>
      <w:r w:rsidRPr="00075492">
        <w:t>n</w:t>
      </w:r>
      <w:r w:rsidRPr="00075492">
        <w:t>sekvenserna av de förslag som hade lagts fram av utredningen om livsm</w:t>
      </w:r>
      <w:r w:rsidRPr="00075492">
        <w:t>e</w:t>
      </w:r>
      <w:r w:rsidRPr="00075492">
        <w:t xml:space="preserve">delstillsynen i Sverige. </w:t>
      </w:r>
    </w:p>
    <w:p w:rsidR="00547E7E" w:rsidRPr="00075492" w:rsidRDefault="00547E7E">
      <w:pPr>
        <w:pStyle w:val="Normaltindrag"/>
      </w:pPr>
      <w:r w:rsidRPr="00075492">
        <w:t>I uppdraget angavs dock att ”om Livsmedelsverket bedömer att kons</w:t>
      </w:r>
      <w:r w:rsidRPr="00075492">
        <w:t>e</w:t>
      </w:r>
      <w:r w:rsidRPr="00075492">
        <w:t xml:space="preserve">kvensanalysen leder fram till att andra åtgärder behöver vidtas än de som utredningen presenterar, bör verket föreslå sådana åtgärder, liksom hur de </w:t>
      </w:r>
      <w:r w:rsidRPr="00075492">
        <w:lastRenderedPageBreak/>
        <w:t>lämpligen bör finansieras”</w:t>
      </w:r>
      <w:r w:rsidRPr="00075492">
        <w:rPr>
          <w:rStyle w:val="Fotnotsreferens"/>
        </w:rPr>
        <w:footnoteReference w:id="20"/>
      </w:r>
      <w:r w:rsidRPr="00075492">
        <w:t>. Enligt Livsmedelsverket förankrades den bred</w:t>
      </w:r>
      <w:r w:rsidRPr="00075492">
        <w:t>a</w:t>
      </w:r>
      <w:r w:rsidRPr="00075492">
        <w:t>re ansatsen under arbetets gång med Jordbruksdepa</w:t>
      </w:r>
      <w:r w:rsidRPr="00075492">
        <w:t>r</w:t>
      </w:r>
      <w:r w:rsidRPr="00075492">
        <w:t xml:space="preserve">tementet. </w:t>
      </w:r>
    </w:p>
    <w:p w:rsidR="00547E7E" w:rsidRPr="00075492" w:rsidRDefault="00547E7E">
      <w:pPr>
        <w:pStyle w:val="Normaltindrag"/>
      </w:pPr>
      <w:r w:rsidRPr="00075492">
        <w:t>Enligt Livsmedelsverkets förslag skulle verket ansvara för all tillsyn inom ett tiotal regionala enheter. Dessa enheter skulle bestå av Livsmedelsverkets centralt placerade inspektörer, besiktningsveterinärsorganisationen och de kommunala inspektörerna. Det totala resursbehovet angavs till 530 årsa</w:t>
      </w:r>
      <w:r w:rsidRPr="00075492">
        <w:t>r</w:t>
      </w:r>
      <w:r w:rsidRPr="00075492">
        <w:t>betskrafter, dvs. 340 årsarbetskrafter mer än vad verket i dag disponerar. Resurserna antogs tillgodose nuvarande ambitionsnivå med tillsynen. Liv</w:t>
      </w:r>
      <w:r w:rsidRPr="00075492">
        <w:t>s</w:t>
      </w:r>
      <w:r w:rsidRPr="00075492">
        <w:t>medelsverket anger att ytterligare resurser kommer att krävas om en accept</w:t>
      </w:r>
      <w:r w:rsidRPr="00075492">
        <w:t>a</w:t>
      </w:r>
      <w:r w:rsidRPr="00075492">
        <w:t>bel nivå på tillsynen ska uppnås. Vilket resurstillskott som krävs för att up</w:t>
      </w:r>
      <w:r w:rsidRPr="00075492">
        <w:t>p</w:t>
      </w:r>
      <w:r w:rsidRPr="00075492">
        <w:t>nå en acceptabel nivå har inte ang</w:t>
      </w:r>
      <w:r w:rsidRPr="00075492">
        <w:t>i</w:t>
      </w:r>
      <w:r w:rsidRPr="00075492">
        <w:t>vits.</w:t>
      </w:r>
    </w:p>
    <w:p w:rsidR="00547E7E" w:rsidRPr="00075492" w:rsidRDefault="00547E7E">
      <w:pPr>
        <w:pStyle w:val="Normaltindrag"/>
      </w:pPr>
      <w:r w:rsidRPr="00075492">
        <w:t>Som motiv till sina förslag nämner Livsmedelsverket att statsmakterna ställer krav på en effektiv och likvärdig tillsyn och att dessa krav har fö</w:t>
      </w:r>
      <w:r w:rsidRPr="00075492">
        <w:t>r</w:t>
      </w:r>
      <w:r w:rsidRPr="00075492">
        <w:t>stärkts genom medlemskapet i EU. Livsmedelsverkets uppföljning av ko</w:t>
      </w:r>
      <w:r w:rsidRPr="00075492">
        <w:t>m</w:t>
      </w:r>
      <w:r w:rsidRPr="00075492">
        <w:t>munerna visar på stora brister i den kommunala tillsynen.</w:t>
      </w:r>
    </w:p>
    <w:p w:rsidR="00547E7E" w:rsidRPr="00075492" w:rsidRDefault="00547E7E">
      <w:pPr>
        <w:pStyle w:val="Normaltindrag"/>
      </w:pPr>
      <w:r w:rsidRPr="00075492">
        <w:t>Samtidigt påpekas att det är nödvändigt att förstärka de statliga resurserna och förtydliga Livsmedelsverkets och länsstyrelsernas uppdrag att verka för likvärdighet i den lokala livsmedelstillsynen om statsmakterna väljer att behålla nuvarande org</w:t>
      </w:r>
      <w:r w:rsidRPr="00075492">
        <w:t>a</w:t>
      </w:r>
      <w:r w:rsidRPr="00075492">
        <w:t>nisation.</w:t>
      </w:r>
    </w:p>
    <w:p w:rsidR="00547E7E" w:rsidRPr="00075492" w:rsidRDefault="00547E7E">
      <w:pPr>
        <w:pStyle w:val="Rubrik3"/>
      </w:pPr>
      <w:bookmarkStart w:id="295" w:name="_Toc532284484"/>
      <w:bookmarkStart w:id="296" w:name="_Toc532292050"/>
      <w:bookmarkStart w:id="297" w:name="_Toc84597"/>
      <w:bookmarkStart w:id="298" w:name="_Toc6634555"/>
      <w:bookmarkStart w:id="299" w:name="_Toc6637137"/>
      <w:r w:rsidRPr="00075492">
        <w:t>Länsstyrelsernas arbetsgrupp, promemoria</w:t>
      </w:r>
      <w:bookmarkEnd w:id="295"/>
      <w:bookmarkEnd w:id="296"/>
      <w:bookmarkEnd w:id="297"/>
      <w:bookmarkEnd w:id="298"/>
      <w:bookmarkEnd w:id="299"/>
    </w:p>
    <w:p w:rsidR="00547E7E" w:rsidRPr="00075492" w:rsidRDefault="00547E7E">
      <w:r w:rsidRPr="00075492">
        <w:t>Landshövdingemötet tillsatte våren 2001 en arbetsgrupp för att i samråd med Livsmedelsverket diskutera hur en möjlig framtida livsmedelstillsyn borde organiseras. Arbetsgruppen har nu lämnat ett förslag till regeringen avseende en statlig organ</w:t>
      </w:r>
      <w:r w:rsidRPr="00075492">
        <w:t>i</w:t>
      </w:r>
      <w:r w:rsidRPr="00075492">
        <w:t>sation</w:t>
      </w:r>
      <w:r w:rsidRPr="00075492">
        <w:rPr>
          <w:rStyle w:val="Fotnotsreferens"/>
        </w:rPr>
        <w:footnoteReference w:id="21"/>
      </w:r>
      <w:r w:rsidRPr="00075492">
        <w:t>.</w:t>
      </w:r>
    </w:p>
    <w:p w:rsidR="00547E7E" w:rsidRPr="00075492" w:rsidRDefault="00547E7E">
      <w:pPr>
        <w:pStyle w:val="Normaltindrag"/>
      </w:pPr>
      <w:r w:rsidRPr="00075492">
        <w:t>Arbetsgruppen föreslår att Livsmedelsverket och länsstyrelserna ges a</w:t>
      </w:r>
      <w:r w:rsidRPr="00075492">
        <w:t>n</w:t>
      </w:r>
      <w:r w:rsidRPr="00075492">
        <w:t>svaret för livsmedelstillsynen i Sverige. Tillsynen ska utövas av länsstyre</w:t>
      </w:r>
      <w:r w:rsidRPr="00075492">
        <w:t>l</w:t>
      </w:r>
      <w:r w:rsidRPr="00075492">
        <w:t xml:space="preserve">serna. ”För de kommuner som har vilja och förmåga bör länsstyrelsen kunna besluta att delegera tillsynen till dessa.” </w:t>
      </w:r>
    </w:p>
    <w:p w:rsidR="00547E7E" w:rsidRPr="00075492" w:rsidRDefault="00547E7E">
      <w:pPr>
        <w:pStyle w:val="Normaltindrag"/>
      </w:pPr>
      <w:r w:rsidRPr="00075492">
        <w:t>Som motiv till förslagen framförs att den bästa kostnadseffektiviteten torde uppnås inom länsstyrelsens organisation genom samordningen mellan dju</w:t>
      </w:r>
      <w:r w:rsidRPr="00075492">
        <w:t>r</w:t>
      </w:r>
      <w:r w:rsidRPr="00075492">
        <w:t xml:space="preserve">skydd, smittskydd och livsmedelstillsyn. </w:t>
      </w:r>
    </w:p>
    <w:p w:rsidR="00547E7E" w:rsidRPr="00075492" w:rsidRDefault="00547E7E">
      <w:pPr>
        <w:pStyle w:val="Rubrik3"/>
      </w:pPr>
      <w:bookmarkStart w:id="300" w:name="_Toc532284485"/>
      <w:bookmarkStart w:id="301" w:name="_Toc532292051"/>
      <w:bookmarkStart w:id="302" w:name="_Toc84598"/>
      <w:bookmarkStart w:id="303" w:name="_Toc6634556"/>
      <w:bookmarkStart w:id="304" w:name="_Toc6637138"/>
      <w:r w:rsidRPr="00075492">
        <w:t>Utredning inom Regeringskansliet</w:t>
      </w:r>
      <w:bookmarkEnd w:id="300"/>
      <w:bookmarkEnd w:id="301"/>
      <w:bookmarkEnd w:id="302"/>
      <w:bookmarkEnd w:id="303"/>
      <w:bookmarkEnd w:id="304"/>
    </w:p>
    <w:p w:rsidR="00547E7E" w:rsidRPr="00075492" w:rsidRDefault="00547E7E">
      <w:r w:rsidRPr="00075492">
        <w:t>Regeringen har inte tagit ställning till lämnade förslag avseende hur livsm</w:t>
      </w:r>
      <w:r w:rsidRPr="00075492">
        <w:t>e</w:t>
      </w:r>
      <w:r w:rsidRPr="00075492">
        <w:t xml:space="preserve">delstillsynen ska organiseras. </w:t>
      </w:r>
    </w:p>
    <w:p w:rsidR="00547E7E" w:rsidRPr="00075492" w:rsidRDefault="00547E7E">
      <w:pPr>
        <w:pStyle w:val="Normaltindrag"/>
      </w:pPr>
      <w:r w:rsidRPr="00075492">
        <w:t>Regeringen har tillsatt en inomdepartemental utredning som, enligt uppgift från företrädare för Jordbruksdepartementet, syftar till att utreda förutsät</w:t>
      </w:r>
      <w:r w:rsidRPr="00075492">
        <w:t>t</w:t>
      </w:r>
      <w:r w:rsidRPr="00075492">
        <w:t>ningarna för att samordna djurskyddet och livsmedelstillsynen i en statlig organisation. Regeringen har dock inte lämnat några skriftliga direktiv till utredaren.</w:t>
      </w:r>
    </w:p>
    <w:p w:rsidR="00547E7E" w:rsidRPr="00075492" w:rsidRDefault="00547E7E">
      <w:pPr>
        <w:pStyle w:val="Rubrik2"/>
      </w:pPr>
      <w:bookmarkStart w:id="305" w:name="_Toc532284486"/>
      <w:bookmarkStart w:id="306" w:name="_Toc532292052"/>
      <w:bookmarkStart w:id="307" w:name="_Toc84599"/>
      <w:bookmarkStart w:id="308" w:name="_Toc6634557"/>
      <w:bookmarkStart w:id="309" w:name="_Toc6637139"/>
      <w:r w:rsidRPr="00075492">
        <w:lastRenderedPageBreak/>
        <w:t>Sammanfattning</w:t>
      </w:r>
      <w:bookmarkEnd w:id="305"/>
      <w:bookmarkEnd w:id="306"/>
      <w:bookmarkEnd w:id="307"/>
      <w:bookmarkEnd w:id="308"/>
      <w:bookmarkEnd w:id="309"/>
    </w:p>
    <w:p w:rsidR="00547E7E" w:rsidRPr="00075492" w:rsidRDefault="00547E7E">
      <w:pPr>
        <w:numPr>
          <w:ilvl w:val="0"/>
          <w:numId w:val="197"/>
        </w:numPr>
      </w:pPr>
      <w:r w:rsidRPr="00075492">
        <w:t>Regelsystem</w:t>
      </w:r>
    </w:p>
    <w:p w:rsidR="00547E7E" w:rsidRPr="00075492" w:rsidRDefault="00547E7E">
      <w:r w:rsidRPr="00075492">
        <w:t>Kontroll av livsmedel regleras i livsmedelslagen och livsmedelsförordnin</w:t>
      </w:r>
      <w:r w:rsidRPr="00075492">
        <w:t>g</w:t>
      </w:r>
      <w:r w:rsidRPr="00075492">
        <w:t>en. Riksdagen har delegerat befogenheter till regeringen att meddela närmare föreskrifter om bl.a. lagens tillämpning. Regeringen har delegerat till Liv</w:t>
      </w:r>
      <w:r w:rsidRPr="00075492">
        <w:t>s</w:t>
      </w:r>
      <w:r w:rsidRPr="00075492">
        <w:t xml:space="preserve">medelsverket att meddela regler om lagens tillämpning. </w:t>
      </w:r>
    </w:p>
    <w:p w:rsidR="00547E7E" w:rsidRPr="00075492" w:rsidRDefault="00547E7E">
      <w:pPr>
        <w:numPr>
          <w:ilvl w:val="0"/>
          <w:numId w:val="191"/>
        </w:numPr>
      </w:pPr>
      <w:r w:rsidRPr="00075492">
        <w:t xml:space="preserve">Ansvarsfördelningen mellan staten och kommunerna </w:t>
      </w:r>
    </w:p>
    <w:p w:rsidR="00547E7E" w:rsidRPr="00075492" w:rsidRDefault="00547E7E">
      <w:r w:rsidRPr="00075492">
        <w:t>Ansvarsfördelningen mellan staten och kommunerna grundas på riksdagens beslut från år 1989. Det innebär att kommunerna svarar för merparten av livsmedelstillsynen i Sverige. Tillsynsansvaret omfattar ca 52 000 anläg</w:t>
      </w:r>
      <w:r w:rsidRPr="00075492">
        <w:t>g</w:t>
      </w:r>
      <w:r w:rsidRPr="00075492">
        <w:t>ningar. Livsmedelsverket svarar för tillsyn av större anläggningar och slakt</w:t>
      </w:r>
      <w:r w:rsidRPr="00075492">
        <w:t>e</w:t>
      </w:r>
      <w:r w:rsidRPr="00075492">
        <w:t>rier, totalt ca 600 anläggningar. Länsstyrelserna ska svara för den ”närmare tillsynen inom länet”.</w:t>
      </w:r>
    </w:p>
    <w:p w:rsidR="00547E7E" w:rsidRPr="00075492" w:rsidRDefault="00547E7E">
      <w:pPr>
        <w:pStyle w:val="Normaltindrag"/>
      </w:pPr>
      <w:r w:rsidRPr="00075492">
        <w:t xml:space="preserve">Livsmedelsverket är central förvaltningsmyndighet för frågor som rör livsmedel. Verket ska bl.a. utöva tillsyn enligt livsmedelslagen samt leda och samordna livsmedelskontrollen. </w:t>
      </w:r>
    </w:p>
    <w:p w:rsidR="00547E7E" w:rsidRPr="00075492" w:rsidRDefault="00547E7E">
      <w:pPr>
        <w:pStyle w:val="Normaltindrag"/>
      </w:pPr>
      <w:r w:rsidRPr="00075492">
        <w:t>Det finns för närvarande olika förslag om ansvarsfördelningen mellan stat och kommun. En kommitté har föreslagit att nuvarande ansvarsfördelning ska bestå. Livsmedelsverket och länsstyrelserna har föreslagit att verksa</w:t>
      </w:r>
      <w:r w:rsidRPr="00075492">
        <w:t>m</w:t>
      </w:r>
      <w:r w:rsidRPr="00075492">
        <w:t>heten ska första</w:t>
      </w:r>
      <w:r w:rsidRPr="00075492">
        <w:t>t</w:t>
      </w:r>
      <w:r w:rsidRPr="00075492">
        <w:t>ligas.</w:t>
      </w:r>
    </w:p>
    <w:p w:rsidR="00547E7E" w:rsidRPr="00075492" w:rsidRDefault="00547E7E">
      <w:pPr>
        <w:pStyle w:val="Normaltindrag"/>
      </w:pPr>
    </w:p>
    <w:p w:rsidR="00547E7E" w:rsidRPr="00075492" w:rsidRDefault="00547E7E">
      <w:pPr>
        <w:pStyle w:val="Rubrik1"/>
      </w:pPr>
      <w:r w:rsidRPr="00075492">
        <w:br w:type="page"/>
      </w:r>
      <w:bookmarkStart w:id="310" w:name="_Toc532284487"/>
      <w:bookmarkStart w:id="311" w:name="_Toc532292053"/>
      <w:bookmarkStart w:id="312" w:name="_Toc84600"/>
      <w:bookmarkStart w:id="313" w:name="_Toc6634558"/>
      <w:bookmarkStart w:id="314" w:name="_Toc6637140"/>
      <w:r w:rsidRPr="00075492">
        <w:lastRenderedPageBreak/>
        <w:t>Livsmedelsverket</w:t>
      </w:r>
      <w:bookmarkEnd w:id="310"/>
      <w:bookmarkEnd w:id="311"/>
      <w:bookmarkEnd w:id="312"/>
      <w:bookmarkEnd w:id="313"/>
      <w:bookmarkEnd w:id="314"/>
    </w:p>
    <w:p w:rsidR="00547E7E" w:rsidRPr="00075492" w:rsidRDefault="00547E7E">
      <w:pPr>
        <w:pStyle w:val="Rubrik2"/>
      </w:pPr>
      <w:bookmarkStart w:id="315" w:name="_Toc532284488"/>
      <w:bookmarkStart w:id="316" w:name="_Toc532292054"/>
      <w:bookmarkStart w:id="317" w:name="_Toc84601"/>
      <w:bookmarkStart w:id="318" w:name="_Toc6634559"/>
      <w:bookmarkStart w:id="319" w:name="_Toc6637141"/>
      <w:r w:rsidRPr="00075492">
        <w:t>Inledning</w:t>
      </w:r>
      <w:bookmarkEnd w:id="315"/>
      <w:bookmarkEnd w:id="316"/>
      <w:bookmarkEnd w:id="317"/>
      <w:bookmarkEnd w:id="318"/>
      <w:bookmarkEnd w:id="319"/>
    </w:p>
    <w:p w:rsidR="00547E7E" w:rsidRPr="00075492" w:rsidRDefault="00547E7E">
      <w:r w:rsidRPr="00075492">
        <w:t>Detta kapitel inleds med en kort beskrivning av Livsmedelsverkets verksa</w:t>
      </w:r>
      <w:r w:rsidRPr="00075492">
        <w:t>m</w:t>
      </w:r>
      <w:r w:rsidRPr="00075492">
        <w:t>het, organisation och finansiering. De verksamheter som behandlas mer ingående är verkets arbete med normgivning samt verkets ledning och sa</w:t>
      </w:r>
      <w:r w:rsidRPr="00075492">
        <w:t>m</w:t>
      </w:r>
      <w:r w:rsidRPr="00075492">
        <w:t>ordning av de kommunala tillsynsmyndigheterna. Dessa verksamheter har bedömts som mest relevanta för verkets möjligheter att styra den kommunala tillsynsverksamheten. Därutöver redovisas nuvarande rapporteringsordning samt Livsmedelsverkets bedömning av den kommunala tillsynsverksamh</w:t>
      </w:r>
      <w:r w:rsidRPr="00075492">
        <w:t>e</w:t>
      </w:r>
      <w:r w:rsidRPr="00075492">
        <w:t xml:space="preserve">ten. </w:t>
      </w:r>
    </w:p>
    <w:p w:rsidR="00547E7E" w:rsidRPr="00075492" w:rsidRDefault="00547E7E">
      <w:pPr>
        <w:pStyle w:val="Normaltindrag"/>
      </w:pPr>
      <w:r w:rsidRPr="00075492">
        <w:t>Syftet med detta kapitel är främst att belysa förhållandet mellan Livsm</w:t>
      </w:r>
      <w:r w:rsidRPr="00075492">
        <w:t>e</w:t>
      </w:r>
      <w:r w:rsidRPr="00075492">
        <w:t>delsverket och de kommunala til</w:t>
      </w:r>
      <w:r w:rsidRPr="00075492">
        <w:t>l</w:t>
      </w:r>
      <w:r w:rsidRPr="00075492">
        <w:t xml:space="preserve">synsmyndigheterna. </w:t>
      </w:r>
    </w:p>
    <w:p w:rsidR="00547E7E" w:rsidRPr="00075492" w:rsidRDefault="00547E7E">
      <w:pPr>
        <w:pStyle w:val="Rubrik2"/>
      </w:pPr>
      <w:bookmarkStart w:id="320" w:name="_Toc532284489"/>
      <w:bookmarkStart w:id="321" w:name="_Toc532292055"/>
      <w:bookmarkStart w:id="322" w:name="_Toc84602"/>
      <w:bookmarkStart w:id="323" w:name="_Toc6634560"/>
      <w:bookmarkStart w:id="324" w:name="_Toc6637142"/>
      <w:r w:rsidRPr="00075492">
        <w:t>Verksamhet och organisation</w:t>
      </w:r>
      <w:bookmarkEnd w:id="320"/>
      <w:bookmarkEnd w:id="321"/>
      <w:bookmarkEnd w:id="322"/>
      <w:bookmarkEnd w:id="323"/>
      <w:bookmarkEnd w:id="324"/>
    </w:p>
    <w:p w:rsidR="00547E7E" w:rsidRPr="00075492" w:rsidRDefault="00547E7E">
      <w:r w:rsidRPr="00075492">
        <w:t>Verksamheten vid Livsmedelsverket bedrivs inom de avdelningar som red</w:t>
      </w:r>
      <w:r w:rsidRPr="00075492">
        <w:t>o</w:t>
      </w:r>
      <w:r w:rsidRPr="00075492">
        <w:t>v</w:t>
      </w:r>
      <w:r w:rsidRPr="00075492">
        <w:t>i</w:t>
      </w:r>
      <w:r w:rsidRPr="00075492">
        <w:t xml:space="preserve">sas i figur 1. </w:t>
      </w:r>
    </w:p>
    <w:p w:rsidR="00547E7E" w:rsidRPr="00075492" w:rsidRDefault="00547E7E">
      <w:pPr>
        <w:pStyle w:val="Normaltindrag"/>
      </w:pPr>
      <w:r w:rsidRPr="00075492">
        <w:t>Den 1 juli 2000 genomförde Livsmedelsverket en omorganisation. Syftet med omorganisationen var bl.a. att skilja verkets regel- och förhandlingsa</w:t>
      </w:r>
      <w:r w:rsidRPr="00075492">
        <w:t>r</w:t>
      </w:r>
      <w:r w:rsidRPr="00075492">
        <w:t>bete från tillsyn och annan myndighetsutö</w:t>
      </w:r>
      <w:r w:rsidRPr="00075492">
        <w:t>v</w:t>
      </w:r>
      <w:r w:rsidRPr="00075492">
        <w:t xml:space="preserve">ning. </w:t>
      </w:r>
    </w:p>
    <w:p w:rsidR="00547E7E" w:rsidRPr="00075492" w:rsidRDefault="00547E7E">
      <w:r w:rsidRPr="00075492">
        <w:t>Livsmedelsverkets organisation framgår av nedanstående figur:</w:t>
      </w:r>
    </w:p>
    <w:p w:rsidR="00547E7E" w:rsidRPr="00075492" w:rsidRDefault="00075492">
      <w:pPr>
        <w:pStyle w:val="Beskrivning"/>
      </w:pPr>
      <w:r w:rsidRPr="00075492">
        <w:rPr>
          <w:noProof/>
        </w:rPr>
        <mc:AlternateContent>
          <mc:Choice Requires="wpg">
            <w:drawing>
              <wp:anchor distT="0" distB="0" distL="114300" distR="114300" simplePos="0" relativeHeight="251657728" behindDoc="0" locked="0" layoutInCell="0" allowOverlap="1">
                <wp:simplePos x="0" y="0"/>
                <wp:positionH relativeFrom="column">
                  <wp:posOffset>11430</wp:posOffset>
                </wp:positionH>
                <wp:positionV relativeFrom="paragraph">
                  <wp:posOffset>321945</wp:posOffset>
                </wp:positionV>
                <wp:extent cx="3724275" cy="2626360"/>
                <wp:effectExtent l="0" t="0" r="0" b="0"/>
                <wp:wrapTopAndBottom/>
                <wp:docPr id="10681164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4275" cy="2626360"/>
                          <a:chOff x="1008" y="7776"/>
                          <a:chExt cx="5865" cy="4136"/>
                        </a:xfrm>
                      </wpg:grpSpPr>
                      <wps:wsp>
                        <wps:cNvPr id="71710574" name="Text Box 3"/>
                        <wps:cNvSpPr txBox="1">
                          <a:spLocks noChangeArrowheads="1"/>
                        </wps:cNvSpPr>
                        <wps:spPr bwMode="auto">
                          <a:xfrm>
                            <a:off x="1008" y="9543"/>
                            <a:ext cx="1095" cy="236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FoU-</w:t>
                              </w:r>
                            </w:p>
                            <w:p w:rsidR="00547E7E" w:rsidRPr="00075492" w:rsidRDefault="00547E7E">
                              <w:pPr>
                                <w:pStyle w:val="Tabellrubrik"/>
                                <w:jc w:val="center"/>
                              </w:pPr>
                              <w:r w:rsidRPr="00075492">
                                <w:t>avde</w:t>
                              </w:r>
                              <w:r w:rsidRPr="00075492">
                                <w:t>l</w:t>
                              </w:r>
                              <w:r w:rsidRPr="00075492">
                                <w:t>ningen</w:t>
                              </w:r>
                            </w:p>
                            <w:p w:rsidR="00547E7E" w:rsidRPr="00075492" w:rsidRDefault="00547E7E">
                              <w:pPr>
                                <w:pStyle w:val="Tabell"/>
                              </w:pPr>
                            </w:p>
                            <w:p w:rsidR="00547E7E" w:rsidRPr="00075492" w:rsidRDefault="00547E7E">
                              <w:pPr>
                                <w:pStyle w:val="Tabell"/>
                              </w:pPr>
                            </w:p>
                            <w:p w:rsidR="00547E7E" w:rsidRPr="00075492" w:rsidRDefault="00547E7E">
                              <w:pPr>
                                <w:pStyle w:val="Tabellrubrik"/>
                              </w:pPr>
                              <w:r w:rsidRPr="00075492">
                                <w:t>Enheter:</w:t>
                              </w:r>
                            </w:p>
                            <w:p w:rsidR="00547E7E" w:rsidRPr="00075492" w:rsidRDefault="00547E7E">
                              <w:pPr>
                                <w:pStyle w:val="Tabell"/>
                                <w:numPr>
                                  <w:ilvl w:val="0"/>
                                  <w:numId w:val="276"/>
                                </w:numPr>
                              </w:pPr>
                              <w:r w:rsidRPr="00075492">
                                <w:t>Biologi</w:t>
                              </w:r>
                            </w:p>
                            <w:p w:rsidR="00547E7E" w:rsidRPr="00075492" w:rsidRDefault="00547E7E">
                              <w:pPr>
                                <w:pStyle w:val="Tabell"/>
                                <w:numPr>
                                  <w:ilvl w:val="0"/>
                                  <w:numId w:val="276"/>
                                </w:numPr>
                              </w:pPr>
                              <w:r w:rsidRPr="00075492">
                                <w:t>Kemi 1</w:t>
                              </w:r>
                            </w:p>
                            <w:p w:rsidR="00547E7E" w:rsidRPr="00075492" w:rsidRDefault="00547E7E">
                              <w:pPr>
                                <w:pStyle w:val="Tabell"/>
                                <w:numPr>
                                  <w:ilvl w:val="0"/>
                                  <w:numId w:val="276"/>
                                </w:numPr>
                              </w:pPr>
                              <w:r w:rsidRPr="00075492">
                                <w:t>Kemi 2</w:t>
                              </w:r>
                            </w:p>
                            <w:p w:rsidR="00547E7E" w:rsidRPr="00075492" w:rsidRDefault="00547E7E">
                              <w:pPr>
                                <w:pStyle w:val="Tabell"/>
                                <w:numPr>
                                  <w:ilvl w:val="0"/>
                                  <w:numId w:val="276"/>
                                </w:numPr>
                              </w:pPr>
                              <w:r w:rsidRPr="00075492">
                                <w:t>Tox</w:t>
                              </w:r>
                              <w:r w:rsidRPr="00075492">
                                <w:t>i</w:t>
                              </w:r>
                              <w:r w:rsidRPr="00075492">
                                <w:t>kologi</w:t>
                              </w:r>
                            </w:p>
                          </w:txbxContent>
                        </wps:txbx>
                        <wps:bodyPr rot="0" vert="horz" wrap="square" lIns="36000" tIns="45720" rIns="36000" bIns="45720" anchor="t" anchorCtr="0" upright="1">
                          <a:noAutofit/>
                        </wps:bodyPr>
                      </wps:wsp>
                      <wps:wsp>
                        <wps:cNvPr id="2008265147" name="Text Box 4"/>
                        <wps:cNvSpPr txBox="1">
                          <a:spLocks noChangeArrowheads="1"/>
                        </wps:cNvSpPr>
                        <wps:spPr bwMode="auto">
                          <a:xfrm>
                            <a:off x="2193" y="9543"/>
                            <a:ext cx="1095" cy="236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Regel-</w:t>
                              </w:r>
                            </w:p>
                            <w:p w:rsidR="00547E7E" w:rsidRPr="00075492" w:rsidRDefault="00547E7E">
                              <w:pPr>
                                <w:pStyle w:val="Tabellrubrik"/>
                                <w:jc w:val="center"/>
                              </w:pPr>
                              <w:r w:rsidRPr="00075492">
                                <w:t>avde</w:t>
                              </w:r>
                              <w:r w:rsidRPr="00075492">
                                <w:t>l</w:t>
                              </w:r>
                              <w:r w:rsidRPr="00075492">
                                <w:t>ningen</w:t>
                              </w:r>
                            </w:p>
                          </w:txbxContent>
                        </wps:txbx>
                        <wps:bodyPr rot="0" vert="horz" wrap="square" lIns="36000" tIns="45720" rIns="36000" bIns="45720" anchor="t" anchorCtr="0" upright="1">
                          <a:noAutofit/>
                        </wps:bodyPr>
                      </wps:wsp>
                      <wps:wsp>
                        <wps:cNvPr id="1140920710" name="Text Box 5"/>
                        <wps:cNvSpPr txBox="1">
                          <a:spLocks noChangeArrowheads="1"/>
                        </wps:cNvSpPr>
                        <wps:spPr bwMode="auto">
                          <a:xfrm>
                            <a:off x="3378" y="9543"/>
                            <a:ext cx="1095" cy="236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Tillsyns-</w:t>
                              </w:r>
                            </w:p>
                            <w:p w:rsidR="00547E7E" w:rsidRPr="00075492" w:rsidRDefault="00547E7E">
                              <w:pPr>
                                <w:pStyle w:val="Tabellrubrik"/>
                                <w:jc w:val="center"/>
                              </w:pPr>
                              <w:r w:rsidRPr="00075492">
                                <w:t>avde</w:t>
                              </w:r>
                              <w:r w:rsidRPr="00075492">
                                <w:t>l</w:t>
                              </w:r>
                              <w:r w:rsidRPr="00075492">
                                <w:t>ningen</w:t>
                              </w:r>
                            </w:p>
                            <w:p w:rsidR="00547E7E" w:rsidRPr="00075492" w:rsidRDefault="00547E7E">
                              <w:pPr>
                                <w:pStyle w:val="Tabell"/>
                                <w:tabs>
                                  <w:tab w:val="left" w:pos="0"/>
                                </w:tabs>
                              </w:pPr>
                            </w:p>
                            <w:p w:rsidR="00547E7E" w:rsidRPr="00075492" w:rsidRDefault="00547E7E">
                              <w:pPr>
                                <w:pStyle w:val="Tabellrubrik"/>
                              </w:pPr>
                              <w:r w:rsidRPr="00075492">
                                <w:t>Enheter:</w:t>
                              </w:r>
                            </w:p>
                            <w:p w:rsidR="00547E7E" w:rsidRPr="00075492" w:rsidRDefault="00547E7E">
                              <w:pPr>
                                <w:pStyle w:val="Tabell"/>
                                <w:numPr>
                                  <w:ilvl w:val="0"/>
                                  <w:numId w:val="277"/>
                                </w:numPr>
                                <w:ind w:left="142" w:hanging="142"/>
                              </w:pPr>
                              <w:r w:rsidRPr="00075492">
                                <w:t>BVO</w:t>
                              </w:r>
                            </w:p>
                            <w:p w:rsidR="00547E7E" w:rsidRPr="00075492" w:rsidRDefault="00547E7E">
                              <w:pPr>
                                <w:pStyle w:val="Tabell"/>
                                <w:numPr>
                                  <w:ilvl w:val="0"/>
                                  <w:numId w:val="277"/>
                                </w:numPr>
                                <w:ind w:left="142" w:hanging="142"/>
                              </w:pPr>
                              <w:r w:rsidRPr="00075492">
                                <w:t>Inspe</w:t>
                              </w:r>
                              <w:r w:rsidRPr="00075492">
                                <w:t>k</w:t>
                              </w:r>
                              <w:r w:rsidRPr="00075492">
                                <w:t>tion &amp; samor</w:t>
                              </w:r>
                              <w:r w:rsidRPr="00075492">
                                <w:t>d</w:t>
                              </w:r>
                              <w:r w:rsidRPr="00075492">
                                <w:t>ning</w:t>
                              </w:r>
                            </w:p>
                            <w:p w:rsidR="00547E7E" w:rsidRPr="00075492" w:rsidRDefault="00547E7E">
                              <w:pPr>
                                <w:pStyle w:val="Tabell"/>
                                <w:numPr>
                                  <w:ilvl w:val="0"/>
                                  <w:numId w:val="277"/>
                                </w:numPr>
                                <w:ind w:left="142" w:hanging="142"/>
                              </w:pPr>
                              <w:r w:rsidRPr="00075492">
                                <w:t>Allmän tilläm</w:t>
                              </w:r>
                              <w:r w:rsidRPr="00075492">
                                <w:t>p</w:t>
                              </w:r>
                              <w:r w:rsidRPr="00075492">
                                <w:t>ning</w:t>
                              </w:r>
                            </w:p>
                            <w:p w:rsidR="00547E7E" w:rsidRPr="00075492" w:rsidRDefault="00547E7E">
                              <w:pPr>
                                <w:pStyle w:val="Tabell"/>
                                <w:numPr>
                                  <w:ilvl w:val="0"/>
                                  <w:numId w:val="277"/>
                                </w:numPr>
                                <w:ind w:left="142" w:hanging="142"/>
                              </w:pPr>
                              <w:r w:rsidRPr="00075492">
                                <w:t xml:space="preserve">Inter- </w:t>
                              </w:r>
                              <w:r w:rsidRPr="00075492">
                                <w:br/>
                                <w:t>nationell handel *</w:t>
                              </w:r>
                            </w:p>
                            <w:p w:rsidR="00547E7E" w:rsidRPr="00075492" w:rsidRDefault="00547E7E">
                              <w:pPr>
                                <w:pStyle w:val="Tabell"/>
                              </w:pPr>
                            </w:p>
                          </w:txbxContent>
                        </wps:txbx>
                        <wps:bodyPr rot="0" vert="horz" wrap="square" lIns="36000" tIns="45720" rIns="36000" bIns="45720" anchor="t" anchorCtr="0" upright="1">
                          <a:noAutofit/>
                        </wps:bodyPr>
                      </wps:wsp>
                      <wps:wsp>
                        <wps:cNvPr id="139610696" name="Text Box 6"/>
                        <wps:cNvSpPr txBox="1">
                          <a:spLocks noChangeArrowheads="1"/>
                        </wps:cNvSpPr>
                        <wps:spPr bwMode="auto">
                          <a:xfrm>
                            <a:off x="4563" y="9543"/>
                            <a:ext cx="1095" cy="236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 xml:space="preserve">Avdelningen för </w:t>
                              </w:r>
                            </w:p>
                            <w:p w:rsidR="00547E7E" w:rsidRPr="00075492" w:rsidRDefault="00547E7E">
                              <w:pPr>
                                <w:pStyle w:val="Tabellrubrik"/>
                                <w:jc w:val="center"/>
                              </w:pPr>
                              <w:r w:rsidRPr="00075492">
                                <w:t>information &amp; nutr</w:t>
                              </w:r>
                              <w:r w:rsidRPr="00075492">
                                <w:t>i</w:t>
                              </w:r>
                              <w:r w:rsidRPr="00075492">
                                <w:t>tion</w:t>
                              </w:r>
                            </w:p>
                            <w:p w:rsidR="00547E7E" w:rsidRPr="00075492" w:rsidRDefault="00547E7E">
                              <w:pPr>
                                <w:pStyle w:val="Tabell"/>
                              </w:pPr>
                            </w:p>
                          </w:txbxContent>
                        </wps:txbx>
                        <wps:bodyPr rot="0" vert="horz" wrap="square" lIns="36000" tIns="45720" rIns="36000" bIns="45720" anchor="t" anchorCtr="0" upright="1">
                          <a:noAutofit/>
                        </wps:bodyPr>
                      </wps:wsp>
                      <wps:wsp>
                        <wps:cNvPr id="1853230108" name="Text Box 7"/>
                        <wps:cNvSpPr txBox="1">
                          <a:spLocks noChangeArrowheads="1"/>
                        </wps:cNvSpPr>
                        <wps:spPr bwMode="auto">
                          <a:xfrm>
                            <a:off x="5778" y="9543"/>
                            <a:ext cx="1095" cy="236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Administr</w:t>
                              </w:r>
                              <w:r w:rsidRPr="00075492">
                                <w:t>a</w:t>
                              </w:r>
                              <w:r w:rsidRPr="00075492">
                                <w:t>tiva avde</w:t>
                              </w:r>
                              <w:r w:rsidRPr="00075492">
                                <w:t>l</w:t>
                              </w:r>
                              <w:r w:rsidRPr="00075492">
                                <w:t>ningen</w:t>
                              </w:r>
                            </w:p>
                            <w:p w:rsidR="00547E7E" w:rsidRPr="00075492" w:rsidRDefault="00547E7E">
                              <w:pPr>
                                <w:pStyle w:val="Tabell"/>
                              </w:pPr>
                            </w:p>
                            <w:p w:rsidR="00547E7E" w:rsidRPr="00075492" w:rsidRDefault="00547E7E">
                              <w:pPr>
                                <w:pStyle w:val="Tabellrubrik"/>
                              </w:pPr>
                              <w:r w:rsidRPr="00075492">
                                <w:t>Enheter:</w:t>
                              </w:r>
                            </w:p>
                            <w:p w:rsidR="00547E7E" w:rsidRPr="00075492" w:rsidRDefault="00547E7E">
                              <w:pPr>
                                <w:pStyle w:val="Tabell"/>
                                <w:numPr>
                                  <w:ilvl w:val="0"/>
                                  <w:numId w:val="115"/>
                                </w:numPr>
                                <w:tabs>
                                  <w:tab w:val="left" w:pos="142"/>
                                </w:tabs>
                                <w:ind w:left="142" w:hanging="142"/>
                              </w:pPr>
                              <w:r w:rsidRPr="00075492">
                                <w:t>Ekon</w:t>
                              </w:r>
                              <w:r w:rsidRPr="00075492">
                                <w:t>o</w:t>
                              </w:r>
                              <w:r w:rsidRPr="00075492">
                                <w:t>mi</w:t>
                              </w:r>
                            </w:p>
                            <w:p w:rsidR="00547E7E" w:rsidRPr="00075492" w:rsidRDefault="00547E7E">
                              <w:pPr>
                                <w:pStyle w:val="Tabell"/>
                                <w:numPr>
                                  <w:ilvl w:val="0"/>
                                  <w:numId w:val="115"/>
                                </w:numPr>
                                <w:tabs>
                                  <w:tab w:val="left" w:pos="142"/>
                                </w:tabs>
                                <w:ind w:left="142" w:hanging="142"/>
                              </w:pPr>
                              <w:r w:rsidRPr="00075492">
                                <w:t>IT</w:t>
                              </w:r>
                            </w:p>
                            <w:p w:rsidR="00547E7E" w:rsidRPr="00075492" w:rsidRDefault="00547E7E">
                              <w:pPr>
                                <w:pStyle w:val="Tabell"/>
                                <w:numPr>
                                  <w:ilvl w:val="0"/>
                                  <w:numId w:val="115"/>
                                </w:numPr>
                                <w:tabs>
                                  <w:tab w:val="left" w:pos="142"/>
                                </w:tabs>
                                <w:ind w:left="142" w:hanging="142"/>
                              </w:pPr>
                              <w:r w:rsidRPr="00075492">
                                <w:t>Personal</w:t>
                              </w:r>
                            </w:p>
                            <w:p w:rsidR="00547E7E" w:rsidRPr="00075492" w:rsidRDefault="00547E7E">
                              <w:pPr>
                                <w:pStyle w:val="Tabell"/>
                                <w:numPr>
                                  <w:ilvl w:val="0"/>
                                  <w:numId w:val="115"/>
                                </w:numPr>
                                <w:tabs>
                                  <w:tab w:val="left" w:pos="142"/>
                                </w:tabs>
                                <w:ind w:left="142" w:hanging="142"/>
                              </w:pPr>
                              <w:r w:rsidRPr="00075492">
                                <w:t>Service</w:t>
                              </w:r>
                            </w:p>
                          </w:txbxContent>
                        </wps:txbx>
                        <wps:bodyPr rot="0" vert="horz" wrap="square" lIns="36000" tIns="45720" rIns="36000" bIns="45720" anchor="t" anchorCtr="0" upright="1">
                          <a:noAutofit/>
                        </wps:bodyPr>
                      </wps:wsp>
                      <wps:wsp>
                        <wps:cNvPr id="985865010" name="Text Box 8"/>
                        <wps:cNvSpPr txBox="1">
                          <a:spLocks noChangeArrowheads="1"/>
                        </wps:cNvSpPr>
                        <wps:spPr bwMode="auto">
                          <a:xfrm>
                            <a:off x="3312" y="7776"/>
                            <a:ext cx="1095" cy="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GD</w:t>
                              </w:r>
                            </w:p>
                            <w:p w:rsidR="00547E7E" w:rsidRPr="00075492" w:rsidRDefault="00547E7E">
                              <w:pPr>
                                <w:pStyle w:val="Tabellrubrik"/>
                                <w:jc w:val="center"/>
                              </w:pPr>
                              <w:r w:rsidRPr="00075492">
                                <w:t>Stf GD</w:t>
                              </w:r>
                            </w:p>
                          </w:txbxContent>
                        </wps:txbx>
                        <wps:bodyPr rot="0" vert="horz" wrap="square" lIns="91440" tIns="45720" rIns="91440" bIns="45720" anchor="t" anchorCtr="0" upright="1">
                          <a:noAutofit/>
                        </wps:bodyPr>
                      </wps:wsp>
                      <wps:wsp>
                        <wps:cNvPr id="1748732253" name="Text Box 9"/>
                        <wps:cNvSpPr txBox="1">
                          <a:spLocks noChangeArrowheads="1"/>
                        </wps:cNvSpPr>
                        <wps:spPr bwMode="auto">
                          <a:xfrm>
                            <a:off x="4878" y="8463"/>
                            <a:ext cx="1095" cy="3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Stab</w:t>
                              </w:r>
                            </w:p>
                          </w:txbxContent>
                        </wps:txbx>
                        <wps:bodyPr rot="0" vert="horz" wrap="square" lIns="91440" tIns="54000" rIns="91440" bIns="45720" anchor="t" anchorCtr="0" upright="1">
                          <a:noAutofit/>
                        </wps:bodyPr>
                      </wps:wsp>
                      <wps:wsp>
                        <wps:cNvPr id="2136471781" name="Text Box 10"/>
                        <wps:cNvSpPr txBox="1">
                          <a:spLocks noChangeArrowheads="1"/>
                        </wps:cNvSpPr>
                        <wps:spPr bwMode="auto">
                          <a:xfrm>
                            <a:off x="1083" y="7923"/>
                            <a:ext cx="1305" cy="3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Styrelse</w:t>
                              </w:r>
                            </w:p>
                          </w:txbxContent>
                        </wps:txbx>
                        <wps:bodyPr rot="0" vert="horz" wrap="square" lIns="0" tIns="54000" rIns="0" bIns="45720" anchor="t" anchorCtr="0" upright="1">
                          <a:noAutofit/>
                        </wps:bodyPr>
                      </wps:wsp>
                      <wps:wsp>
                        <wps:cNvPr id="1893111298" name="Text Box 11"/>
                        <wps:cNvSpPr txBox="1">
                          <a:spLocks noChangeArrowheads="1"/>
                        </wps:cNvSpPr>
                        <wps:spPr bwMode="auto">
                          <a:xfrm>
                            <a:off x="1083" y="8388"/>
                            <a:ext cx="1305" cy="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47E7E" w:rsidRPr="00075492" w:rsidRDefault="00547E7E">
                              <w:pPr>
                                <w:pStyle w:val="Tabellrubrik"/>
                                <w:jc w:val="center"/>
                              </w:pPr>
                              <w:r w:rsidRPr="00075492">
                                <w:t>Externa veten-skapl</w:t>
                              </w:r>
                              <w:r w:rsidRPr="00075492">
                                <w:t>i</w:t>
                              </w:r>
                              <w:r w:rsidRPr="00075492">
                                <w:t>ga råd</w:t>
                              </w:r>
                            </w:p>
                          </w:txbxContent>
                        </wps:txbx>
                        <wps:bodyPr rot="0" vert="horz" wrap="square" lIns="0" tIns="54000" rIns="0" bIns="45720" anchor="t" anchorCtr="0" upright="1">
                          <a:noAutofit/>
                        </wps:bodyPr>
                      </wps:wsp>
                      <wps:wsp>
                        <wps:cNvPr id="796000912" name="Line 12"/>
                        <wps:cNvCnPr>
                          <a:cxnSpLocks noChangeShapeType="1"/>
                        </wps:cNvCnPr>
                        <wps:spPr bwMode="auto">
                          <a:xfrm>
                            <a:off x="3933" y="8352"/>
                            <a:ext cx="0" cy="11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8043148" name="Line 13"/>
                        <wps:cNvCnPr>
                          <a:cxnSpLocks noChangeShapeType="1"/>
                        </wps:cNvCnPr>
                        <wps:spPr bwMode="auto">
                          <a:xfrm>
                            <a:off x="1563" y="9333"/>
                            <a:ext cx="4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3396268" name="Line 14"/>
                        <wps:cNvCnPr>
                          <a:cxnSpLocks noChangeShapeType="1"/>
                        </wps:cNvCnPr>
                        <wps:spPr bwMode="auto">
                          <a:xfrm>
                            <a:off x="1563" y="9333"/>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9759857" name="Line 15"/>
                        <wps:cNvCnPr>
                          <a:cxnSpLocks noChangeShapeType="1"/>
                        </wps:cNvCnPr>
                        <wps:spPr bwMode="auto">
                          <a:xfrm>
                            <a:off x="2748" y="9333"/>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1361302" name="Line 16"/>
                        <wps:cNvCnPr>
                          <a:cxnSpLocks noChangeShapeType="1"/>
                        </wps:cNvCnPr>
                        <wps:spPr bwMode="auto">
                          <a:xfrm>
                            <a:off x="5103" y="9333"/>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358498" name="Line 17"/>
                        <wps:cNvCnPr>
                          <a:cxnSpLocks noChangeShapeType="1"/>
                        </wps:cNvCnPr>
                        <wps:spPr bwMode="auto">
                          <a:xfrm>
                            <a:off x="6348" y="9333"/>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897352" name="Line 18"/>
                        <wps:cNvCnPr>
                          <a:cxnSpLocks noChangeShapeType="1"/>
                        </wps:cNvCnPr>
                        <wps:spPr bwMode="auto">
                          <a:xfrm flipH="1">
                            <a:off x="3933" y="8643"/>
                            <a:ext cx="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pt;margin-top:25.35pt;width:293.25pt;height:206.8pt;z-index:251657728" coordorigin="1008,7776" coordsize="5865,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" o:allowincell="f">
                <v:shapetype id="_x0000_t202" coordsize="21600,21600" o:spt="202" path="m,l,21600r21600,l21600,xe">
                  <v:stroke joinstyle="miter"/>
                  <v:path gradientshapeok="t" o:connecttype="rect"/>
                </v:shapetype>
                <v:shape id="Text Box 3" o:spid="_x0000_s1027" type="#_x0000_t202" style="position:absolute;left:1008;top:9543;width:109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">
                  <v:shadow on="t"/>
                  <v:textbox inset="1mm,,1mm">
                    <w:txbxContent>
                      <w:p w:rsidR="00547E7E" w:rsidRPr="00075492" w:rsidRDefault="00547E7E">
                        <w:pPr>
                          <w:pStyle w:val="Tabellrubrik"/>
                          <w:jc w:val="center"/>
                        </w:pPr>
                        <w:r w:rsidRPr="00075492">
                          <w:t>FoU-</w:t>
                        </w:r>
                      </w:p>
                      <w:p w:rsidR="00547E7E" w:rsidRPr="00075492" w:rsidRDefault="00547E7E">
                        <w:pPr>
                          <w:pStyle w:val="Tabellrubrik"/>
                          <w:jc w:val="center"/>
                        </w:pPr>
                        <w:r w:rsidRPr="00075492">
                          <w:t>avde</w:t>
                        </w:r>
                        <w:r w:rsidRPr="00075492">
                          <w:t>l</w:t>
                        </w:r>
                        <w:r w:rsidRPr="00075492">
                          <w:t>ningen</w:t>
                        </w:r>
                      </w:p>
                      <w:p w:rsidR="00547E7E" w:rsidRPr="00075492" w:rsidRDefault="00547E7E">
                        <w:pPr>
                          <w:pStyle w:val="Tabell"/>
                        </w:pPr>
                      </w:p>
                      <w:p w:rsidR="00547E7E" w:rsidRPr="00075492" w:rsidRDefault="00547E7E">
                        <w:pPr>
                          <w:pStyle w:val="Tabell"/>
                        </w:pPr>
                      </w:p>
                      <w:p w:rsidR="00547E7E" w:rsidRPr="00075492" w:rsidRDefault="00547E7E">
                        <w:pPr>
                          <w:pStyle w:val="Tabellrubrik"/>
                        </w:pPr>
                        <w:r w:rsidRPr="00075492">
                          <w:t>Enheter:</w:t>
                        </w:r>
                      </w:p>
                      <w:p w:rsidR="00547E7E" w:rsidRPr="00075492" w:rsidRDefault="00547E7E">
                        <w:pPr>
                          <w:pStyle w:val="Tabell"/>
                          <w:numPr>
                            <w:ilvl w:val="0"/>
                            <w:numId w:val="276"/>
                          </w:numPr>
                        </w:pPr>
                        <w:r w:rsidRPr="00075492">
                          <w:t>Biologi</w:t>
                        </w:r>
                      </w:p>
                      <w:p w:rsidR="00547E7E" w:rsidRPr="00075492" w:rsidRDefault="00547E7E">
                        <w:pPr>
                          <w:pStyle w:val="Tabell"/>
                          <w:numPr>
                            <w:ilvl w:val="0"/>
                            <w:numId w:val="276"/>
                          </w:numPr>
                        </w:pPr>
                        <w:r w:rsidRPr="00075492">
                          <w:t>Kemi 1</w:t>
                        </w:r>
                      </w:p>
                      <w:p w:rsidR="00547E7E" w:rsidRPr="00075492" w:rsidRDefault="00547E7E">
                        <w:pPr>
                          <w:pStyle w:val="Tabell"/>
                          <w:numPr>
                            <w:ilvl w:val="0"/>
                            <w:numId w:val="276"/>
                          </w:numPr>
                        </w:pPr>
                        <w:r w:rsidRPr="00075492">
                          <w:t>Kemi 2</w:t>
                        </w:r>
                      </w:p>
                      <w:p w:rsidR="00547E7E" w:rsidRPr="00075492" w:rsidRDefault="00547E7E">
                        <w:pPr>
                          <w:pStyle w:val="Tabell"/>
                          <w:numPr>
                            <w:ilvl w:val="0"/>
                            <w:numId w:val="276"/>
                          </w:numPr>
                        </w:pPr>
                        <w:r w:rsidRPr="00075492">
                          <w:t>Tox</w:t>
                        </w:r>
                        <w:r w:rsidRPr="00075492">
                          <w:t>i</w:t>
                        </w:r>
                        <w:r w:rsidRPr="00075492">
                          <w:t>kologi</w:t>
                        </w:r>
                      </w:p>
                    </w:txbxContent>
                  </v:textbox>
                </v:shape>
                <v:shape id="Text Box 4" o:spid="_x0000_s1028" type="#_x0000_t202" style="position:absolute;left:2193;top:9543;width:109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">
                  <v:shadow on="t"/>
                  <v:textbox inset="1mm,,1mm">
                    <w:txbxContent>
                      <w:p w:rsidR="00547E7E" w:rsidRPr="00075492" w:rsidRDefault="00547E7E">
                        <w:pPr>
                          <w:pStyle w:val="Tabellrubrik"/>
                          <w:jc w:val="center"/>
                        </w:pPr>
                        <w:r w:rsidRPr="00075492">
                          <w:t>Regel-</w:t>
                        </w:r>
                      </w:p>
                      <w:p w:rsidR="00547E7E" w:rsidRPr="00075492" w:rsidRDefault="00547E7E">
                        <w:pPr>
                          <w:pStyle w:val="Tabellrubrik"/>
                          <w:jc w:val="center"/>
                        </w:pPr>
                        <w:r w:rsidRPr="00075492">
                          <w:t>avde</w:t>
                        </w:r>
                        <w:r w:rsidRPr="00075492">
                          <w:t>l</w:t>
                        </w:r>
                        <w:r w:rsidRPr="00075492">
                          <w:t>ningen</w:t>
                        </w:r>
                      </w:p>
                    </w:txbxContent>
                  </v:textbox>
                </v:shape>
                <v:shape id="Text Box 5" o:spid="_x0000_s1029" type="#_x0000_t202" style="position:absolute;left:3378;top:9543;width:109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">
                  <v:shadow on="t"/>
                  <v:textbox inset="1mm,,1mm">
                    <w:txbxContent>
                      <w:p w:rsidR="00547E7E" w:rsidRPr="00075492" w:rsidRDefault="00547E7E">
                        <w:pPr>
                          <w:pStyle w:val="Tabellrubrik"/>
                          <w:jc w:val="center"/>
                        </w:pPr>
                        <w:r w:rsidRPr="00075492">
                          <w:t>Tillsyns-</w:t>
                        </w:r>
                      </w:p>
                      <w:p w:rsidR="00547E7E" w:rsidRPr="00075492" w:rsidRDefault="00547E7E">
                        <w:pPr>
                          <w:pStyle w:val="Tabellrubrik"/>
                          <w:jc w:val="center"/>
                        </w:pPr>
                        <w:r w:rsidRPr="00075492">
                          <w:t>avde</w:t>
                        </w:r>
                        <w:r w:rsidRPr="00075492">
                          <w:t>l</w:t>
                        </w:r>
                        <w:r w:rsidRPr="00075492">
                          <w:t>ningen</w:t>
                        </w:r>
                      </w:p>
                      <w:p w:rsidR="00547E7E" w:rsidRPr="00075492" w:rsidRDefault="00547E7E">
                        <w:pPr>
                          <w:pStyle w:val="Tabell"/>
                          <w:tabs>
                            <w:tab w:val="left" w:pos="0"/>
                          </w:tabs>
                        </w:pPr>
                      </w:p>
                      <w:p w:rsidR="00547E7E" w:rsidRPr="00075492" w:rsidRDefault="00547E7E">
                        <w:pPr>
                          <w:pStyle w:val="Tabellrubrik"/>
                        </w:pPr>
                        <w:r w:rsidRPr="00075492">
                          <w:t>Enheter:</w:t>
                        </w:r>
                      </w:p>
                      <w:p w:rsidR="00547E7E" w:rsidRPr="00075492" w:rsidRDefault="00547E7E">
                        <w:pPr>
                          <w:pStyle w:val="Tabell"/>
                          <w:numPr>
                            <w:ilvl w:val="0"/>
                            <w:numId w:val="277"/>
                          </w:numPr>
                          <w:ind w:left="142" w:hanging="142"/>
                        </w:pPr>
                        <w:r w:rsidRPr="00075492">
                          <w:t>BVO</w:t>
                        </w:r>
                      </w:p>
                      <w:p w:rsidR="00547E7E" w:rsidRPr="00075492" w:rsidRDefault="00547E7E">
                        <w:pPr>
                          <w:pStyle w:val="Tabell"/>
                          <w:numPr>
                            <w:ilvl w:val="0"/>
                            <w:numId w:val="277"/>
                          </w:numPr>
                          <w:ind w:left="142" w:hanging="142"/>
                        </w:pPr>
                        <w:r w:rsidRPr="00075492">
                          <w:t>Inspe</w:t>
                        </w:r>
                        <w:r w:rsidRPr="00075492">
                          <w:t>k</w:t>
                        </w:r>
                        <w:r w:rsidRPr="00075492">
                          <w:t>tion &amp; samor</w:t>
                        </w:r>
                        <w:r w:rsidRPr="00075492">
                          <w:t>d</w:t>
                        </w:r>
                        <w:r w:rsidRPr="00075492">
                          <w:t>ning</w:t>
                        </w:r>
                      </w:p>
                      <w:p w:rsidR="00547E7E" w:rsidRPr="00075492" w:rsidRDefault="00547E7E">
                        <w:pPr>
                          <w:pStyle w:val="Tabell"/>
                          <w:numPr>
                            <w:ilvl w:val="0"/>
                            <w:numId w:val="277"/>
                          </w:numPr>
                          <w:ind w:left="142" w:hanging="142"/>
                        </w:pPr>
                        <w:r w:rsidRPr="00075492">
                          <w:t>Allmän tilläm</w:t>
                        </w:r>
                        <w:r w:rsidRPr="00075492">
                          <w:t>p</w:t>
                        </w:r>
                        <w:r w:rsidRPr="00075492">
                          <w:t>ning</w:t>
                        </w:r>
                      </w:p>
                      <w:p w:rsidR="00547E7E" w:rsidRPr="00075492" w:rsidRDefault="00547E7E">
                        <w:pPr>
                          <w:pStyle w:val="Tabell"/>
                          <w:numPr>
                            <w:ilvl w:val="0"/>
                            <w:numId w:val="277"/>
                          </w:numPr>
                          <w:ind w:left="142" w:hanging="142"/>
                        </w:pPr>
                        <w:r w:rsidRPr="00075492">
                          <w:t xml:space="preserve">Inter- </w:t>
                        </w:r>
                        <w:r w:rsidRPr="00075492">
                          <w:br/>
                          <w:t>nationell handel *</w:t>
                        </w:r>
                      </w:p>
                      <w:p w:rsidR="00547E7E" w:rsidRPr="00075492" w:rsidRDefault="00547E7E">
                        <w:pPr>
                          <w:pStyle w:val="Tabell"/>
                        </w:pPr>
                      </w:p>
                    </w:txbxContent>
                  </v:textbox>
                </v:shape>
                <v:shape id="Text Box 6" o:spid="_x0000_s1030" type="#_x0000_t202" style="position:absolute;left:4563;top:9543;width:109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">
                  <v:shadow on="t"/>
                  <v:textbox inset="1mm,,1mm">
                    <w:txbxContent>
                      <w:p w:rsidR="00547E7E" w:rsidRPr="00075492" w:rsidRDefault="00547E7E">
                        <w:pPr>
                          <w:pStyle w:val="Tabellrubrik"/>
                          <w:jc w:val="center"/>
                        </w:pPr>
                        <w:r w:rsidRPr="00075492">
                          <w:t xml:space="preserve">Avdelningen för </w:t>
                        </w:r>
                      </w:p>
                      <w:p w:rsidR="00547E7E" w:rsidRPr="00075492" w:rsidRDefault="00547E7E">
                        <w:pPr>
                          <w:pStyle w:val="Tabellrubrik"/>
                          <w:jc w:val="center"/>
                        </w:pPr>
                        <w:r w:rsidRPr="00075492">
                          <w:t>information &amp; nutr</w:t>
                        </w:r>
                        <w:r w:rsidRPr="00075492">
                          <w:t>i</w:t>
                        </w:r>
                        <w:r w:rsidRPr="00075492">
                          <w:t>tion</w:t>
                        </w:r>
                      </w:p>
                      <w:p w:rsidR="00547E7E" w:rsidRPr="00075492" w:rsidRDefault="00547E7E">
                        <w:pPr>
                          <w:pStyle w:val="Tabell"/>
                        </w:pPr>
                      </w:p>
                    </w:txbxContent>
                  </v:textbox>
                </v:shape>
                <v:shape id="Text Box 7" o:spid="_x0000_s1031" type="#_x0000_t202" style="position:absolute;left:5778;top:9543;width:109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">
                  <v:shadow on="t"/>
                  <v:textbox inset="1mm,,1mm">
                    <w:txbxContent>
                      <w:p w:rsidR="00547E7E" w:rsidRPr="00075492" w:rsidRDefault="00547E7E">
                        <w:pPr>
                          <w:pStyle w:val="Tabellrubrik"/>
                          <w:jc w:val="center"/>
                        </w:pPr>
                        <w:r w:rsidRPr="00075492">
                          <w:t>Administr</w:t>
                        </w:r>
                        <w:r w:rsidRPr="00075492">
                          <w:t>a</w:t>
                        </w:r>
                        <w:r w:rsidRPr="00075492">
                          <w:t>tiva avde</w:t>
                        </w:r>
                        <w:r w:rsidRPr="00075492">
                          <w:t>l</w:t>
                        </w:r>
                        <w:r w:rsidRPr="00075492">
                          <w:t>ningen</w:t>
                        </w:r>
                      </w:p>
                      <w:p w:rsidR="00547E7E" w:rsidRPr="00075492" w:rsidRDefault="00547E7E">
                        <w:pPr>
                          <w:pStyle w:val="Tabell"/>
                        </w:pPr>
                      </w:p>
                      <w:p w:rsidR="00547E7E" w:rsidRPr="00075492" w:rsidRDefault="00547E7E">
                        <w:pPr>
                          <w:pStyle w:val="Tabellrubrik"/>
                        </w:pPr>
                        <w:r w:rsidRPr="00075492">
                          <w:t>Enheter:</w:t>
                        </w:r>
                      </w:p>
                      <w:p w:rsidR="00547E7E" w:rsidRPr="00075492" w:rsidRDefault="00547E7E">
                        <w:pPr>
                          <w:pStyle w:val="Tabell"/>
                          <w:numPr>
                            <w:ilvl w:val="0"/>
                            <w:numId w:val="115"/>
                          </w:numPr>
                          <w:tabs>
                            <w:tab w:val="left" w:pos="142"/>
                          </w:tabs>
                          <w:ind w:left="142" w:hanging="142"/>
                        </w:pPr>
                        <w:r w:rsidRPr="00075492">
                          <w:t>Ekon</w:t>
                        </w:r>
                        <w:r w:rsidRPr="00075492">
                          <w:t>o</w:t>
                        </w:r>
                        <w:r w:rsidRPr="00075492">
                          <w:t>mi</w:t>
                        </w:r>
                      </w:p>
                      <w:p w:rsidR="00547E7E" w:rsidRPr="00075492" w:rsidRDefault="00547E7E">
                        <w:pPr>
                          <w:pStyle w:val="Tabell"/>
                          <w:numPr>
                            <w:ilvl w:val="0"/>
                            <w:numId w:val="115"/>
                          </w:numPr>
                          <w:tabs>
                            <w:tab w:val="left" w:pos="142"/>
                          </w:tabs>
                          <w:ind w:left="142" w:hanging="142"/>
                        </w:pPr>
                        <w:r w:rsidRPr="00075492">
                          <w:t>IT</w:t>
                        </w:r>
                      </w:p>
                      <w:p w:rsidR="00547E7E" w:rsidRPr="00075492" w:rsidRDefault="00547E7E">
                        <w:pPr>
                          <w:pStyle w:val="Tabell"/>
                          <w:numPr>
                            <w:ilvl w:val="0"/>
                            <w:numId w:val="115"/>
                          </w:numPr>
                          <w:tabs>
                            <w:tab w:val="left" w:pos="142"/>
                          </w:tabs>
                          <w:ind w:left="142" w:hanging="142"/>
                        </w:pPr>
                        <w:r w:rsidRPr="00075492">
                          <w:t>Personal</w:t>
                        </w:r>
                      </w:p>
                      <w:p w:rsidR="00547E7E" w:rsidRPr="00075492" w:rsidRDefault="00547E7E">
                        <w:pPr>
                          <w:pStyle w:val="Tabell"/>
                          <w:numPr>
                            <w:ilvl w:val="0"/>
                            <w:numId w:val="115"/>
                          </w:numPr>
                          <w:tabs>
                            <w:tab w:val="left" w:pos="142"/>
                          </w:tabs>
                          <w:ind w:left="142" w:hanging="142"/>
                        </w:pPr>
                        <w:r w:rsidRPr="00075492">
                          <w:t>Service</w:t>
                        </w:r>
                      </w:p>
                    </w:txbxContent>
                  </v:textbox>
                </v:shape>
                <v:shape id="Text Box 8" o:spid="_x0000_s1032" type="#_x0000_t202" style="position:absolute;left:3312;top:7776;width:109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">
                  <v:shadow on="t"/>
                  <v:textbox>
                    <w:txbxContent>
                      <w:p w:rsidR="00547E7E" w:rsidRPr="00075492" w:rsidRDefault="00547E7E">
                        <w:pPr>
                          <w:pStyle w:val="Tabellrubrik"/>
                          <w:jc w:val="center"/>
                        </w:pPr>
                        <w:r w:rsidRPr="00075492">
                          <w:t>GD</w:t>
                        </w:r>
                      </w:p>
                      <w:p w:rsidR="00547E7E" w:rsidRPr="00075492" w:rsidRDefault="00547E7E">
                        <w:pPr>
                          <w:pStyle w:val="Tabellrubrik"/>
                          <w:jc w:val="center"/>
                        </w:pPr>
                        <w:r w:rsidRPr="00075492">
                          <w:t>Stf GD</w:t>
                        </w:r>
                      </w:p>
                    </w:txbxContent>
                  </v:textbox>
                </v:shape>
                <v:shape id="Text Box 9" o:spid="_x0000_s1033" type="#_x0000_t202" style="position:absolute;left:4878;top:8463;width:109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">
                  <v:shadow on="t"/>
                  <v:textbox inset=",1.5mm">
                    <w:txbxContent>
                      <w:p w:rsidR="00547E7E" w:rsidRPr="00075492" w:rsidRDefault="00547E7E">
                        <w:pPr>
                          <w:pStyle w:val="Tabellrubrik"/>
                          <w:jc w:val="center"/>
                        </w:pPr>
                        <w:r w:rsidRPr="00075492">
                          <w:t>Stab</w:t>
                        </w:r>
                      </w:p>
                    </w:txbxContent>
                  </v:textbox>
                </v:shape>
                <v:shape id="Text Box 10" o:spid="_x0000_s1034" type="#_x0000_t202" style="position:absolute;left:1083;top:7923;width:130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">
                  <v:shadow on="t"/>
                  <v:textbox inset="0,1.5mm,0">
                    <w:txbxContent>
                      <w:p w:rsidR="00547E7E" w:rsidRPr="00075492" w:rsidRDefault="00547E7E">
                        <w:pPr>
                          <w:pStyle w:val="Tabellrubrik"/>
                          <w:jc w:val="center"/>
                        </w:pPr>
                        <w:r w:rsidRPr="00075492">
                          <w:t>Styrelse</w:t>
                        </w:r>
                      </w:p>
                    </w:txbxContent>
                  </v:textbox>
                </v:shape>
                <v:shape id="Text Box 11" o:spid="_x0000_s1035" type="#_x0000_t202" style="position:absolute;left:1083;top:8388;width:130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">
                  <v:shadow on="t"/>
                  <v:textbox inset="0,1.5mm,0">
                    <w:txbxContent>
                      <w:p w:rsidR="00547E7E" w:rsidRPr="00075492" w:rsidRDefault="00547E7E">
                        <w:pPr>
                          <w:pStyle w:val="Tabellrubrik"/>
                          <w:jc w:val="center"/>
                        </w:pPr>
                        <w:r w:rsidRPr="00075492">
                          <w:t>Externa veten-skapl</w:t>
                        </w:r>
                        <w:r w:rsidRPr="00075492">
                          <w:t>i</w:t>
                        </w:r>
                        <w:r w:rsidRPr="00075492">
                          <w:t>ga råd</w:t>
                        </w:r>
                      </w:p>
                    </w:txbxContent>
                  </v:textbox>
                </v:shape>
                <v:line id="Line 12" o:spid="_x0000_s1036" style="position:absolute;visibility:visible;mso-wrap-style:square" from="3933,8352" to="3933,9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"/>
                <v:line id="Line 13" o:spid="_x0000_s1037" style="position:absolute;visibility:visible;mso-wrap-style:square" from="1563,9333" to="6348,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"/>
                <v:line id="Line 14" o:spid="_x0000_s1038" style="position:absolute;visibility:visible;mso-wrap-style:square" from="1563,9333" to="1563,9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"/>
                <v:line id="Line 15" o:spid="_x0000_s1039" style="position:absolute;visibility:visible;mso-wrap-style:square" from="2748,9333" to="2748,9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"/>
                <v:line id="Line 16" o:spid="_x0000_s1040" style="position:absolute;visibility:visible;mso-wrap-style:square" from="5103,9333" to="5103,9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"/>
                <v:line id="Line 17" o:spid="_x0000_s1041" style="position:absolute;visibility:visible;mso-wrap-style:square" from="6348,9333" to="6348,9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"/>
                <v:line id="Line 18" o:spid="_x0000_s1042" style="position:absolute;flip:x;visibility:visible;mso-wrap-style:square" from="3933,8643" to="4878,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"/>
                <w10:wrap type="topAndBottom"/>
              </v:group>
            </w:pict>
          </mc:Fallback>
        </mc:AlternateContent>
      </w:r>
      <w:r w:rsidR="00547E7E" w:rsidRPr="00075492">
        <w:t xml:space="preserve">Figur </w:t>
      </w:r>
      <w:r w:rsidR="00547E7E" w:rsidRPr="00075492">
        <w:t>1</w:t>
      </w:r>
      <w:r w:rsidR="00547E7E" w:rsidRPr="00075492">
        <w:t xml:space="preserve">  Livsmedelsverkets organisation</w:t>
      </w:r>
    </w:p>
    <w:p w:rsidR="00547E7E" w:rsidRPr="00075492" w:rsidRDefault="00547E7E">
      <w:pPr>
        <w:pStyle w:val="Tabell"/>
      </w:pPr>
    </w:p>
    <w:p w:rsidR="00547E7E" w:rsidRPr="00075492" w:rsidRDefault="00547E7E">
      <w:pPr>
        <w:pStyle w:val="Tabell"/>
      </w:pPr>
      <w:r w:rsidRPr="00075492">
        <w:t>Källa: Livsmedelsverkets årsredovisning 2000</w:t>
      </w:r>
    </w:p>
    <w:p w:rsidR="00547E7E" w:rsidRPr="00075492" w:rsidRDefault="00547E7E">
      <w:pPr>
        <w:pStyle w:val="Tabell"/>
      </w:pPr>
      <w:r w:rsidRPr="00075492">
        <w:t>* Sedan den 1 oktober år 2001 finns ytterligare en enhet vid tillsynsavde</w:t>
      </w:r>
      <w:r w:rsidRPr="00075492">
        <w:t>l</w:t>
      </w:r>
      <w:r w:rsidRPr="00075492">
        <w:t>ningen.</w:t>
      </w:r>
    </w:p>
    <w:p w:rsidR="00547E7E" w:rsidRPr="00075492" w:rsidRDefault="00547E7E">
      <w:r w:rsidRPr="00075492">
        <w:lastRenderedPageBreak/>
        <w:t xml:space="preserve">I Livsmedelsverkets </w:t>
      </w:r>
      <w:r w:rsidRPr="00075492">
        <w:rPr>
          <w:i/>
        </w:rPr>
        <w:t>stab</w:t>
      </w:r>
      <w:r w:rsidRPr="00075492">
        <w:t xml:space="preserve"> ingår chefsjuristen, kvalitetssamordnaren, chefsu</w:t>
      </w:r>
      <w:r w:rsidRPr="00075492">
        <w:t>t</w:t>
      </w:r>
      <w:r w:rsidRPr="00075492">
        <w:t>redaren, de vetenskapliga experterna och sekreterare. Vid staben finns 8 årsarbetskrafter.</w:t>
      </w:r>
    </w:p>
    <w:p w:rsidR="00547E7E" w:rsidRPr="00075492" w:rsidRDefault="00547E7E">
      <w:pPr>
        <w:pStyle w:val="Normaltindrag"/>
      </w:pPr>
      <w:r w:rsidRPr="00075492">
        <w:t xml:space="preserve"> </w:t>
      </w:r>
      <w:r w:rsidRPr="00075492">
        <w:rPr>
          <w:i/>
        </w:rPr>
        <w:t>FoU-</w:t>
      </w:r>
      <w:r w:rsidRPr="00075492">
        <w:t>a</w:t>
      </w:r>
      <w:r w:rsidRPr="00075492">
        <w:rPr>
          <w:i/>
        </w:rPr>
        <w:t>vdelningen</w:t>
      </w:r>
      <w:r w:rsidRPr="00075492">
        <w:t xml:space="preserve"> ansvarar för den kunskapsuppbyggnad, riskvärdering och metodutveckling som ligger till grund för verkets övriga arbete. Avde</w:t>
      </w:r>
      <w:r w:rsidRPr="00075492">
        <w:t>l</w:t>
      </w:r>
      <w:r w:rsidRPr="00075492">
        <w:t>ningen består av fyra enheter. Avdelningen har totalt 105 årsarbetskrafter.</w:t>
      </w:r>
    </w:p>
    <w:p w:rsidR="00547E7E" w:rsidRPr="00075492" w:rsidRDefault="00547E7E">
      <w:pPr>
        <w:pStyle w:val="Normaltindrag"/>
      </w:pPr>
      <w:r w:rsidRPr="00075492">
        <w:rPr>
          <w:i/>
        </w:rPr>
        <w:t xml:space="preserve">Regelavdelningen </w:t>
      </w:r>
      <w:r w:rsidRPr="00075492">
        <w:t>ansvarar för att utarbeta regler. Avdelningen svarar för planering av verkets insatser i EU:s regelgivningsprocess och arbete i EU:s förvaltningskommittéer samt för verkets övriga arbete i vissa internationella forum. Avdelningen har totalt 26 årsarbetskrafter.</w:t>
      </w:r>
    </w:p>
    <w:p w:rsidR="00547E7E" w:rsidRPr="00075492" w:rsidRDefault="00547E7E">
      <w:pPr>
        <w:pStyle w:val="Normaltindrag"/>
      </w:pPr>
      <w:r w:rsidRPr="00075492">
        <w:rPr>
          <w:i/>
        </w:rPr>
        <w:t>Tillsynsavdelningen</w:t>
      </w:r>
      <w:r w:rsidRPr="00075492">
        <w:t xml:space="preserve"> svarar för alla aktiviteter som innebär tillämpning av regler och myndighetsutövning. Avdelningen har totalt 246 årsarbetskrafter, varav 177 finns inom besiktningsvet</w:t>
      </w:r>
      <w:r w:rsidRPr="00075492">
        <w:t>e</w:t>
      </w:r>
      <w:r w:rsidRPr="00075492">
        <w:t xml:space="preserve">rinärsorganisationen, BVO. </w:t>
      </w:r>
    </w:p>
    <w:p w:rsidR="00547E7E" w:rsidRPr="00075492" w:rsidRDefault="00547E7E">
      <w:pPr>
        <w:pStyle w:val="Normaltindrag"/>
      </w:pPr>
      <w:r w:rsidRPr="00075492">
        <w:t>Inom tillsynsavdelningen finns följande enheter:</w:t>
      </w:r>
    </w:p>
    <w:p w:rsidR="00547E7E" w:rsidRPr="00075492" w:rsidRDefault="00547E7E">
      <w:pPr>
        <w:pStyle w:val="Normaltindrag"/>
        <w:numPr>
          <w:ilvl w:val="0"/>
          <w:numId w:val="278"/>
        </w:numPr>
        <w:tabs>
          <w:tab w:val="clear" w:pos="360"/>
        </w:tabs>
        <w:ind w:left="426" w:hanging="256"/>
      </w:pPr>
      <w:r w:rsidRPr="00075492">
        <w:t>BVO utför besiktning och löpande tillsyn vid slakterier och andra köt</w:t>
      </w:r>
      <w:r w:rsidRPr="00075492">
        <w:t>t</w:t>
      </w:r>
      <w:r w:rsidRPr="00075492">
        <w:t>anläggningar samt svarar för utveckling av tillsyn i samverkan med e</w:t>
      </w:r>
      <w:r w:rsidRPr="00075492">
        <w:t>n</w:t>
      </w:r>
      <w:r w:rsidRPr="00075492">
        <w:t xml:space="preserve">heten för inspektion och samordning. </w:t>
      </w:r>
    </w:p>
    <w:p w:rsidR="00547E7E" w:rsidRPr="00075492" w:rsidRDefault="00547E7E">
      <w:pPr>
        <w:pStyle w:val="Normaltindrag"/>
        <w:numPr>
          <w:ilvl w:val="0"/>
          <w:numId w:val="278"/>
        </w:numPr>
        <w:tabs>
          <w:tab w:val="clear" w:pos="360"/>
        </w:tabs>
        <w:ind w:left="426" w:hanging="256"/>
      </w:pPr>
      <w:r w:rsidRPr="00075492">
        <w:t>Enheten för inspektion och samordning ansvarar för den direkta tills</w:t>
      </w:r>
      <w:r w:rsidRPr="00075492">
        <w:t>y</w:t>
      </w:r>
      <w:r w:rsidRPr="00075492">
        <w:t>nen av stora industriella anläggningar. Övriga uppgifter är stöd och u</w:t>
      </w:r>
      <w:r w:rsidRPr="00075492">
        <w:t>t</w:t>
      </w:r>
      <w:r w:rsidRPr="00075492">
        <w:t>värdering av kommunens inspe</w:t>
      </w:r>
      <w:r w:rsidRPr="00075492">
        <w:t>k</w:t>
      </w:r>
      <w:r w:rsidRPr="00075492">
        <w:t>tionsverksamhet.</w:t>
      </w:r>
    </w:p>
    <w:p w:rsidR="00547E7E" w:rsidRPr="00075492" w:rsidRDefault="00547E7E">
      <w:pPr>
        <w:pStyle w:val="Normaltindrag"/>
        <w:numPr>
          <w:ilvl w:val="0"/>
          <w:numId w:val="278"/>
        </w:numPr>
        <w:tabs>
          <w:tab w:val="clear" w:pos="360"/>
        </w:tabs>
        <w:ind w:left="426" w:hanging="256"/>
      </w:pPr>
      <w:r w:rsidRPr="00075492">
        <w:t>Enheten för allmän tillämpning hanterar ärenden om tillstånd, anmä</w:t>
      </w:r>
      <w:r w:rsidRPr="00075492">
        <w:t>l</w:t>
      </w:r>
      <w:r w:rsidRPr="00075492">
        <w:t>ningar, dispensansökningar och intyg. Inom enheten utvecklas avde</w:t>
      </w:r>
      <w:r w:rsidRPr="00075492">
        <w:t>l</w:t>
      </w:r>
      <w:r w:rsidRPr="00075492">
        <w:t>ningens information och rapportering.</w:t>
      </w:r>
    </w:p>
    <w:p w:rsidR="00547E7E" w:rsidRPr="00075492" w:rsidRDefault="00547E7E">
      <w:pPr>
        <w:pStyle w:val="Normaltindrag"/>
        <w:numPr>
          <w:ilvl w:val="0"/>
          <w:numId w:val="278"/>
        </w:numPr>
        <w:tabs>
          <w:tab w:val="clear" w:pos="360"/>
        </w:tabs>
        <w:ind w:left="426" w:hanging="256"/>
      </w:pPr>
      <w:r w:rsidRPr="00075492">
        <w:t xml:space="preserve">Enheten för internationell handel svarar för gränskontroll av animaliska livsmedel från tredje land samt handeln inom EU. </w:t>
      </w:r>
    </w:p>
    <w:p w:rsidR="00547E7E" w:rsidRPr="00075492" w:rsidRDefault="00547E7E">
      <w:r w:rsidRPr="00075492">
        <w:rPr>
          <w:i/>
        </w:rPr>
        <w:t>Avdelningen för information och nutrition</w:t>
      </w:r>
      <w:r w:rsidRPr="00075492">
        <w:t xml:space="preserve"> ansvarar för verkets utåtriktade information och arbete med kost- och hälsofrågor. Exempelvis svarar avde</w:t>
      </w:r>
      <w:r w:rsidRPr="00075492">
        <w:t>l</w:t>
      </w:r>
      <w:r w:rsidRPr="00075492">
        <w:t xml:space="preserve">ningen för produktion av trycksaker, utveckling av kurser, verkets hemsida, nättidningen Livstecknet och tidskriften Vår föda. Avdelningen har ca 22 årsarbetskrafter. </w:t>
      </w:r>
    </w:p>
    <w:p w:rsidR="00547E7E" w:rsidRPr="00075492" w:rsidRDefault="00547E7E">
      <w:pPr>
        <w:pStyle w:val="Normaltindrag"/>
      </w:pPr>
      <w:r w:rsidRPr="00075492">
        <w:t xml:space="preserve">I </w:t>
      </w:r>
      <w:r w:rsidRPr="00075492">
        <w:rPr>
          <w:i/>
        </w:rPr>
        <w:t>administrativa avdelningen</w:t>
      </w:r>
      <w:r w:rsidRPr="00075492">
        <w:t xml:space="preserve"> ingår enheterna Ekonomi, IT, Personal och Service. Avdelningen har totalt 50 årsarbetskrafter.</w:t>
      </w:r>
    </w:p>
    <w:p w:rsidR="00547E7E" w:rsidRPr="00075492" w:rsidRDefault="00547E7E">
      <w:pPr>
        <w:pStyle w:val="Normaltindrag"/>
      </w:pPr>
      <w:r w:rsidRPr="00075492">
        <w:t xml:space="preserve">Livsmedelsverket har år 2001 totalt 457 årsarbetskrafter, varav finns 177 finns inom besiktningsveterinärsorganisationen. </w:t>
      </w:r>
    </w:p>
    <w:p w:rsidR="00547E7E" w:rsidRPr="00075492" w:rsidRDefault="00547E7E">
      <w:pPr>
        <w:pStyle w:val="Normaltindrag"/>
      </w:pPr>
      <w:r w:rsidRPr="00075492">
        <w:t>Uppgifterna om antalet årsarbetskrafter i verkets årsredovisning för år 2000 har inte fördelats på respektive avdelning utan per verksamhetsomr</w:t>
      </w:r>
      <w:r w:rsidRPr="00075492">
        <w:t>å</w:t>
      </w:r>
      <w:r w:rsidRPr="00075492">
        <w:t>det. Livsmedelsverket har därför lämnat ett särskilt underlag till revisorerna om antalet årsarbetskrafter per a</w:t>
      </w:r>
      <w:r w:rsidRPr="00075492">
        <w:t>v</w:t>
      </w:r>
      <w:r w:rsidRPr="00075492">
        <w:t xml:space="preserve">delning år 2001. </w:t>
      </w:r>
    </w:p>
    <w:p w:rsidR="00547E7E" w:rsidRPr="00075492" w:rsidRDefault="00547E7E">
      <w:r w:rsidRPr="00075492">
        <w:br w:type="page"/>
        <w:t>I tabell 3 redovisas u</w:t>
      </w:r>
      <w:r w:rsidRPr="00075492">
        <w:t>t</w:t>
      </w:r>
      <w:r w:rsidRPr="00075492">
        <w:t>vecklingen av antalet anställda.</w:t>
      </w:r>
    </w:p>
    <w:p w:rsidR="00547E7E" w:rsidRPr="00075492" w:rsidRDefault="00547E7E">
      <w:pPr>
        <w:pStyle w:val="Beskrivning"/>
      </w:pPr>
      <w:r w:rsidRPr="00075492">
        <w:t xml:space="preserve">Tabell </w:t>
      </w:r>
      <w:r w:rsidRPr="00075492">
        <w:t>3</w:t>
      </w:r>
      <w:r w:rsidRPr="00075492">
        <w:t xml:space="preserve">  Antalet årsarbetskrafter vid Livsmedelsverket, perioden 1992/93 till år 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5"/>
        <w:gridCol w:w="768"/>
        <w:gridCol w:w="768"/>
        <w:gridCol w:w="794"/>
        <w:gridCol w:w="569"/>
        <w:gridCol w:w="569"/>
        <w:gridCol w:w="569"/>
        <w:gridCol w:w="569"/>
        <w:gridCol w:w="569"/>
      </w:tblGrid>
      <w:tr w:rsidR="00000000" w:rsidRPr="00075492">
        <w:tblPrEx>
          <w:tblCellMar>
            <w:top w:w="0" w:type="dxa"/>
            <w:bottom w:w="0" w:type="dxa"/>
          </w:tblCellMar>
        </w:tblPrEx>
        <w:tc>
          <w:tcPr>
            <w:tcW w:w="1085" w:type="dxa"/>
            <w:shd w:val="pct20" w:color="auto" w:fill="FFFFFF"/>
          </w:tcPr>
          <w:p w:rsidR="00547E7E" w:rsidRPr="00075492" w:rsidRDefault="00547E7E">
            <w:pPr>
              <w:pStyle w:val="Normaltindrag"/>
              <w:ind w:firstLine="0"/>
              <w:jc w:val="center"/>
              <w:rPr>
                <w:b/>
              </w:rPr>
            </w:pPr>
          </w:p>
        </w:tc>
        <w:tc>
          <w:tcPr>
            <w:tcW w:w="768" w:type="dxa"/>
            <w:shd w:val="pct20" w:color="auto" w:fill="FFFFFF"/>
          </w:tcPr>
          <w:p w:rsidR="00547E7E" w:rsidRPr="00075492" w:rsidRDefault="00547E7E">
            <w:pPr>
              <w:pStyle w:val="Tabellrubrik"/>
            </w:pPr>
            <w:r w:rsidRPr="00075492">
              <w:t>1992/93</w:t>
            </w:r>
          </w:p>
        </w:tc>
        <w:tc>
          <w:tcPr>
            <w:tcW w:w="768" w:type="dxa"/>
            <w:shd w:val="pct20" w:color="auto" w:fill="FFFFFF"/>
          </w:tcPr>
          <w:p w:rsidR="00547E7E" w:rsidRPr="00075492" w:rsidRDefault="00547E7E">
            <w:pPr>
              <w:pStyle w:val="Tabellrubrik"/>
            </w:pPr>
            <w:r w:rsidRPr="00075492">
              <w:t>1994/95</w:t>
            </w:r>
          </w:p>
        </w:tc>
        <w:tc>
          <w:tcPr>
            <w:tcW w:w="794" w:type="dxa"/>
            <w:shd w:val="pct20" w:color="auto" w:fill="FFFFFF"/>
          </w:tcPr>
          <w:p w:rsidR="00547E7E" w:rsidRPr="00075492" w:rsidRDefault="00547E7E">
            <w:pPr>
              <w:pStyle w:val="Tabellrubrik"/>
            </w:pPr>
            <w:r w:rsidRPr="00075492">
              <w:t>1995/96</w:t>
            </w:r>
          </w:p>
        </w:tc>
        <w:tc>
          <w:tcPr>
            <w:tcW w:w="569" w:type="dxa"/>
            <w:shd w:val="pct20" w:color="auto" w:fill="FFFFFF"/>
          </w:tcPr>
          <w:p w:rsidR="00547E7E" w:rsidRPr="00075492" w:rsidRDefault="00547E7E">
            <w:pPr>
              <w:pStyle w:val="Tabellrubrik"/>
            </w:pPr>
            <w:r w:rsidRPr="00075492">
              <w:t>1997</w:t>
            </w:r>
          </w:p>
        </w:tc>
        <w:tc>
          <w:tcPr>
            <w:tcW w:w="569" w:type="dxa"/>
            <w:shd w:val="pct20" w:color="auto" w:fill="FFFFFF"/>
          </w:tcPr>
          <w:p w:rsidR="00547E7E" w:rsidRPr="00075492" w:rsidRDefault="00547E7E">
            <w:pPr>
              <w:pStyle w:val="Tabellrubrik"/>
            </w:pPr>
            <w:r w:rsidRPr="00075492">
              <w:t>1998</w:t>
            </w:r>
          </w:p>
        </w:tc>
        <w:tc>
          <w:tcPr>
            <w:tcW w:w="569" w:type="dxa"/>
            <w:shd w:val="pct20" w:color="auto" w:fill="FFFFFF"/>
          </w:tcPr>
          <w:p w:rsidR="00547E7E" w:rsidRPr="00075492" w:rsidRDefault="00547E7E">
            <w:pPr>
              <w:pStyle w:val="Tabellrubrik"/>
            </w:pPr>
            <w:r w:rsidRPr="00075492">
              <w:t>1999</w:t>
            </w:r>
          </w:p>
        </w:tc>
        <w:tc>
          <w:tcPr>
            <w:tcW w:w="569" w:type="dxa"/>
            <w:shd w:val="pct20" w:color="auto" w:fill="FFFFFF"/>
          </w:tcPr>
          <w:p w:rsidR="00547E7E" w:rsidRPr="00075492" w:rsidRDefault="00547E7E">
            <w:pPr>
              <w:pStyle w:val="Tabellrubrik"/>
            </w:pPr>
            <w:r w:rsidRPr="00075492">
              <w:t>2000</w:t>
            </w:r>
          </w:p>
        </w:tc>
        <w:tc>
          <w:tcPr>
            <w:tcW w:w="569" w:type="dxa"/>
            <w:shd w:val="pct20" w:color="auto" w:fill="FFFFFF"/>
          </w:tcPr>
          <w:p w:rsidR="00547E7E" w:rsidRPr="00075492" w:rsidRDefault="00547E7E">
            <w:pPr>
              <w:pStyle w:val="Tabellrubrik"/>
            </w:pPr>
            <w:r w:rsidRPr="00075492">
              <w:t>2001</w:t>
            </w:r>
          </w:p>
        </w:tc>
      </w:tr>
      <w:tr w:rsidR="00000000" w:rsidRPr="00075492">
        <w:tblPrEx>
          <w:tblCellMar>
            <w:top w:w="0" w:type="dxa"/>
            <w:bottom w:w="0" w:type="dxa"/>
          </w:tblCellMar>
        </w:tblPrEx>
        <w:tc>
          <w:tcPr>
            <w:tcW w:w="1085" w:type="dxa"/>
          </w:tcPr>
          <w:p w:rsidR="00547E7E" w:rsidRPr="00075492" w:rsidRDefault="00547E7E">
            <w:pPr>
              <w:pStyle w:val="Normaltindrag"/>
              <w:ind w:firstLine="0"/>
              <w:jc w:val="center"/>
            </w:pPr>
            <w:r w:rsidRPr="00075492">
              <w:t>Livsm</w:t>
            </w:r>
            <w:r w:rsidRPr="00075492">
              <w:t>e</w:t>
            </w:r>
            <w:r w:rsidRPr="00075492">
              <w:t>delsve</w:t>
            </w:r>
            <w:r w:rsidRPr="00075492">
              <w:t>r</w:t>
            </w:r>
            <w:r w:rsidRPr="00075492">
              <w:t>ket</w:t>
            </w:r>
          </w:p>
        </w:tc>
        <w:tc>
          <w:tcPr>
            <w:tcW w:w="768" w:type="dxa"/>
          </w:tcPr>
          <w:p w:rsidR="00547E7E" w:rsidRPr="00075492" w:rsidRDefault="00547E7E">
            <w:pPr>
              <w:pStyle w:val="Normaltindrag"/>
              <w:ind w:firstLine="0"/>
              <w:jc w:val="center"/>
            </w:pPr>
            <w:r w:rsidRPr="00075492">
              <w:t>273</w:t>
            </w:r>
          </w:p>
        </w:tc>
        <w:tc>
          <w:tcPr>
            <w:tcW w:w="768" w:type="dxa"/>
          </w:tcPr>
          <w:p w:rsidR="00547E7E" w:rsidRPr="00075492" w:rsidRDefault="00547E7E">
            <w:pPr>
              <w:pStyle w:val="Normaltindrag"/>
              <w:ind w:firstLine="0"/>
              <w:jc w:val="center"/>
            </w:pPr>
            <w:r w:rsidRPr="00075492">
              <w:t>286</w:t>
            </w:r>
          </w:p>
        </w:tc>
        <w:tc>
          <w:tcPr>
            <w:tcW w:w="794" w:type="dxa"/>
          </w:tcPr>
          <w:p w:rsidR="00547E7E" w:rsidRPr="00075492" w:rsidRDefault="00547E7E">
            <w:pPr>
              <w:pStyle w:val="Normaltindrag"/>
              <w:ind w:firstLine="0"/>
              <w:jc w:val="center"/>
            </w:pPr>
            <w:r w:rsidRPr="00075492">
              <w:t>301</w:t>
            </w:r>
          </w:p>
        </w:tc>
        <w:tc>
          <w:tcPr>
            <w:tcW w:w="569" w:type="dxa"/>
          </w:tcPr>
          <w:p w:rsidR="00547E7E" w:rsidRPr="00075492" w:rsidRDefault="00547E7E">
            <w:pPr>
              <w:pStyle w:val="Normaltindrag"/>
              <w:ind w:firstLine="0"/>
              <w:jc w:val="center"/>
            </w:pPr>
            <w:r w:rsidRPr="00075492">
              <w:t>297</w:t>
            </w:r>
          </w:p>
        </w:tc>
        <w:tc>
          <w:tcPr>
            <w:tcW w:w="569" w:type="dxa"/>
          </w:tcPr>
          <w:p w:rsidR="00547E7E" w:rsidRPr="00075492" w:rsidRDefault="00547E7E">
            <w:pPr>
              <w:pStyle w:val="Normaltindrag"/>
              <w:ind w:firstLine="0"/>
              <w:jc w:val="center"/>
            </w:pPr>
            <w:r w:rsidRPr="00075492">
              <w:t>277</w:t>
            </w:r>
          </w:p>
        </w:tc>
        <w:tc>
          <w:tcPr>
            <w:tcW w:w="569" w:type="dxa"/>
          </w:tcPr>
          <w:p w:rsidR="00547E7E" w:rsidRPr="00075492" w:rsidRDefault="00547E7E">
            <w:pPr>
              <w:pStyle w:val="Normaltindrag"/>
              <w:ind w:firstLine="0"/>
              <w:jc w:val="center"/>
            </w:pPr>
            <w:r w:rsidRPr="00075492">
              <w:t>248</w:t>
            </w:r>
          </w:p>
        </w:tc>
        <w:tc>
          <w:tcPr>
            <w:tcW w:w="569" w:type="dxa"/>
          </w:tcPr>
          <w:p w:rsidR="00547E7E" w:rsidRPr="00075492" w:rsidRDefault="00547E7E">
            <w:pPr>
              <w:pStyle w:val="Normaltindrag"/>
              <w:ind w:firstLine="0"/>
              <w:jc w:val="center"/>
            </w:pPr>
            <w:r w:rsidRPr="00075492">
              <w:t>259</w:t>
            </w:r>
          </w:p>
        </w:tc>
        <w:tc>
          <w:tcPr>
            <w:tcW w:w="569" w:type="dxa"/>
          </w:tcPr>
          <w:p w:rsidR="00547E7E" w:rsidRPr="00075492" w:rsidRDefault="00547E7E">
            <w:pPr>
              <w:pStyle w:val="Normaltindrag"/>
              <w:ind w:firstLine="0"/>
              <w:jc w:val="center"/>
            </w:pPr>
            <w:r w:rsidRPr="00075492">
              <w:t>280</w:t>
            </w:r>
          </w:p>
        </w:tc>
      </w:tr>
      <w:tr w:rsidR="00000000" w:rsidRPr="00075492">
        <w:tblPrEx>
          <w:tblCellMar>
            <w:top w:w="0" w:type="dxa"/>
            <w:bottom w:w="0" w:type="dxa"/>
          </w:tblCellMar>
        </w:tblPrEx>
        <w:tc>
          <w:tcPr>
            <w:tcW w:w="1085" w:type="dxa"/>
          </w:tcPr>
          <w:p w:rsidR="00547E7E" w:rsidRPr="00075492" w:rsidRDefault="00547E7E">
            <w:pPr>
              <w:pStyle w:val="Normaltindrag"/>
              <w:ind w:firstLine="0"/>
              <w:jc w:val="center"/>
            </w:pPr>
            <w:r w:rsidRPr="00075492">
              <w:t>BVO</w:t>
            </w:r>
          </w:p>
        </w:tc>
        <w:tc>
          <w:tcPr>
            <w:tcW w:w="768" w:type="dxa"/>
          </w:tcPr>
          <w:p w:rsidR="00547E7E" w:rsidRPr="00075492" w:rsidRDefault="00547E7E">
            <w:pPr>
              <w:pStyle w:val="Normaltindrag"/>
              <w:ind w:firstLine="0"/>
              <w:jc w:val="center"/>
            </w:pPr>
            <w:r w:rsidRPr="00075492">
              <w:t>176</w:t>
            </w:r>
          </w:p>
        </w:tc>
        <w:tc>
          <w:tcPr>
            <w:tcW w:w="768" w:type="dxa"/>
          </w:tcPr>
          <w:p w:rsidR="00547E7E" w:rsidRPr="00075492" w:rsidRDefault="00547E7E">
            <w:pPr>
              <w:pStyle w:val="Normaltindrag"/>
              <w:ind w:firstLine="0"/>
              <w:jc w:val="center"/>
            </w:pPr>
            <w:r w:rsidRPr="00075492">
              <w:t>173</w:t>
            </w:r>
          </w:p>
        </w:tc>
        <w:tc>
          <w:tcPr>
            <w:tcW w:w="794" w:type="dxa"/>
          </w:tcPr>
          <w:p w:rsidR="00547E7E" w:rsidRPr="00075492" w:rsidRDefault="00547E7E">
            <w:pPr>
              <w:pStyle w:val="Normaltindrag"/>
              <w:ind w:firstLine="0"/>
              <w:jc w:val="center"/>
            </w:pPr>
            <w:r w:rsidRPr="00075492">
              <w:t>180</w:t>
            </w:r>
          </w:p>
        </w:tc>
        <w:tc>
          <w:tcPr>
            <w:tcW w:w="569" w:type="dxa"/>
          </w:tcPr>
          <w:p w:rsidR="00547E7E" w:rsidRPr="00075492" w:rsidRDefault="00547E7E">
            <w:pPr>
              <w:pStyle w:val="Normaltindrag"/>
              <w:ind w:firstLine="0"/>
              <w:jc w:val="center"/>
            </w:pPr>
            <w:r w:rsidRPr="00075492">
              <w:t>176</w:t>
            </w:r>
          </w:p>
        </w:tc>
        <w:tc>
          <w:tcPr>
            <w:tcW w:w="569" w:type="dxa"/>
          </w:tcPr>
          <w:p w:rsidR="00547E7E" w:rsidRPr="00075492" w:rsidRDefault="00547E7E">
            <w:pPr>
              <w:pStyle w:val="Normaltindrag"/>
              <w:ind w:firstLine="0"/>
              <w:jc w:val="center"/>
            </w:pPr>
            <w:r w:rsidRPr="00075492">
              <w:t>175</w:t>
            </w:r>
          </w:p>
        </w:tc>
        <w:tc>
          <w:tcPr>
            <w:tcW w:w="569" w:type="dxa"/>
          </w:tcPr>
          <w:p w:rsidR="00547E7E" w:rsidRPr="00075492" w:rsidRDefault="00547E7E">
            <w:pPr>
              <w:pStyle w:val="Normaltindrag"/>
              <w:ind w:firstLine="0"/>
              <w:jc w:val="center"/>
            </w:pPr>
            <w:r w:rsidRPr="00075492">
              <w:t xml:space="preserve">182 </w:t>
            </w:r>
          </w:p>
        </w:tc>
        <w:tc>
          <w:tcPr>
            <w:tcW w:w="569" w:type="dxa"/>
          </w:tcPr>
          <w:p w:rsidR="00547E7E" w:rsidRPr="00075492" w:rsidRDefault="00547E7E">
            <w:pPr>
              <w:pStyle w:val="Normaltindrag"/>
              <w:ind w:firstLine="0"/>
              <w:jc w:val="center"/>
            </w:pPr>
            <w:r w:rsidRPr="00075492">
              <w:t xml:space="preserve">173 </w:t>
            </w:r>
          </w:p>
        </w:tc>
        <w:tc>
          <w:tcPr>
            <w:tcW w:w="569" w:type="dxa"/>
          </w:tcPr>
          <w:p w:rsidR="00547E7E" w:rsidRPr="00075492" w:rsidRDefault="00547E7E">
            <w:pPr>
              <w:pStyle w:val="Normaltindrag"/>
              <w:ind w:firstLine="0"/>
              <w:jc w:val="center"/>
            </w:pPr>
            <w:r w:rsidRPr="00075492">
              <w:t>177</w:t>
            </w:r>
          </w:p>
        </w:tc>
      </w:tr>
      <w:tr w:rsidR="00000000" w:rsidRPr="00075492">
        <w:tblPrEx>
          <w:tblCellMar>
            <w:top w:w="0" w:type="dxa"/>
            <w:bottom w:w="0" w:type="dxa"/>
          </w:tblCellMar>
        </w:tblPrEx>
        <w:tc>
          <w:tcPr>
            <w:tcW w:w="1085" w:type="dxa"/>
          </w:tcPr>
          <w:p w:rsidR="00547E7E" w:rsidRPr="00075492" w:rsidRDefault="00547E7E">
            <w:pPr>
              <w:pStyle w:val="Normaltindrag"/>
              <w:ind w:firstLine="0"/>
              <w:jc w:val="center"/>
              <w:rPr>
                <w:b/>
              </w:rPr>
            </w:pPr>
            <w:r w:rsidRPr="00075492">
              <w:rPr>
                <w:b/>
              </w:rPr>
              <w:t>Totalt</w:t>
            </w:r>
          </w:p>
        </w:tc>
        <w:tc>
          <w:tcPr>
            <w:tcW w:w="768" w:type="dxa"/>
          </w:tcPr>
          <w:p w:rsidR="00547E7E" w:rsidRPr="00075492" w:rsidRDefault="00547E7E">
            <w:pPr>
              <w:pStyle w:val="Normaltindrag"/>
              <w:ind w:firstLine="0"/>
              <w:jc w:val="center"/>
              <w:rPr>
                <w:b/>
              </w:rPr>
            </w:pPr>
            <w:r w:rsidRPr="00075492">
              <w:rPr>
                <w:b/>
              </w:rPr>
              <w:t>449</w:t>
            </w:r>
          </w:p>
        </w:tc>
        <w:tc>
          <w:tcPr>
            <w:tcW w:w="768" w:type="dxa"/>
          </w:tcPr>
          <w:p w:rsidR="00547E7E" w:rsidRPr="00075492" w:rsidRDefault="00547E7E">
            <w:pPr>
              <w:pStyle w:val="Normaltindrag"/>
              <w:ind w:firstLine="0"/>
              <w:jc w:val="center"/>
              <w:rPr>
                <w:b/>
              </w:rPr>
            </w:pPr>
            <w:r w:rsidRPr="00075492">
              <w:rPr>
                <w:b/>
              </w:rPr>
              <w:t>459</w:t>
            </w:r>
          </w:p>
        </w:tc>
        <w:tc>
          <w:tcPr>
            <w:tcW w:w="794" w:type="dxa"/>
          </w:tcPr>
          <w:p w:rsidR="00547E7E" w:rsidRPr="00075492" w:rsidRDefault="00547E7E">
            <w:pPr>
              <w:pStyle w:val="Normaltindrag"/>
              <w:ind w:firstLine="0"/>
              <w:jc w:val="center"/>
              <w:rPr>
                <w:b/>
              </w:rPr>
            </w:pPr>
            <w:r w:rsidRPr="00075492">
              <w:rPr>
                <w:b/>
              </w:rPr>
              <w:t>481</w:t>
            </w:r>
          </w:p>
        </w:tc>
        <w:tc>
          <w:tcPr>
            <w:tcW w:w="569" w:type="dxa"/>
          </w:tcPr>
          <w:p w:rsidR="00547E7E" w:rsidRPr="00075492" w:rsidRDefault="00547E7E">
            <w:pPr>
              <w:pStyle w:val="Normaltindrag"/>
              <w:ind w:firstLine="0"/>
              <w:jc w:val="center"/>
              <w:rPr>
                <w:b/>
              </w:rPr>
            </w:pPr>
            <w:r w:rsidRPr="00075492">
              <w:rPr>
                <w:b/>
              </w:rPr>
              <w:t>473</w:t>
            </w:r>
          </w:p>
        </w:tc>
        <w:tc>
          <w:tcPr>
            <w:tcW w:w="569" w:type="dxa"/>
          </w:tcPr>
          <w:p w:rsidR="00547E7E" w:rsidRPr="00075492" w:rsidRDefault="00547E7E">
            <w:pPr>
              <w:pStyle w:val="Normaltindrag"/>
              <w:ind w:firstLine="0"/>
              <w:jc w:val="center"/>
              <w:rPr>
                <w:b/>
              </w:rPr>
            </w:pPr>
            <w:r w:rsidRPr="00075492">
              <w:rPr>
                <w:b/>
              </w:rPr>
              <w:t>452</w:t>
            </w:r>
          </w:p>
        </w:tc>
        <w:tc>
          <w:tcPr>
            <w:tcW w:w="569" w:type="dxa"/>
          </w:tcPr>
          <w:p w:rsidR="00547E7E" w:rsidRPr="00075492" w:rsidRDefault="00547E7E">
            <w:pPr>
              <w:pStyle w:val="Normaltindrag"/>
              <w:ind w:firstLine="0"/>
              <w:jc w:val="center"/>
              <w:rPr>
                <w:b/>
              </w:rPr>
            </w:pPr>
            <w:r w:rsidRPr="00075492">
              <w:rPr>
                <w:b/>
              </w:rPr>
              <w:t>430</w:t>
            </w:r>
          </w:p>
        </w:tc>
        <w:tc>
          <w:tcPr>
            <w:tcW w:w="569" w:type="dxa"/>
          </w:tcPr>
          <w:p w:rsidR="00547E7E" w:rsidRPr="00075492" w:rsidRDefault="00547E7E">
            <w:pPr>
              <w:pStyle w:val="Normaltindrag"/>
              <w:ind w:firstLine="0"/>
              <w:jc w:val="center"/>
              <w:rPr>
                <w:b/>
              </w:rPr>
            </w:pPr>
            <w:r w:rsidRPr="00075492">
              <w:rPr>
                <w:b/>
              </w:rPr>
              <w:t>432</w:t>
            </w:r>
          </w:p>
        </w:tc>
        <w:tc>
          <w:tcPr>
            <w:tcW w:w="569" w:type="dxa"/>
          </w:tcPr>
          <w:p w:rsidR="00547E7E" w:rsidRPr="00075492" w:rsidRDefault="00547E7E">
            <w:pPr>
              <w:pStyle w:val="Normaltindrag"/>
              <w:ind w:firstLine="0"/>
              <w:jc w:val="center"/>
              <w:rPr>
                <w:b/>
              </w:rPr>
            </w:pPr>
            <w:r w:rsidRPr="00075492">
              <w:rPr>
                <w:b/>
              </w:rPr>
              <w:t>457</w:t>
            </w:r>
          </w:p>
        </w:tc>
      </w:tr>
    </w:tbl>
    <w:p w:rsidR="00547E7E" w:rsidRPr="00075492" w:rsidRDefault="00547E7E">
      <w:pPr>
        <w:pStyle w:val="Tabell"/>
      </w:pPr>
    </w:p>
    <w:p w:rsidR="00547E7E" w:rsidRPr="00075492" w:rsidRDefault="00547E7E">
      <w:pPr>
        <w:pStyle w:val="Tabell"/>
      </w:pPr>
      <w:r w:rsidRPr="00075492">
        <w:t>Källa: Livsmedelsverkets årsredovisningar åren 1994/95 till år 2000 samt komplett</w:t>
      </w:r>
      <w:r w:rsidRPr="00075492">
        <w:t>e</w:t>
      </w:r>
      <w:r w:rsidRPr="00075492">
        <w:t>rade underlag från Livsmedelsverket</w:t>
      </w:r>
    </w:p>
    <w:p w:rsidR="00547E7E" w:rsidRPr="00075492" w:rsidRDefault="00547E7E">
      <w:r w:rsidRPr="00075492">
        <w:t>Av redovisningen framgår att antalet årsarbetskrafter vid Livsmedelsverket har varierat något under perioden. Besparingar genomfördes år 1998 som ledde till att antalet årsarbetskrafter minskade de två följande åren. Antalet årsarbetskrafter har dock ökat under innevarande år.</w:t>
      </w:r>
    </w:p>
    <w:p w:rsidR="00547E7E" w:rsidRPr="00075492" w:rsidRDefault="00547E7E">
      <w:pPr>
        <w:pStyle w:val="Rubrik2"/>
      </w:pPr>
      <w:bookmarkStart w:id="325" w:name="_Toc532284490"/>
      <w:bookmarkStart w:id="326" w:name="_Toc532292056"/>
      <w:bookmarkStart w:id="327" w:name="_Toc84603"/>
      <w:bookmarkStart w:id="328" w:name="_Toc6634561"/>
      <w:bookmarkStart w:id="329" w:name="_Toc6637143"/>
      <w:r w:rsidRPr="00075492">
        <w:t>Kostnader och finansiering</w:t>
      </w:r>
      <w:bookmarkEnd w:id="325"/>
      <w:bookmarkEnd w:id="326"/>
      <w:bookmarkEnd w:id="327"/>
      <w:bookmarkEnd w:id="328"/>
      <w:bookmarkEnd w:id="329"/>
    </w:p>
    <w:p w:rsidR="00547E7E" w:rsidRPr="00075492" w:rsidRDefault="00547E7E">
      <w:r w:rsidRPr="00075492">
        <w:t>Livsmedelsverkets kostnader och finansiering år 2000 framgår av tabell 4.</w:t>
      </w:r>
    </w:p>
    <w:p w:rsidR="00547E7E" w:rsidRPr="00075492" w:rsidRDefault="00547E7E">
      <w:pPr>
        <w:pStyle w:val="Beskrivning"/>
      </w:pPr>
      <w:r w:rsidRPr="00075492">
        <w:t xml:space="preserve">Tabell </w:t>
      </w:r>
      <w:r w:rsidRPr="00075492">
        <w:t>4</w:t>
      </w:r>
      <w:r w:rsidRPr="00075492">
        <w:t xml:space="preserve"> Livsmedelsverkets kostnader och finansiering år 2000 (tkr)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864"/>
        <w:gridCol w:w="850"/>
        <w:gridCol w:w="993"/>
        <w:gridCol w:w="992"/>
      </w:tblGrid>
      <w:tr w:rsidR="00000000" w:rsidRPr="00075492">
        <w:tblPrEx>
          <w:tblCellMar>
            <w:top w:w="0" w:type="dxa"/>
            <w:bottom w:w="0" w:type="dxa"/>
          </w:tblCellMar>
        </w:tblPrEx>
        <w:trPr>
          <w:cantSplit/>
        </w:trPr>
        <w:tc>
          <w:tcPr>
            <w:tcW w:w="2325" w:type="dxa"/>
            <w:tcBorders>
              <w:bottom w:val="nil"/>
            </w:tcBorders>
            <w:shd w:val="pct15" w:color="auto" w:fill="FFFFFF"/>
          </w:tcPr>
          <w:p w:rsidR="00547E7E" w:rsidRPr="00075492" w:rsidRDefault="00547E7E">
            <w:pPr>
              <w:pStyle w:val="Tabellrubrik"/>
            </w:pPr>
            <w:r w:rsidRPr="00075492">
              <w:t>Anslag</w:t>
            </w:r>
          </w:p>
        </w:tc>
        <w:tc>
          <w:tcPr>
            <w:tcW w:w="864" w:type="dxa"/>
            <w:tcBorders>
              <w:bottom w:val="nil"/>
            </w:tcBorders>
            <w:shd w:val="pct15" w:color="auto" w:fill="FFFFFF"/>
          </w:tcPr>
          <w:p w:rsidR="00547E7E" w:rsidRPr="00075492" w:rsidRDefault="00547E7E">
            <w:pPr>
              <w:pStyle w:val="Tabellrubrik"/>
            </w:pPr>
          </w:p>
        </w:tc>
        <w:tc>
          <w:tcPr>
            <w:tcW w:w="850" w:type="dxa"/>
            <w:vMerge w:val="restart"/>
            <w:shd w:val="pct15" w:color="auto" w:fill="FFFFFF"/>
            <w:vAlign w:val="center"/>
          </w:tcPr>
          <w:p w:rsidR="00547E7E" w:rsidRPr="00075492" w:rsidRDefault="00547E7E">
            <w:pPr>
              <w:pStyle w:val="Tabellrubrik"/>
            </w:pPr>
            <w:r w:rsidRPr="00075492">
              <w:t>Andel av kostn</w:t>
            </w:r>
            <w:r w:rsidRPr="00075492">
              <w:t>a</w:t>
            </w:r>
            <w:r w:rsidRPr="00075492">
              <w:t>der  (%)</w:t>
            </w:r>
          </w:p>
        </w:tc>
        <w:tc>
          <w:tcPr>
            <w:tcW w:w="1985" w:type="dxa"/>
            <w:gridSpan w:val="2"/>
            <w:shd w:val="pct15" w:color="auto" w:fill="FFFFFF"/>
          </w:tcPr>
          <w:p w:rsidR="00547E7E" w:rsidRPr="00075492" w:rsidRDefault="00547E7E">
            <w:pPr>
              <w:pStyle w:val="Tabellrubrik"/>
              <w:jc w:val="center"/>
            </w:pPr>
            <w:r w:rsidRPr="00075492">
              <w:t>Finans</w:t>
            </w:r>
            <w:r w:rsidRPr="00075492">
              <w:t>i</w:t>
            </w:r>
            <w:r w:rsidRPr="00075492">
              <w:t>ering</w:t>
            </w:r>
          </w:p>
        </w:tc>
      </w:tr>
      <w:tr w:rsidR="00000000" w:rsidRPr="00075492">
        <w:tblPrEx>
          <w:tblCellMar>
            <w:top w:w="0" w:type="dxa"/>
            <w:bottom w:w="0" w:type="dxa"/>
          </w:tblCellMar>
        </w:tblPrEx>
        <w:trPr>
          <w:cantSplit/>
        </w:trPr>
        <w:tc>
          <w:tcPr>
            <w:tcW w:w="2325" w:type="dxa"/>
            <w:tcBorders>
              <w:top w:val="nil"/>
            </w:tcBorders>
            <w:shd w:val="pct15" w:color="auto" w:fill="FFFFFF"/>
          </w:tcPr>
          <w:p w:rsidR="00547E7E" w:rsidRPr="00075492" w:rsidRDefault="00547E7E">
            <w:pPr>
              <w:pStyle w:val="Tabellrubrik"/>
            </w:pPr>
            <w:r w:rsidRPr="00075492">
              <w:t>Verksa</w:t>
            </w:r>
            <w:r w:rsidRPr="00075492">
              <w:t>m</w:t>
            </w:r>
            <w:r w:rsidRPr="00075492">
              <w:t>hetsgren</w:t>
            </w:r>
          </w:p>
        </w:tc>
        <w:tc>
          <w:tcPr>
            <w:tcW w:w="864" w:type="dxa"/>
            <w:tcBorders>
              <w:top w:val="nil"/>
            </w:tcBorders>
            <w:shd w:val="pct15" w:color="auto" w:fill="FFFFFF"/>
          </w:tcPr>
          <w:p w:rsidR="00547E7E" w:rsidRPr="00075492" w:rsidRDefault="00547E7E">
            <w:pPr>
              <w:pStyle w:val="Tabellrubrik"/>
            </w:pPr>
            <w:r w:rsidRPr="00075492">
              <w:t>Kostn</w:t>
            </w:r>
            <w:r w:rsidRPr="00075492">
              <w:t>a</w:t>
            </w:r>
            <w:r w:rsidRPr="00075492">
              <w:t>der</w:t>
            </w:r>
          </w:p>
        </w:tc>
        <w:tc>
          <w:tcPr>
            <w:tcW w:w="850" w:type="dxa"/>
            <w:vMerge/>
            <w:shd w:val="pct15" w:color="auto" w:fill="FFFFFF"/>
          </w:tcPr>
          <w:p w:rsidR="00547E7E" w:rsidRPr="00075492" w:rsidRDefault="00547E7E">
            <w:pPr>
              <w:pStyle w:val="Tabellrubrik"/>
            </w:pPr>
          </w:p>
        </w:tc>
        <w:tc>
          <w:tcPr>
            <w:tcW w:w="993" w:type="dxa"/>
            <w:shd w:val="pct15" w:color="auto" w:fill="FFFFFF"/>
          </w:tcPr>
          <w:p w:rsidR="00547E7E" w:rsidRPr="00075492" w:rsidRDefault="00547E7E">
            <w:pPr>
              <w:pStyle w:val="Tabellrubrik"/>
            </w:pPr>
            <w:r w:rsidRPr="00075492">
              <w:t>Anslag</w:t>
            </w:r>
          </w:p>
        </w:tc>
        <w:tc>
          <w:tcPr>
            <w:tcW w:w="992" w:type="dxa"/>
            <w:shd w:val="pct15" w:color="auto" w:fill="FFFFFF"/>
          </w:tcPr>
          <w:p w:rsidR="00547E7E" w:rsidRPr="00075492" w:rsidRDefault="00547E7E">
            <w:pPr>
              <w:pStyle w:val="Tabellrubrik"/>
            </w:pPr>
            <w:r w:rsidRPr="00075492">
              <w:t>Externa intäkter *</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Kunska</w:t>
            </w:r>
            <w:r w:rsidRPr="00075492">
              <w:t>p</w:t>
            </w:r>
            <w:r w:rsidRPr="00075492">
              <w:t>suppbyggnad</w:t>
            </w:r>
          </w:p>
        </w:tc>
        <w:tc>
          <w:tcPr>
            <w:tcW w:w="864" w:type="dxa"/>
          </w:tcPr>
          <w:p w:rsidR="00547E7E" w:rsidRPr="00075492" w:rsidRDefault="00547E7E">
            <w:pPr>
              <w:pStyle w:val="Normaltindrag"/>
              <w:ind w:firstLine="0"/>
              <w:jc w:val="right"/>
            </w:pPr>
            <w:r w:rsidRPr="00075492">
              <w:t>69 160</w:t>
            </w:r>
          </w:p>
        </w:tc>
        <w:tc>
          <w:tcPr>
            <w:tcW w:w="850" w:type="dxa"/>
          </w:tcPr>
          <w:p w:rsidR="00547E7E" w:rsidRPr="00075492" w:rsidRDefault="00547E7E">
            <w:pPr>
              <w:pStyle w:val="Normaltindrag"/>
              <w:ind w:firstLine="0"/>
              <w:jc w:val="right"/>
            </w:pPr>
            <w:r w:rsidRPr="00075492">
              <w:t>22</w:t>
            </w:r>
          </w:p>
        </w:tc>
        <w:tc>
          <w:tcPr>
            <w:tcW w:w="993" w:type="dxa"/>
          </w:tcPr>
          <w:p w:rsidR="00547E7E" w:rsidRPr="00075492" w:rsidRDefault="00547E7E">
            <w:pPr>
              <w:pStyle w:val="Normaltindrag"/>
              <w:ind w:firstLine="0"/>
              <w:jc w:val="right"/>
            </w:pPr>
            <w:r w:rsidRPr="00075492">
              <w:t>65 560</w:t>
            </w:r>
          </w:p>
        </w:tc>
        <w:tc>
          <w:tcPr>
            <w:tcW w:w="992" w:type="dxa"/>
          </w:tcPr>
          <w:p w:rsidR="00547E7E" w:rsidRPr="00075492" w:rsidRDefault="00547E7E">
            <w:pPr>
              <w:pStyle w:val="Normaltindrag"/>
              <w:jc w:val="right"/>
            </w:pPr>
            <w:r w:rsidRPr="00075492">
              <w:t>3 600</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Normgivning</w:t>
            </w:r>
          </w:p>
        </w:tc>
        <w:tc>
          <w:tcPr>
            <w:tcW w:w="864" w:type="dxa"/>
          </w:tcPr>
          <w:p w:rsidR="00547E7E" w:rsidRPr="00075492" w:rsidRDefault="00547E7E">
            <w:pPr>
              <w:pStyle w:val="Normaltindrag"/>
              <w:ind w:firstLine="0"/>
              <w:jc w:val="right"/>
            </w:pPr>
            <w:r w:rsidRPr="00075492">
              <w:t>43 990</w:t>
            </w:r>
          </w:p>
        </w:tc>
        <w:tc>
          <w:tcPr>
            <w:tcW w:w="850" w:type="dxa"/>
          </w:tcPr>
          <w:p w:rsidR="00547E7E" w:rsidRPr="00075492" w:rsidRDefault="00547E7E">
            <w:pPr>
              <w:pStyle w:val="Normaltindrag"/>
              <w:ind w:firstLine="0"/>
              <w:jc w:val="right"/>
            </w:pPr>
            <w:r w:rsidRPr="00075492">
              <w:t>14</w:t>
            </w:r>
          </w:p>
        </w:tc>
        <w:tc>
          <w:tcPr>
            <w:tcW w:w="993" w:type="dxa"/>
          </w:tcPr>
          <w:p w:rsidR="00547E7E" w:rsidRPr="00075492" w:rsidRDefault="00547E7E">
            <w:pPr>
              <w:pStyle w:val="Normaltindrag"/>
              <w:ind w:firstLine="0"/>
              <w:jc w:val="right"/>
            </w:pPr>
            <w:r w:rsidRPr="00075492">
              <w:t>38 540</w:t>
            </w:r>
          </w:p>
        </w:tc>
        <w:tc>
          <w:tcPr>
            <w:tcW w:w="992" w:type="dxa"/>
          </w:tcPr>
          <w:p w:rsidR="00547E7E" w:rsidRPr="00075492" w:rsidRDefault="00547E7E">
            <w:pPr>
              <w:pStyle w:val="Normaltindrag"/>
              <w:jc w:val="right"/>
            </w:pPr>
            <w:r w:rsidRPr="00075492">
              <w:t>5 450</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Tillsyn exkl. BVO</w:t>
            </w:r>
          </w:p>
        </w:tc>
        <w:tc>
          <w:tcPr>
            <w:tcW w:w="864" w:type="dxa"/>
          </w:tcPr>
          <w:p w:rsidR="00547E7E" w:rsidRPr="00075492" w:rsidRDefault="00547E7E">
            <w:pPr>
              <w:pStyle w:val="Normaltindrag"/>
              <w:ind w:firstLine="0"/>
              <w:jc w:val="right"/>
            </w:pPr>
            <w:r w:rsidRPr="00075492">
              <w:t>64 710</w:t>
            </w:r>
          </w:p>
        </w:tc>
        <w:tc>
          <w:tcPr>
            <w:tcW w:w="850" w:type="dxa"/>
          </w:tcPr>
          <w:p w:rsidR="00547E7E" w:rsidRPr="00075492" w:rsidRDefault="00547E7E">
            <w:pPr>
              <w:pStyle w:val="Normaltindrag"/>
              <w:ind w:firstLine="0"/>
              <w:jc w:val="right"/>
            </w:pPr>
            <w:r w:rsidRPr="00075492">
              <w:t>21</w:t>
            </w:r>
          </w:p>
        </w:tc>
        <w:tc>
          <w:tcPr>
            <w:tcW w:w="993" w:type="dxa"/>
          </w:tcPr>
          <w:p w:rsidR="00547E7E" w:rsidRPr="00075492" w:rsidRDefault="00547E7E">
            <w:pPr>
              <w:pStyle w:val="Normaltindrag"/>
              <w:ind w:firstLine="0"/>
              <w:jc w:val="right"/>
            </w:pPr>
            <w:r w:rsidRPr="00075492">
              <w:t>14 810</w:t>
            </w:r>
          </w:p>
        </w:tc>
        <w:tc>
          <w:tcPr>
            <w:tcW w:w="992" w:type="dxa"/>
          </w:tcPr>
          <w:p w:rsidR="00547E7E" w:rsidRPr="00075492" w:rsidRDefault="00547E7E">
            <w:pPr>
              <w:pStyle w:val="Normaltindrag"/>
              <w:jc w:val="right"/>
            </w:pPr>
            <w:r w:rsidRPr="00075492">
              <w:t>48 470</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Besiktningsveterinärsorg</w:t>
            </w:r>
            <w:r w:rsidRPr="00075492">
              <w:t>a</w:t>
            </w:r>
            <w:r w:rsidRPr="00075492">
              <w:t>nis</w:t>
            </w:r>
            <w:r w:rsidRPr="00075492">
              <w:t>a</w:t>
            </w:r>
            <w:r w:rsidRPr="00075492">
              <w:t>tionen (BVO)</w:t>
            </w:r>
          </w:p>
        </w:tc>
        <w:tc>
          <w:tcPr>
            <w:tcW w:w="864" w:type="dxa"/>
          </w:tcPr>
          <w:p w:rsidR="00547E7E" w:rsidRPr="00075492" w:rsidRDefault="00547E7E">
            <w:pPr>
              <w:pStyle w:val="Normaltindrag"/>
              <w:ind w:firstLine="0"/>
              <w:jc w:val="right"/>
            </w:pPr>
            <w:r w:rsidRPr="00075492">
              <w:t>108 580</w:t>
            </w:r>
          </w:p>
        </w:tc>
        <w:tc>
          <w:tcPr>
            <w:tcW w:w="850" w:type="dxa"/>
          </w:tcPr>
          <w:p w:rsidR="00547E7E" w:rsidRPr="00075492" w:rsidRDefault="00547E7E">
            <w:pPr>
              <w:pStyle w:val="Normaltindrag"/>
              <w:ind w:firstLine="0"/>
              <w:jc w:val="right"/>
            </w:pPr>
            <w:r w:rsidRPr="00075492">
              <w:t>35</w:t>
            </w:r>
          </w:p>
        </w:tc>
        <w:tc>
          <w:tcPr>
            <w:tcW w:w="993" w:type="dxa"/>
          </w:tcPr>
          <w:p w:rsidR="00547E7E" w:rsidRPr="00075492" w:rsidRDefault="00547E7E">
            <w:pPr>
              <w:pStyle w:val="Normaltindrag"/>
              <w:ind w:firstLine="0"/>
              <w:jc w:val="right"/>
            </w:pPr>
            <w:r w:rsidRPr="00075492">
              <w:t>0</w:t>
            </w:r>
          </w:p>
        </w:tc>
        <w:tc>
          <w:tcPr>
            <w:tcW w:w="992" w:type="dxa"/>
          </w:tcPr>
          <w:p w:rsidR="00547E7E" w:rsidRPr="00075492" w:rsidRDefault="00547E7E">
            <w:pPr>
              <w:pStyle w:val="Normaltindrag"/>
              <w:jc w:val="right"/>
            </w:pPr>
            <w:r w:rsidRPr="00075492">
              <w:t>99 080</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Information</w:t>
            </w:r>
          </w:p>
        </w:tc>
        <w:tc>
          <w:tcPr>
            <w:tcW w:w="864" w:type="dxa"/>
          </w:tcPr>
          <w:p w:rsidR="00547E7E" w:rsidRPr="00075492" w:rsidRDefault="00547E7E">
            <w:pPr>
              <w:pStyle w:val="Normaltindrag"/>
              <w:ind w:firstLine="0"/>
              <w:jc w:val="right"/>
            </w:pPr>
            <w:r w:rsidRPr="00075492">
              <w:t>19 340</w:t>
            </w:r>
          </w:p>
        </w:tc>
        <w:tc>
          <w:tcPr>
            <w:tcW w:w="850" w:type="dxa"/>
          </w:tcPr>
          <w:p w:rsidR="00547E7E" w:rsidRPr="00075492" w:rsidRDefault="00547E7E">
            <w:pPr>
              <w:pStyle w:val="Normaltindrag"/>
              <w:ind w:firstLine="0"/>
              <w:jc w:val="right"/>
            </w:pPr>
            <w:r w:rsidRPr="00075492">
              <w:t>6</w:t>
            </w:r>
          </w:p>
        </w:tc>
        <w:tc>
          <w:tcPr>
            <w:tcW w:w="993" w:type="dxa"/>
          </w:tcPr>
          <w:p w:rsidR="00547E7E" w:rsidRPr="00075492" w:rsidRDefault="00547E7E">
            <w:pPr>
              <w:pStyle w:val="Normaltindrag"/>
              <w:ind w:firstLine="0"/>
              <w:jc w:val="right"/>
            </w:pPr>
            <w:r w:rsidRPr="00075492">
              <w:t>13 450</w:t>
            </w:r>
          </w:p>
        </w:tc>
        <w:tc>
          <w:tcPr>
            <w:tcW w:w="992" w:type="dxa"/>
          </w:tcPr>
          <w:p w:rsidR="00547E7E" w:rsidRPr="00075492" w:rsidRDefault="00547E7E">
            <w:pPr>
              <w:pStyle w:val="Normaltindrag"/>
              <w:jc w:val="right"/>
            </w:pPr>
            <w:r w:rsidRPr="00075492">
              <w:t>5 890</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Övrigt</w:t>
            </w:r>
          </w:p>
        </w:tc>
        <w:tc>
          <w:tcPr>
            <w:tcW w:w="864" w:type="dxa"/>
          </w:tcPr>
          <w:p w:rsidR="00547E7E" w:rsidRPr="00075492" w:rsidRDefault="00547E7E">
            <w:pPr>
              <w:pStyle w:val="Normaltindrag"/>
              <w:ind w:firstLine="0"/>
              <w:jc w:val="right"/>
            </w:pPr>
            <w:r w:rsidRPr="00075492">
              <w:t>5 820</w:t>
            </w:r>
          </w:p>
        </w:tc>
        <w:tc>
          <w:tcPr>
            <w:tcW w:w="850" w:type="dxa"/>
          </w:tcPr>
          <w:p w:rsidR="00547E7E" w:rsidRPr="00075492" w:rsidRDefault="00547E7E">
            <w:pPr>
              <w:pStyle w:val="Normaltindrag"/>
              <w:ind w:firstLine="0"/>
              <w:jc w:val="right"/>
            </w:pPr>
            <w:r w:rsidRPr="00075492">
              <w:t>2</w:t>
            </w:r>
          </w:p>
        </w:tc>
        <w:tc>
          <w:tcPr>
            <w:tcW w:w="993" w:type="dxa"/>
          </w:tcPr>
          <w:p w:rsidR="00547E7E" w:rsidRPr="00075492" w:rsidRDefault="00547E7E">
            <w:pPr>
              <w:pStyle w:val="Normaltindrag"/>
              <w:ind w:firstLine="0"/>
              <w:jc w:val="right"/>
            </w:pPr>
            <w:r w:rsidRPr="00075492">
              <w:t>-22 990</w:t>
            </w:r>
          </w:p>
        </w:tc>
        <w:tc>
          <w:tcPr>
            <w:tcW w:w="992" w:type="dxa"/>
          </w:tcPr>
          <w:p w:rsidR="00547E7E" w:rsidRPr="00075492" w:rsidRDefault="00547E7E">
            <w:pPr>
              <w:pStyle w:val="Normaltindrag"/>
              <w:jc w:val="right"/>
            </w:pPr>
            <w:r w:rsidRPr="00075492">
              <w:t>31 610</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Standardisering, provnings- och mätteknisk FOU</w:t>
            </w:r>
          </w:p>
        </w:tc>
        <w:tc>
          <w:tcPr>
            <w:tcW w:w="864" w:type="dxa"/>
          </w:tcPr>
          <w:p w:rsidR="00547E7E" w:rsidRPr="00075492" w:rsidRDefault="00547E7E">
            <w:pPr>
              <w:pStyle w:val="Normaltindrag"/>
              <w:ind w:firstLine="0"/>
              <w:jc w:val="right"/>
            </w:pPr>
            <w:r w:rsidRPr="00075492">
              <w:t>200</w:t>
            </w:r>
          </w:p>
        </w:tc>
        <w:tc>
          <w:tcPr>
            <w:tcW w:w="850" w:type="dxa"/>
          </w:tcPr>
          <w:p w:rsidR="00547E7E" w:rsidRPr="00075492" w:rsidRDefault="00547E7E">
            <w:pPr>
              <w:pStyle w:val="Normaltindrag"/>
              <w:ind w:firstLine="0"/>
              <w:jc w:val="right"/>
            </w:pPr>
          </w:p>
        </w:tc>
        <w:tc>
          <w:tcPr>
            <w:tcW w:w="993" w:type="dxa"/>
          </w:tcPr>
          <w:p w:rsidR="00547E7E" w:rsidRPr="00075492" w:rsidRDefault="00547E7E">
            <w:pPr>
              <w:pStyle w:val="Normaltindrag"/>
              <w:ind w:firstLine="0"/>
              <w:jc w:val="right"/>
            </w:pPr>
            <w:r w:rsidRPr="00075492">
              <w:t>200</w:t>
            </w:r>
          </w:p>
        </w:tc>
        <w:tc>
          <w:tcPr>
            <w:tcW w:w="992" w:type="dxa"/>
          </w:tcPr>
          <w:p w:rsidR="00547E7E" w:rsidRPr="00075492" w:rsidRDefault="00547E7E">
            <w:pPr>
              <w:pStyle w:val="Normaltindrag"/>
              <w:jc w:val="right"/>
            </w:pPr>
            <w:r w:rsidRPr="00075492">
              <w:t>0</w:t>
            </w:r>
          </w:p>
        </w:tc>
      </w:tr>
      <w:tr w:rsidR="00000000" w:rsidRPr="00075492">
        <w:tblPrEx>
          <w:tblCellMar>
            <w:top w:w="0" w:type="dxa"/>
            <w:bottom w:w="0" w:type="dxa"/>
          </w:tblCellMar>
        </w:tblPrEx>
        <w:trPr>
          <w:cantSplit/>
        </w:trPr>
        <w:tc>
          <w:tcPr>
            <w:tcW w:w="2325" w:type="dxa"/>
          </w:tcPr>
          <w:p w:rsidR="00547E7E" w:rsidRPr="00075492" w:rsidRDefault="00547E7E">
            <w:pPr>
              <w:pStyle w:val="Normaltindrag"/>
              <w:ind w:firstLine="0"/>
            </w:pPr>
            <w:r w:rsidRPr="00075492">
              <w:t>Summa</w:t>
            </w:r>
          </w:p>
        </w:tc>
        <w:tc>
          <w:tcPr>
            <w:tcW w:w="864" w:type="dxa"/>
          </w:tcPr>
          <w:p w:rsidR="00547E7E" w:rsidRPr="00075492" w:rsidRDefault="00547E7E">
            <w:pPr>
              <w:pStyle w:val="Normaltindrag"/>
              <w:ind w:firstLine="0"/>
              <w:jc w:val="right"/>
            </w:pPr>
            <w:r w:rsidRPr="00075492">
              <w:t>311 800</w:t>
            </w:r>
          </w:p>
        </w:tc>
        <w:tc>
          <w:tcPr>
            <w:tcW w:w="850" w:type="dxa"/>
          </w:tcPr>
          <w:p w:rsidR="00547E7E" w:rsidRPr="00075492" w:rsidRDefault="00547E7E">
            <w:pPr>
              <w:pStyle w:val="Normaltindrag"/>
              <w:ind w:firstLine="0"/>
              <w:jc w:val="right"/>
            </w:pPr>
            <w:r w:rsidRPr="00075492">
              <w:t>100</w:t>
            </w:r>
          </w:p>
        </w:tc>
        <w:tc>
          <w:tcPr>
            <w:tcW w:w="993" w:type="dxa"/>
          </w:tcPr>
          <w:p w:rsidR="00547E7E" w:rsidRPr="00075492" w:rsidRDefault="00547E7E">
            <w:pPr>
              <w:pStyle w:val="Normaltindrag"/>
              <w:ind w:firstLine="0"/>
              <w:jc w:val="right"/>
            </w:pPr>
            <w:r w:rsidRPr="00075492">
              <w:t>109 570</w:t>
            </w:r>
          </w:p>
        </w:tc>
        <w:tc>
          <w:tcPr>
            <w:tcW w:w="992" w:type="dxa"/>
          </w:tcPr>
          <w:p w:rsidR="00547E7E" w:rsidRPr="00075492" w:rsidRDefault="00547E7E">
            <w:pPr>
              <w:pStyle w:val="Normaltindrag"/>
              <w:ind w:firstLine="0"/>
              <w:jc w:val="right"/>
            </w:pPr>
            <w:r w:rsidRPr="00075492">
              <w:t>194 100</w:t>
            </w:r>
          </w:p>
        </w:tc>
      </w:tr>
    </w:tbl>
    <w:p w:rsidR="00547E7E" w:rsidRPr="00075492" w:rsidRDefault="00547E7E">
      <w:pPr>
        <w:pStyle w:val="Tabell"/>
      </w:pPr>
    </w:p>
    <w:p w:rsidR="00547E7E" w:rsidRPr="00075492" w:rsidRDefault="00547E7E">
      <w:pPr>
        <w:pStyle w:val="Tabell"/>
      </w:pPr>
      <w:r w:rsidRPr="00075492">
        <w:t>Källa: Livsmedelsverkets årsredovisning år 2000</w:t>
      </w:r>
    </w:p>
    <w:p w:rsidR="00547E7E" w:rsidRPr="00075492" w:rsidRDefault="00547E7E">
      <w:pPr>
        <w:pStyle w:val="Tabell"/>
      </w:pPr>
      <w:r w:rsidRPr="00075492">
        <w:t>* Enligt muntliga uppgifter från verket ska intäkterna också omfatta interna intäkter dvs. omföringar av gemensamma kostnader för administration till verksamhetsgrena</w:t>
      </w:r>
      <w:r w:rsidRPr="00075492">
        <w:t>r</w:t>
      </w:r>
      <w:r w:rsidRPr="00075492">
        <w:t>na.</w:t>
      </w:r>
    </w:p>
    <w:p w:rsidR="00547E7E" w:rsidRPr="00075492" w:rsidRDefault="00547E7E">
      <w:r w:rsidRPr="00075492">
        <w:t>Livsmedelsverkets verksamhet finansieras med både anslag och intäkter. Den totala kostnaden för verksamheten uppgår till ca 312 miljoner kronor. Av den totala finansieringen är ca 194 miljoner kronor externa intäkter. Detta inn</w:t>
      </w:r>
      <w:r w:rsidRPr="00075492">
        <w:t>e</w:t>
      </w:r>
      <w:r w:rsidRPr="00075492">
        <w:t>bär att 62 % av verksamheten utgörs av intäkter. Tillsyns- och kontrollver</w:t>
      </w:r>
      <w:r w:rsidRPr="00075492">
        <w:t>k</w:t>
      </w:r>
      <w:r w:rsidRPr="00075492">
        <w:t>samheten (inklusive BVO) svarar för 56 % av myndighetens kostn</w:t>
      </w:r>
      <w:r w:rsidRPr="00075492">
        <w:t>a</w:t>
      </w:r>
      <w:r w:rsidRPr="00075492">
        <w:t>der.</w:t>
      </w:r>
    </w:p>
    <w:p w:rsidR="00547E7E" w:rsidRPr="00075492" w:rsidRDefault="00547E7E">
      <w:pPr>
        <w:pStyle w:val="Normaltindrag"/>
      </w:pPr>
      <w:r w:rsidRPr="00075492">
        <w:t>Alla verksamhetsgrenar har intäkter utöver anslag. Intäkterna för besik</w:t>
      </w:r>
      <w:r w:rsidRPr="00075492">
        <w:t>t</w:t>
      </w:r>
      <w:r w:rsidRPr="00075492">
        <w:t>ningsveterinärsorganisationen och tillsynsverksamheten består i hög grad av avgifter från företag och kommuner. Dessa intäkter uppgår till 76 % av Livsmedelsverkets samlade intäkter. Avgiftssystemet, som är mycket ko</w:t>
      </w:r>
      <w:r w:rsidRPr="00075492">
        <w:t>m</w:t>
      </w:r>
      <w:r w:rsidRPr="00075492">
        <w:t>plicerat, behandlas i kapitel 8.</w:t>
      </w:r>
    </w:p>
    <w:p w:rsidR="00547E7E" w:rsidRPr="00075492" w:rsidRDefault="00547E7E">
      <w:pPr>
        <w:pStyle w:val="Normaltindrag"/>
      </w:pPr>
      <w:r w:rsidRPr="00075492">
        <w:t>RRV:s årliga revision gjorde ett antal påpekanden avseende Livsmedel</w:t>
      </w:r>
      <w:r w:rsidRPr="00075492">
        <w:t>s</w:t>
      </w:r>
      <w:r w:rsidRPr="00075492">
        <w:t>verkets årsredovisning för år 2000. Exempelvis kommenterades Livsmedel</w:t>
      </w:r>
      <w:r w:rsidRPr="00075492">
        <w:t>s</w:t>
      </w:r>
      <w:r w:rsidRPr="00075492">
        <w:t>verkets återrapportering under verksamhetsgrenen Tillsyn. Verket hade tid</w:t>
      </w:r>
      <w:r w:rsidRPr="00075492">
        <w:t>i</w:t>
      </w:r>
      <w:r w:rsidRPr="00075492">
        <w:t>gare redovisat att de hade ökat effektiviteten i den lokala tillsynen genom utbildnings- och informationsinsatser på kommunal och regional nivå. RRV påpekade dock att denna slutsats inte har styrkts av redovisat material. Som exempel nämndes att kostnaderna för samordning och stöd samt antalet kommunbesök hade minskat jämfört med året innan. RRV konstaterade också</w:t>
      </w:r>
      <w:r w:rsidRPr="00075492">
        <w:t xml:space="preserve"> att verkets egna inspektioner hade minskat jämfört med föregåe</w:t>
      </w:r>
      <w:r w:rsidRPr="00075492">
        <w:t>n</w:t>
      </w:r>
      <w:r w:rsidRPr="00075492">
        <w:t xml:space="preserve">de år. </w:t>
      </w:r>
    </w:p>
    <w:p w:rsidR="00547E7E" w:rsidRPr="00075492" w:rsidRDefault="00547E7E">
      <w:pPr>
        <w:pStyle w:val="Normaltindrag"/>
      </w:pPr>
      <w:r w:rsidRPr="00075492">
        <w:t>Vidare konstaterade RRV att kvaliteten i dokumentationen av resultatr</w:t>
      </w:r>
      <w:r w:rsidRPr="00075492">
        <w:t>e</w:t>
      </w:r>
      <w:r w:rsidRPr="00075492">
        <w:t>dovisningen skiljer sig åt mellan de olika verksamhetsgrenarna. Exempelvis fanns brister i dokumentation av verksa</w:t>
      </w:r>
      <w:r w:rsidRPr="00075492">
        <w:t>m</w:t>
      </w:r>
      <w:r w:rsidRPr="00075492">
        <w:t>hetsgrenen Tillsyn.</w:t>
      </w:r>
    </w:p>
    <w:p w:rsidR="00547E7E" w:rsidRPr="00075492" w:rsidRDefault="00547E7E">
      <w:pPr>
        <w:pStyle w:val="Normaltindrag"/>
      </w:pPr>
      <w:r w:rsidRPr="00075492">
        <w:t>Till skillnad från tidigare år hade dock Livsmedelsverket sammanställt en tabell över samtliga verksamhetsgrenars intäkter och kostnader i enlighet med RRV:s tidigare rekommendationer.</w:t>
      </w:r>
    </w:p>
    <w:p w:rsidR="00547E7E" w:rsidRPr="00075492" w:rsidRDefault="00547E7E">
      <w:pPr>
        <w:pStyle w:val="Normaltindrag"/>
      </w:pPr>
      <w:r w:rsidRPr="00075492">
        <w:t>Vad gäller Livsmedelsverkets kostnader och intäkter över tiden kan sägas att eftersom en total sammanställning i en tabell saknas för övriga år är det svårt att genomföra en sådan r</w:t>
      </w:r>
      <w:r w:rsidRPr="00075492">
        <w:t>e</w:t>
      </w:r>
      <w:r w:rsidRPr="00075492">
        <w:t xml:space="preserve">dovisning. </w:t>
      </w:r>
    </w:p>
    <w:p w:rsidR="00547E7E" w:rsidRPr="00075492" w:rsidRDefault="00547E7E">
      <w:pPr>
        <w:pStyle w:val="Rubrik2"/>
      </w:pPr>
      <w:bookmarkStart w:id="330" w:name="_Toc532284491"/>
      <w:bookmarkStart w:id="331" w:name="_Toc532292057"/>
      <w:bookmarkStart w:id="332" w:name="_Toc84604"/>
      <w:bookmarkStart w:id="333" w:name="_Toc6634562"/>
      <w:bookmarkStart w:id="334" w:name="_Toc6637144"/>
      <w:r w:rsidRPr="00075492">
        <w:t>Normgivning</w:t>
      </w:r>
      <w:bookmarkEnd w:id="330"/>
      <w:bookmarkEnd w:id="331"/>
      <w:bookmarkEnd w:id="332"/>
      <w:bookmarkEnd w:id="333"/>
      <w:bookmarkEnd w:id="334"/>
    </w:p>
    <w:p w:rsidR="00547E7E" w:rsidRPr="00075492" w:rsidRDefault="00547E7E">
      <w:pPr>
        <w:pStyle w:val="Rubrik3"/>
      </w:pPr>
      <w:bookmarkStart w:id="335" w:name="_Toc532284492"/>
      <w:bookmarkStart w:id="336" w:name="_Toc532292058"/>
      <w:bookmarkStart w:id="337" w:name="_Toc84605"/>
      <w:bookmarkStart w:id="338" w:name="_Toc6634563"/>
      <w:bookmarkStart w:id="339" w:name="_Toc6637145"/>
      <w:r w:rsidRPr="00075492">
        <w:t>Uppgifter</w:t>
      </w:r>
      <w:bookmarkEnd w:id="335"/>
      <w:bookmarkEnd w:id="336"/>
      <w:bookmarkEnd w:id="337"/>
      <w:bookmarkEnd w:id="338"/>
      <w:bookmarkEnd w:id="339"/>
    </w:p>
    <w:p w:rsidR="00547E7E" w:rsidRPr="00075492" w:rsidRDefault="00547E7E">
      <w:r w:rsidRPr="00075492">
        <w:t>Livsmedelsverkets arbete med normer, tillsyn, information och kunskap</w:t>
      </w:r>
      <w:r w:rsidRPr="00075492">
        <w:t>s</w:t>
      </w:r>
      <w:r w:rsidRPr="00075492">
        <w:t>uppbyggnad ska, i så stor utsträckning som möjligt, grundas på internati</w:t>
      </w:r>
      <w:r w:rsidRPr="00075492">
        <w:t>o</w:t>
      </w:r>
      <w:r w:rsidRPr="00075492">
        <w:t>nellt samarbete, särskilt inom EU. Det angivna målet för verkets normgi</w:t>
      </w:r>
      <w:r w:rsidRPr="00075492">
        <w:t>v</w:t>
      </w:r>
      <w:r w:rsidRPr="00075492">
        <w:t>ning eller regelarbete är att svenska konsumentintressen ska tillgodoses genom det internationella sama</w:t>
      </w:r>
      <w:r w:rsidRPr="00075492">
        <w:t>r</w:t>
      </w:r>
      <w:r w:rsidRPr="00075492">
        <w:t>betet.</w:t>
      </w:r>
    </w:p>
    <w:p w:rsidR="00547E7E" w:rsidRPr="00075492" w:rsidRDefault="00547E7E">
      <w:pPr>
        <w:pStyle w:val="Normaltindrag"/>
      </w:pPr>
      <w:r w:rsidRPr="00075492">
        <w:t xml:space="preserve">Verkets arbete med normgivning påverkas i hög grad av arbetet inom EU samt verkets deltagande i olika internationella samarbetsorgan och nordiska organ. </w:t>
      </w:r>
    </w:p>
    <w:p w:rsidR="00547E7E" w:rsidRPr="00075492" w:rsidRDefault="00547E7E">
      <w:pPr>
        <w:pStyle w:val="Normaltindrag"/>
      </w:pPr>
      <w:r w:rsidRPr="00075492">
        <w:t>Under perioden 1992–2000 bestod arbetet av att införliva EES-avtalet (ca 150 direktiv)</w:t>
      </w:r>
      <w:r w:rsidRPr="00075492">
        <w:rPr>
          <w:rStyle w:val="Fotnotsreferens"/>
        </w:rPr>
        <w:footnoteReference w:id="22"/>
      </w:r>
      <w:r w:rsidRPr="00075492">
        <w:t xml:space="preserve"> i den svenska lagstiftningen och av fortlöpande EU-anpassning. Dessutom medverkar Livsmedelsve</w:t>
      </w:r>
      <w:r w:rsidRPr="00075492">
        <w:t>r</w:t>
      </w:r>
      <w:r w:rsidRPr="00075492">
        <w:t xml:space="preserve">ket i utarbetandet av EU-lagstiftningen. </w:t>
      </w:r>
    </w:p>
    <w:p w:rsidR="00547E7E" w:rsidRPr="00075492" w:rsidRDefault="00547E7E">
      <w:pPr>
        <w:pStyle w:val="Normaltindrag"/>
      </w:pPr>
      <w:r w:rsidRPr="00075492">
        <w:t>EU-anpassningen föranledde nya föreskrifter inom olika områden. I dag är i princip all svensk lagstiftning inom livsmedelsområdet harmoniserad med EU:s lagstiftning.</w:t>
      </w:r>
    </w:p>
    <w:p w:rsidR="00547E7E" w:rsidRPr="00075492" w:rsidRDefault="00547E7E">
      <w:pPr>
        <w:pStyle w:val="Rubrik3"/>
      </w:pPr>
      <w:bookmarkStart w:id="340" w:name="_Toc532284493"/>
      <w:bookmarkStart w:id="341" w:name="_Toc532292059"/>
      <w:bookmarkStart w:id="342" w:name="_Toc84606"/>
      <w:bookmarkStart w:id="343" w:name="_Toc6634564"/>
      <w:bookmarkStart w:id="344" w:name="_Toc6637146"/>
      <w:r w:rsidRPr="00075492">
        <w:t>Regelverkets omfattning</w:t>
      </w:r>
      <w:bookmarkEnd w:id="340"/>
      <w:bookmarkEnd w:id="341"/>
      <w:bookmarkEnd w:id="342"/>
      <w:bookmarkEnd w:id="343"/>
      <w:bookmarkEnd w:id="344"/>
    </w:p>
    <w:p w:rsidR="00547E7E" w:rsidRPr="00075492" w:rsidRDefault="00547E7E">
      <w:r w:rsidRPr="00075492">
        <w:t>Livsmedelsverket har med stöd av regeringens bemyndigande beslutat om en rad föreskrifter och allmänna råd som publiceras i verkets författningssa</w:t>
      </w:r>
      <w:r w:rsidRPr="00075492">
        <w:t>m</w:t>
      </w:r>
      <w:r w:rsidRPr="00075492">
        <w:t xml:space="preserve">ling (SLV FS). </w:t>
      </w:r>
    </w:p>
    <w:p w:rsidR="00547E7E" w:rsidRPr="00075492" w:rsidRDefault="00547E7E">
      <w:pPr>
        <w:pStyle w:val="Normaltindrag"/>
      </w:pPr>
      <w:r w:rsidRPr="00075492">
        <w:t>I bl.a. betänkandet Livsmedelstillsynen i Sverige (SOU 1998:61) up</w:t>
      </w:r>
      <w:r w:rsidRPr="00075492">
        <w:t>p</w:t>
      </w:r>
      <w:r w:rsidRPr="00075492">
        <w:t>märksammades problemen med livsmedelshanteringens omfattande rege</w:t>
      </w:r>
      <w:r w:rsidRPr="00075492">
        <w:t>l</w:t>
      </w:r>
      <w:r w:rsidRPr="00075492">
        <w:t>verk. Kommittén föreslog att omfattningen av regelverket skulle begränsas genom att allmänna råd togs bort från författningssamlingen. Vidare borde möjligheterna att förenkla reglerna inventeras. Dessutom föreslogs att en handledning för tillsynsarbetet skulle tas fram liksom en metod för att fö</w:t>
      </w:r>
      <w:r w:rsidRPr="00075492">
        <w:t>r</w:t>
      </w:r>
      <w:r w:rsidRPr="00075492">
        <w:t xml:space="preserve">medla aktuell information till ”fältet”. </w:t>
      </w:r>
    </w:p>
    <w:p w:rsidR="00547E7E" w:rsidRPr="00075492" w:rsidRDefault="00547E7E">
      <w:pPr>
        <w:pStyle w:val="Normaltindrag"/>
      </w:pPr>
      <w:r w:rsidRPr="00075492">
        <w:t>Arbetet med att förenkla och minska antalet regler påverkas av lagstif</w:t>
      </w:r>
      <w:r w:rsidRPr="00075492">
        <w:t>t</w:t>
      </w:r>
      <w:r w:rsidRPr="00075492">
        <w:t>ningen inom EU. På nationell nivå kan man endast införa nya regler och förändra befintliga regler på områden som inte omfattas av EU-lagstiftningen</w:t>
      </w:r>
      <w:r w:rsidRPr="00075492">
        <w:rPr>
          <w:rStyle w:val="Fotnotsreferens"/>
        </w:rPr>
        <w:footnoteReference w:id="23"/>
      </w:r>
      <w:r w:rsidRPr="00075492">
        <w:t xml:space="preserve">. </w:t>
      </w:r>
    </w:p>
    <w:p w:rsidR="00547E7E" w:rsidRPr="00075492" w:rsidRDefault="00547E7E">
      <w:pPr>
        <w:pStyle w:val="Normaltindrag"/>
      </w:pPr>
      <w:r w:rsidRPr="00075492">
        <w:t>I Sverige kan allmänna råd avvecklas eftersom de inte är rättsligt binda</w:t>
      </w:r>
      <w:r w:rsidRPr="00075492">
        <w:t>n</w:t>
      </w:r>
      <w:r w:rsidRPr="00075492">
        <w:t>de. Allmänna råd är uttryck för en myndighets åsikt. Råden definieras dock som regler, vilket medför att de kan uppfattas som mer bindande än vad de i själva verket är</w:t>
      </w:r>
      <w:r w:rsidRPr="00075492">
        <w:rPr>
          <w:rStyle w:val="Fotnotsreferens"/>
        </w:rPr>
        <w:footnoteReference w:id="24"/>
      </w:r>
      <w:r w:rsidRPr="00075492">
        <w:t xml:space="preserve">. </w:t>
      </w:r>
    </w:p>
    <w:p w:rsidR="00547E7E" w:rsidRPr="00075492" w:rsidRDefault="00547E7E">
      <w:pPr>
        <w:pStyle w:val="Normaltindrag"/>
      </w:pPr>
      <w:r w:rsidRPr="00075492">
        <w:t xml:space="preserve">Livsmedelsverket har därefter fattat ett principbeslut om att avskaffa de allmänna råden i författningssamlingen. Detta innebär att inga allmänna råd utarbetas. I samband med större ändringar av föreskrifter avvecklas allmänna råd. </w:t>
      </w:r>
    </w:p>
    <w:p w:rsidR="00547E7E" w:rsidRPr="00075492" w:rsidRDefault="00547E7E">
      <w:pPr>
        <w:pStyle w:val="Normaltindrag"/>
      </w:pPr>
      <w:r w:rsidRPr="00075492">
        <w:t>Att upphäva eller omarbeta regler är per definition en regeländring som måste remissbehandlas till dem som berörs av ändringen, exempelvis bransch- och konsumentorganisationer. Dessutom måste en konsekvensb</w:t>
      </w:r>
      <w:r w:rsidRPr="00075492">
        <w:t>e</w:t>
      </w:r>
      <w:r w:rsidRPr="00075492">
        <w:t>skrivning upprättas enligt verksförordnin</w:t>
      </w:r>
      <w:r w:rsidRPr="00075492">
        <w:t>g</w:t>
      </w:r>
      <w:r w:rsidRPr="00075492">
        <w:t xml:space="preserve">en (SFS 1995:1322). </w:t>
      </w:r>
    </w:p>
    <w:p w:rsidR="00547E7E" w:rsidRPr="00075492" w:rsidRDefault="00547E7E">
      <w:pPr>
        <w:pStyle w:val="Normaltindrag"/>
      </w:pPr>
      <w:r w:rsidRPr="00075492">
        <w:t>Under 1999 påbörjade Livsmedelsverket en översyn av gällande förfat</w:t>
      </w:r>
      <w:r w:rsidRPr="00075492">
        <w:t>t</w:t>
      </w:r>
      <w:r w:rsidRPr="00075492">
        <w:t>ningar. Arbetet har hittills resulterat i att tolv författningar har upphävts. De allmänna råden tas successivt bort ur författningssamlingen</w:t>
      </w:r>
      <w:r w:rsidRPr="00075492">
        <w:rPr>
          <w:rStyle w:val="Fotnotsreferens"/>
        </w:rPr>
        <w:footnoteReference w:id="25"/>
      </w:r>
      <w:r w:rsidRPr="00075492">
        <w:t>. Vid behov publiceras råden som vägledningar. Under år 2000 upphävdes ett tiotal för</w:t>
      </w:r>
      <w:r w:rsidRPr="00075492">
        <w:t>e</w:t>
      </w:r>
      <w:r w:rsidRPr="00075492">
        <w:t>skrifter som inte längre bedömdes som relevanta. Under år 2001 har ver</w:t>
      </w:r>
      <w:r w:rsidRPr="00075492">
        <w:t>k</w:t>
      </w:r>
      <w:r w:rsidRPr="00075492">
        <w:t>samheten med att ta bort inaktuella regler varit vilande beroende på hög arbetsbelastning i samband med ordförandeskapet inom EU. Arbetet kommer att åte</w:t>
      </w:r>
      <w:r w:rsidRPr="00075492">
        <w:t>r</w:t>
      </w:r>
      <w:r w:rsidRPr="00075492">
        <w:t>upptas år 2002.</w:t>
      </w:r>
    </w:p>
    <w:p w:rsidR="00547E7E" w:rsidRPr="00075492" w:rsidRDefault="00547E7E">
      <w:pPr>
        <w:pStyle w:val="Normaltindrag"/>
      </w:pPr>
      <w:r w:rsidRPr="00075492">
        <w:t>Enligt Livsmedelsverket protesterar ofta företag i samband med att regler ska upphävas. Ofta anförs konkurrensneutralitet som ett motiv till att behålla en reglering. Det finns också exe</w:t>
      </w:r>
      <w:r w:rsidRPr="00075492">
        <w:t>mpel på att företag vill införa regleringar av samma skäl.</w:t>
      </w:r>
      <w:r w:rsidRPr="00075492">
        <w:rPr>
          <w:b/>
          <w:i/>
        </w:rPr>
        <w:t xml:space="preserve"> </w:t>
      </w:r>
      <w:r w:rsidRPr="00075492">
        <w:t>När Livsmedelsverket föreslog att en regel om första tillåtna dag för försäljning av surströmming skulle tas bort protesterade branschen. Företrädare för producenterna hävdade att regeln var nödvändig för att uppnå konkurrensneutralitet. Surströmming är mogen och ätfärdig vid olika ti</w:t>
      </w:r>
      <w:r w:rsidRPr="00075492">
        <w:t>d</w:t>
      </w:r>
      <w:r w:rsidRPr="00075492">
        <w:t>punkter efter Östersjökusten där den fångats. Inga livsmedelshygieniska skäl anfördes. Livsmedelsverket beslutade att up</w:t>
      </w:r>
      <w:r w:rsidRPr="00075492">
        <w:t>p</w:t>
      </w:r>
      <w:r w:rsidRPr="00075492">
        <w:t>häva regeln trots protester.</w:t>
      </w:r>
    </w:p>
    <w:p w:rsidR="00547E7E" w:rsidRPr="00075492" w:rsidRDefault="00547E7E">
      <w:pPr>
        <w:pStyle w:val="Normaltindrag"/>
      </w:pPr>
      <w:r w:rsidRPr="00075492">
        <w:t>År 1997 omfattade</w:t>
      </w:r>
      <w:r w:rsidRPr="00075492">
        <w:t xml:space="preserve"> föreskrifterna ca 1 500 sidor.</w:t>
      </w:r>
    </w:p>
    <w:p w:rsidR="00547E7E" w:rsidRPr="00075492" w:rsidRDefault="00547E7E">
      <w:pPr>
        <w:pStyle w:val="Normaltindrag"/>
      </w:pPr>
      <w:r w:rsidRPr="00075492">
        <w:t>Förändringen av antalet föreskrifter under de senaste åren framgår av t</w:t>
      </w:r>
      <w:r w:rsidRPr="00075492">
        <w:t>a</w:t>
      </w:r>
      <w:r w:rsidRPr="00075492">
        <w:t>bell 5.</w:t>
      </w:r>
    </w:p>
    <w:p w:rsidR="00547E7E" w:rsidRPr="00075492" w:rsidRDefault="00547E7E">
      <w:pPr>
        <w:pStyle w:val="Beskrivning"/>
      </w:pPr>
      <w:r w:rsidRPr="00075492">
        <w:t xml:space="preserve">Tabell </w:t>
      </w:r>
      <w:r w:rsidRPr="00075492">
        <w:t>5</w:t>
      </w:r>
      <w:r w:rsidRPr="00075492">
        <w:t xml:space="preserve">  Antal myndighetsföreskrifter inom livsmedelsområdet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075492">
        <w:tblPrEx>
          <w:tblCellMar>
            <w:top w:w="0" w:type="dxa"/>
            <w:bottom w:w="0" w:type="dxa"/>
          </w:tblCellMar>
        </w:tblPrEx>
        <w:trPr>
          <w:cantSplit/>
        </w:trPr>
        <w:tc>
          <w:tcPr>
            <w:tcW w:w="2012" w:type="dxa"/>
            <w:tcBorders>
              <w:bottom w:val="nil"/>
            </w:tcBorders>
            <w:shd w:val="pct20" w:color="auto" w:fill="FFFFFF"/>
          </w:tcPr>
          <w:p w:rsidR="00547E7E" w:rsidRPr="00075492" w:rsidRDefault="00547E7E">
            <w:pPr>
              <w:pStyle w:val="Normaltindrag"/>
              <w:ind w:firstLine="0"/>
              <w:jc w:val="left"/>
              <w:rPr>
                <w:b/>
              </w:rPr>
            </w:pPr>
            <w:r w:rsidRPr="00075492">
              <w:rPr>
                <w:b/>
              </w:rPr>
              <w:t>Område</w:t>
            </w:r>
          </w:p>
        </w:tc>
        <w:tc>
          <w:tcPr>
            <w:tcW w:w="4024" w:type="dxa"/>
            <w:gridSpan w:val="2"/>
            <w:shd w:val="pct20" w:color="auto" w:fill="FFFFFF"/>
          </w:tcPr>
          <w:p w:rsidR="00547E7E" w:rsidRPr="00075492" w:rsidRDefault="00547E7E">
            <w:pPr>
              <w:pStyle w:val="Normaltindrag"/>
              <w:ind w:firstLine="0"/>
              <w:jc w:val="center"/>
              <w:rPr>
                <w:b/>
              </w:rPr>
            </w:pPr>
            <w:r w:rsidRPr="00075492">
              <w:rPr>
                <w:b/>
              </w:rPr>
              <w:t>Antal</w:t>
            </w:r>
          </w:p>
        </w:tc>
      </w:tr>
      <w:tr w:rsidR="00000000" w:rsidRPr="00075492">
        <w:tblPrEx>
          <w:tblCellMar>
            <w:top w:w="0" w:type="dxa"/>
            <w:bottom w:w="0" w:type="dxa"/>
          </w:tblCellMar>
        </w:tblPrEx>
        <w:tc>
          <w:tcPr>
            <w:tcW w:w="2012" w:type="dxa"/>
            <w:tcBorders>
              <w:top w:val="nil"/>
            </w:tcBorders>
            <w:shd w:val="pct20" w:color="auto" w:fill="FFFFFF"/>
          </w:tcPr>
          <w:p w:rsidR="00547E7E" w:rsidRPr="00075492" w:rsidRDefault="00547E7E">
            <w:pPr>
              <w:pStyle w:val="Normaltindrag"/>
              <w:ind w:firstLine="0"/>
              <w:jc w:val="left"/>
              <w:rPr>
                <w:b/>
              </w:rPr>
            </w:pPr>
          </w:p>
        </w:tc>
        <w:tc>
          <w:tcPr>
            <w:tcW w:w="2012" w:type="dxa"/>
            <w:shd w:val="pct20" w:color="auto" w:fill="FFFFFF"/>
          </w:tcPr>
          <w:p w:rsidR="00547E7E" w:rsidRPr="00075492" w:rsidRDefault="00547E7E">
            <w:pPr>
              <w:pStyle w:val="Normaltindrag"/>
              <w:ind w:firstLine="0"/>
              <w:jc w:val="center"/>
              <w:rPr>
                <w:b/>
              </w:rPr>
            </w:pPr>
            <w:r w:rsidRPr="00075492">
              <w:rPr>
                <w:b/>
              </w:rPr>
              <w:t>1997</w:t>
            </w:r>
          </w:p>
        </w:tc>
        <w:tc>
          <w:tcPr>
            <w:tcW w:w="2012" w:type="dxa"/>
            <w:shd w:val="pct20" w:color="auto" w:fill="FFFFFF"/>
          </w:tcPr>
          <w:p w:rsidR="00547E7E" w:rsidRPr="00075492" w:rsidRDefault="00547E7E">
            <w:pPr>
              <w:pStyle w:val="Normaltindrag"/>
              <w:ind w:firstLine="0"/>
              <w:jc w:val="center"/>
              <w:rPr>
                <w:b/>
              </w:rPr>
            </w:pPr>
            <w:r w:rsidRPr="00075492">
              <w:rPr>
                <w:b/>
              </w:rPr>
              <w:t>2000</w:t>
            </w:r>
          </w:p>
        </w:tc>
      </w:tr>
      <w:tr w:rsidR="00000000" w:rsidRPr="00075492">
        <w:tblPrEx>
          <w:tblCellMar>
            <w:top w:w="0" w:type="dxa"/>
            <w:bottom w:w="0" w:type="dxa"/>
          </w:tblCellMar>
        </w:tblPrEx>
        <w:tc>
          <w:tcPr>
            <w:tcW w:w="2012" w:type="dxa"/>
          </w:tcPr>
          <w:p w:rsidR="00547E7E" w:rsidRPr="00075492" w:rsidRDefault="00547E7E">
            <w:pPr>
              <w:pStyle w:val="Normaltindrag"/>
              <w:ind w:firstLine="0"/>
              <w:jc w:val="left"/>
            </w:pPr>
            <w:r w:rsidRPr="00075492">
              <w:t>Tillsyn, undersö</w:t>
            </w:r>
            <w:r w:rsidRPr="00075492">
              <w:t>k</w:t>
            </w:r>
            <w:r w:rsidRPr="00075492">
              <w:t xml:space="preserve">ning </w:t>
            </w:r>
          </w:p>
        </w:tc>
        <w:tc>
          <w:tcPr>
            <w:tcW w:w="2012" w:type="dxa"/>
          </w:tcPr>
          <w:p w:rsidR="00547E7E" w:rsidRPr="00075492" w:rsidRDefault="00547E7E">
            <w:pPr>
              <w:pStyle w:val="Normaltindrag"/>
              <w:ind w:firstLine="0"/>
              <w:jc w:val="center"/>
            </w:pPr>
            <w:r w:rsidRPr="00075492">
              <w:t>20</w:t>
            </w:r>
          </w:p>
        </w:tc>
        <w:tc>
          <w:tcPr>
            <w:tcW w:w="2012" w:type="dxa"/>
          </w:tcPr>
          <w:p w:rsidR="00547E7E" w:rsidRPr="00075492" w:rsidRDefault="00547E7E">
            <w:pPr>
              <w:pStyle w:val="Normaltindrag"/>
              <w:ind w:firstLine="0"/>
              <w:jc w:val="center"/>
            </w:pPr>
            <w:r w:rsidRPr="00075492">
              <w:t>17</w:t>
            </w:r>
          </w:p>
        </w:tc>
      </w:tr>
      <w:tr w:rsidR="00000000" w:rsidRPr="00075492">
        <w:tblPrEx>
          <w:tblCellMar>
            <w:top w:w="0" w:type="dxa"/>
            <w:bottom w:w="0" w:type="dxa"/>
          </w:tblCellMar>
        </w:tblPrEx>
        <w:tc>
          <w:tcPr>
            <w:tcW w:w="2012" w:type="dxa"/>
          </w:tcPr>
          <w:p w:rsidR="00547E7E" w:rsidRPr="00075492" w:rsidRDefault="00547E7E">
            <w:pPr>
              <w:pStyle w:val="Normaltindrag"/>
              <w:ind w:firstLine="0"/>
              <w:jc w:val="left"/>
            </w:pPr>
            <w:r w:rsidRPr="00075492">
              <w:t>Hantering</w:t>
            </w:r>
          </w:p>
        </w:tc>
        <w:tc>
          <w:tcPr>
            <w:tcW w:w="2012" w:type="dxa"/>
          </w:tcPr>
          <w:p w:rsidR="00547E7E" w:rsidRPr="00075492" w:rsidRDefault="00547E7E">
            <w:pPr>
              <w:pStyle w:val="Normaltindrag"/>
              <w:ind w:firstLine="0"/>
              <w:jc w:val="center"/>
            </w:pPr>
            <w:r w:rsidRPr="00075492">
              <w:t>10</w:t>
            </w:r>
          </w:p>
        </w:tc>
        <w:tc>
          <w:tcPr>
            <w:tcW w:w="2012" w:type="dxa"/>
          </w:tcPr>
          <w:p w:rsidR="00547E7E" w:rsidRPr="00075492" w:rsidRDefault="00547E7E">
            <w:pPr>
              <w:pStyle w:val="Normaltindrag"/>
              <w:ind w:firstLine="0"/>
              <w:jc w:val="center"/>
            </w:pPr>
            <w:r w:rsidRPr="00075492">
              <w:t>12</w:t>
            </w:r>
          </w:p>
        </w:tc>
      </w:tr>
      <w:tr w:rsidR="00000000" w:rsidRPr="00075492">
        <w:tblPrEx>
          <w:tblCellMar>
            <w:top w:w="0" w:type="dxa"/>
            <w:bottom w:w="0" w:type="dxa"/>
          </w:tblCellMar>
        </w:tblPrEx>
        <w:tc>
          <w:tcPr>
            <w:tcW w:w="2012" w:type="dxa"/>
          </w:tcPr>
          <w:p w:rsidR="00547E7E" w:rsidRPr="00075492" w:rsidRDefault="00547E7E">
            <w:pPr>
              <w:pStyle w:val="Normaltindrag"/>
              <w:ind w:firstLine="0"/>
              <w:jc w:val="left"/>
            </w:pPr>
            <w:r w:rsidRPr="00075492">
              <w:t>Gränsvärden</w:t>
            </w:r>
          </w:p>
        </w:tc>
        <w:tc>
          <w:tcPr>
            <w:tcW w:w="2012" w:type="dxa"/>
          </w:tcPr>
          <w:p w:rsidR="00547E7E" w:rsidRPr="00075492" w:rsidRDefault="00547E7E">
            <w:pPr>
              <w:pStyle w:val="Normaltindrag"/>
              <w:ind w:firstLine="0"/>
              <w:jc w:val="center"/>
            </w:pPr>
            <w:r w:rsidRPr="00075492">
              <w:t>12</w:t>
            </w:r>
          </w:p>
        </w:tc>
        <w:tc>
          <w:tcPr>
            <w:tcW w:w="2012" w:type="dxa"/>
          </w:tcPr>
          <w:p w:rsidR="00547E7E" w:rsidRPr="00075492" w:rsidRDefault="00547E7E">
            <w:pPr>
              <w:pStyle w:val="Normaltindrag"/>
              <w:ind w:firstLine="0"/>
              <w:jc w:val="center"/>
            </w:pPr>
            <w:r w:rsidRPr="00075492">
              <w:t>8</w:t>
            </w:r>
          </w:p>
        </w:tc>
      </w:tr>
      <w:tr w:rsidR="00000000" w:rsidRPr="00075492">
        <w:tblPrEx>
          <w:tblCellMar>
            <w:top w:w="0" w:type="dxa"/>
            <w:bottom w:w="0" w:type="dxa"/>
          </w:tblCellMar>
        </w:tblPrEx>
        <w:tc>
          <w:tcPr>
            <w:tcW w:w="2012" w:type="dxa"/>
          </w:tcPr>
          <w:p w:rsidR="00547E7E" w:rsidRPr="00075492" w:rsidRDefault="00547E7E">
            <w:pPr>
              <w:pStyle w:val="Normaltindrag"/>
              <w:ind w:firstLine="0"/>
              <w:jc w:val="left"/>
            </w:pPr>
            <w:r w:rsidRPr="00075492">
              <w:t>Märkning</w:t>
            </w:r>
          </w:p>
        </w:tc>
        <w:tc>
          <w:tcPr>
            <w:tcW w:w="2012" w:type="dxa"/>
          </w:tcPr>
          <w:p w:rsidR="00547E7E" w:rsidRPr="00075492" w:rsidRDefault="00547E7E">
            <w:pPr>
              <w:pStyle w:val="Normaltindrag"/>
              <w:ind w:firstLine="0"/>
              <w:jc w:val="center"/>
            </w:pPr>
            <w:r w:rsidRPr="00075492">
              <w:t>5</w:t>
            </w:r>
          </w:p>
        </w:tc>
        <w:tc>
          <w:tcPr>
            <w:tcW w:w="2012" w:type="dxa"/>
          </w:tcPr>
          <w:p w:rsidR="00547E7E" w:rsidRPr="00075492" w:rsidRDefault="00547E7E">
            <w:pPr>
              <w:pStyle w:val="Normaltindrag"/>
              <w:ind w:firstLine="0"/>
              <w:jc w:val="center"/>
            </w:pPr>
            <w:r w:rsidRPr="00075492">
              <w:t>6</w:t>
            </w:r>
          </w:p>
        </w:tc>
      </w:tr>
      <w:tr w:rsidR="00000000" w:rsidRPr="00075492">
        <w:tblPrEx>
          <w:tblCellMar>
            <w:top w:w="0" w:type="dxa"/>
            <w:bottom w:w="0" w:type="dxa"/>
          </w:tblCellMar>
        </w:tblPrEx>
        <w:tc>
          <w:tcPr>
            <w:tcW w:w="2012" w:type="dxa"/>
          </w:tcPr>
          <w:p w:rsidR="00547E7E" w:rsidRPr="00075492" w:rsidRDefault="00547E7E">
            <w:pPr>
              <w:pStyle w:val="Normaltindrag"/>
              <w:ind w:firstLine="0"/>
              <w:jc w:val="left"/>
            </w:pPr>
            <w:r w:rsidRPr="00075492">
              <w:t>Animaliska produ</w:t>
            </w:r>
            <w:r w:rsidRPr="00075492">
              <w:t>k</w:t>
            </w:r>
            <w:r w:rsidRPr="00075492">
              <w:t>ter</w:t>
            </w:r>
          </w:p>
        </w:tc>
        <w:tc>
          <w:tcPr>
            <w:tcW w:w="2012" w:type="dxa"/>
          </w:tcPr>
          <w:p w:rsidR="00547E7E" w:rsidRPr="00075492" w:rsidRDefault="00547E7E">
            <w:pPr>
              <w:pStyle w:val="Normaltindrag"/>
              <w:ind w:firstLine="0"/>
              <w:jc w:val="center"/>
            </w:pPr>
            <w:r w:rsidRPr="00075492">
              <w:t>15</w:t>
            </w:r>
          </w:p>
        </w:tc>
        <w:tc>
          <w:tcPr>
            <w:tcW w:w="2012" w:type="dxa"/>
          </w:tcPr>
          <w:p w:rsidR="00547E7E" w:rsidRPr="00075492" w:rsidRDefault="00547E7E">
            <w:pPr>
              <w:pStyle w:val="Normaltindrag"/>
              <w:ind w:firstLine="0"/>
              <w:jc w:val="center"/>
            </w:pPr>
            <w:r w:rsidRPr="00075492">
              <w:t>16</w:t>
            </w:r>
          </w:p>
        </w:tc>
      </w:tr>
      <w:tr w:rsidR="00000000" w:rsidRPr="00075492">
        <w:tblPrEx>
          <w:tblCellMar>
            <w:top w:w="0" w:type="dxa"/>
            <w:bottom w:w="0" w:type="dxa"/>
          </w:tblCellMar>
        </w:tblPrEx>
        <w:tc>
          <w:tcPr>
            <w:tcW w:w="2012" w:type="dxa"/>
          </w:tcPr>
          <w:p w:rsidR="00547E7E" w:rsidRPr="00075492" w:rsidRDefault="00547E7E">
            <w:pPr>
              <w:pStyle w:val="Normaltindrag"/>
              <w:ind w:firstLine="0"/>
              <w:jc w:val="left"/>
            </w:pPr>
            <w:r w:rsidRPr="00075492">
              <w:t>Varustandarder</w:t>
            </w:r>
          </w:p>
        </w:tc>
        <w:tc>
          <w:tcPr>
            <w:tcW w:w="2012" w:type="dxa"/>
          </w:tcPr>
          <w:p w:rsidR="00547E7E" w:rsidRPr="00075492" w:rsidRDefault="00547E7E">
            <w:pPr>
              <w:pStyle w:val="Normaltindrag"/>
              <w:ind w:firstLine="0"/>
              <w:jc w:val="center"/>
            </w:pPr>
            <w:r w:rsidRPr="00075492">
              <w:t>25</w:t>
            </w:r>
          </w:p>
        </w:tc>
        <w:tc>
          <w:tcPr>
            <w:tcW w:w="2012" w:type="dxa"/>
          </w:tcPr>
          <w:p w:rsidR="00547E7E" w:rsidRPr="00075492" w:rsidRDefault="00547E7E">
            <w:pPr>
              <w:pStyle w:val="Normaltindrag"/>
              <w:ind w:firstLine="0"/>
              <w:jc w:val="center"/>
            </w:pPr>
            <w:r w:rsidRPr="00075492">
              <w:t>23</w:t>
            </w:r>
          </w:p>
        </w:tc>
      </w:tr>
      <w:tr w:rsidR="00000000" w:rsidRPr="00075492">
        <w:tblPrEx>
          <w:tblCellMar>
            <w:top w:w="0" w:type="dxa"/>
            <w:bottom w:w="0" w:type="dxa"/>
          </w:tblCellMar>
        </w:tblPrEx>
        <w:tc>
          <w:tcPr>
            <w:tcW w:w="2012" w:type="dxa"/>
          </w:tcPr>
          <w:p w:rsidR="00547E7E" w:rsidRPr="00075492" w:rsidRDefault="00547E7E">
            <w:pPr>
              <w:pStyle w:val="Normaltindrag"/>
              <w:ind w:firstLine="0"/>
              <w:jc w:val="left"/>
            </w:pPr>
            <w:r w:rsidRPr="00075492">
              <w:t>Avgifter</w:t>
            </w:r>
          </w:p>
        </w:tc>
        <w:tc>
          <w:tcPr>
            <w:tcW w:w="2012" w:type="dxa"/>
          </w:tcPr>
          <w:p w:rsidR="00547E7E" w:rsidRPr="00075492" w:rsidRDefault="00547E7E">
            <w:pPr>
              <w:pStyle w:val="Normaltindrag"/>
              <w:ind w:firstLine="0"/>
              <w:jc w:val="center"/>
            </w:pPr>
            <w:r w:rsidRPr="00075492">
              <w:t>4</w:t>
            </w:r>
          </w:p>
        </w:tc>
        <w:tc>
          <w:tcPr>
            <w:tcW w:w="2012" w:type="dxa"/>
          </w:tcPr>
          <w:p w:rsidR="00547E7E" w:rsidRPr="00075492" w:rsidRDefault="00547E7E">
            <w:pPr>
              <w:pStyle w:val="Normaltindrag"/>
              <w:ind w:firstLine="0"/>
              <w:jc w:val="center"/>
            </w:pPr>
            <w:r w:rsidRPr="00075492">
              <w:t>8</w:t>
            </w:r>
          </w:p>
        </w:tc>
      </w:tr>
      <w:tr w:rsidR="00000000" w:rsidRPr="00075492">
        <w:tblPrEx>
          <w:tblCellMar>
            <w:top w:w="0" w:type="dxa"/>
            <w:bottom w:w="0" w:type="dxa"/>
          </w:tblCellMar>
        </w:tblPrEx>
        <w:tc>
          <w:tcPr>
            <w:tcW w:w="2012" w:type="dxa"/>
            <w:tcBorders>
              <w:bottom w:val="nil"/>
            </w:tcBorders>
          </w:tcPr>
          <w:p w:rsidR="00547E7E" w:rsidRPr="00075492" w:rsidRDefault="00547E7E">
            <w:pPr>
              <w:pStyle w:val="Normaltindrag"/>
              <w:ind w:firstLine="0"/>
              <w:jc w:val="left"/>
            </w:pPr>
            <w:r w:rsidRPr="00075492">
              <w:t>Övrigt</w:t>
            </w:r>
          </w:p>
        </w:tc>
        <w:tc>
          <w:tcPr>
            <w:tcW w:w="2012" w:type="dxa"/>
            <w:tcBorders>
              <w:bottom w:val="nil"/>
            </w:tcBorders>
          </w:tcPr>
          <w:p w:rsidR="00547E7E" w:rsidRPr="00075492" w:rsidRDefault="00547E7E">
            <w:pPr>
              <w:pStyle w:val="Normaltindrag"/>
              <w:ind w:firstLine="0"/>
              <w:jc w:val="center"/>
            </w:pPr>
            <w:r w:rsidRPr="00075492">
              <w:t>10</w:t>
            </w:r>
          </w:p>
        </w:tc>
        <w:tc>
          <w:tcPr>
            <w:tcW w:w="2012" w:type="dxa"/>
            <w:tcBorders>
              <w:bottom w:val="nil"/>
            </w:tcBorders>
          </w:tcPr>
          <w:p w:rsidR="00547E7E" w:rsidRPr="00075492" w:rsidRDefault="00547E7E">
            <w:pPr>
              <w:pStyle w:val="Normaltindrag"/>
              <w:ind w:firstLine="0"/>
              <w:jc w:val="center"/>
            </w:pPr>
            <w:r w:rsidRPr="00075492">
              <w:t>12</w:t>
            </w:r>
          </w:p>
        </w:tc>
      </w:tr>
      <w:tr w:rsidR="00000000" w:rsidRPr="00075492">
        <w:tblPrEx>
          <w:tblCellMar>
            <w:top w:w="0" w:type="dxa"/>
            <w:bottom w:w="0" w:type="dxa"/>
          </w:tblCellMar>
        </w:tblPrEx>
        <w:tc>
          <w:tcPr>
            <w:tcW w:w="2012" w:type="dxa"/>
            <w:shd w:val="pct10" w:color="auto" w:fill="FFFFFF"/>
          </w:tcPr>
          <w:p w:rsidR="00547E7E" w:rsidRPr="00075492" w:rsidRDefault="00547E7E">
            <w:pPr>
              <w:pStyle w:val="Normaltindrag"/>
              <w:ind w:firstLine="0"/>
              <w:jc w:val="left"/>
              <w:rPr>
                <w:b/>
              </w:rPr>
            </w:pPr>
            <w:r w:rsidRPr="00075492">
              <w:rPr>
                <w:b/>
              </w:rPr>
              <w:t>Summa antal</w:t>
            </w:r>
          </w:p>
        </w:tc>
        <w:tc>
          <w:tcPr>
            <w:tcW w:w="2012" w:type="dxa"/>
            <w:shd w:val="pct10" w:color="auto" w:fill="FFFFFF"/>
          </w:tcPr>
          <w:p w:rsidR="00547E7E" w:rsidRPr="00075492" w:rsidRDefault="00547E7E">
            <w:pPr>
              <w:pStyle w:val="Normaltindrag"/>
              <w:ind w:firstLine="0"/>
              <w:jc w:val="center"/>
              <w:rPr>
                <w:b/>
              </w:rPr>
            </w:pPr>
            <w:r w:rsidRPr="00075492">
              <w:rPr>
                <w:b/>
              </w:rPr>
              <w:t>101</w:t>
            </w:r>
          </w:p>
        </w:tc>
        <w:tc>
          <w:tcPr>
            <w:tcW w:w="2012" w:type="dxa"/>
            <w:shd w:val="pct10" w:color="auto" w:fill="FFFFFF"/>
          </w:tcPr>
          <w:p w:rsidR="00547E7E" w:rsidRPr="00075492" w:rsidRDefault="00547E7E">
            <w:pPr>
              <w:pStyle w:val="Normaltindrag"/>
              <w:ind w:firstLine="0"/>
              <w:jc w:val="center"/>
              <w:rPr>
                <w:b/>
              </w:rPr>
            </w:pPr>
            <w:r w:rsidRPr="00075492">
              <w:rPr>
                <w:b/>
              </w:rPr>
              <w:t>102</w:t>
            </w:r>
          </w:p>
        </w:tc>
      </w:tr>
    </w:tbl>
    <w:p w:rsidR="00547E7E" w:rsidRPr="00075492" w:rsidRDefault="00547E7E">
      <w:pPr>
        <w:pStyle w:val="Normaltindrag"/>
      </w:pPr>
    </w:p>
    <w:p w:rsidR="00547E7E" w:rsidRPr="00075492" w:rsidRDefault="00547E7E">
      <w:pPr>
        <w:pStyle w:val="Tabell"/>
      </w:pPr>
      <w:r w:rsidRPr="00075492">
        <w:t>Källa: SOU 1989:61 och Livsmedelsverket</w:t>
      </w:r>
    </w:p>
    <w:p w:rsidR="00547E7E" w:rsidRPr="00075492" w:rsidRDefault="00547E7E">
      <w:r w:rsidRPr="00075492">
        <w:t>Av tabellen framgår att antalet föreskrifter är konstant, trots verkets arbete med att minska antalet föreskrifter. Enligt Livsmedelsverket beror detta på att huvuddelen av dessa regler är relaterade till EU:s lagstiftning. Under perioden 1997 - 2000 har ett fåtal nationella regler tillkommit. I de fall nya nationella regler införs måste den grundas på skyddet av konsumenternas hälsa. Ett sådant exempel är saluförbud av olivrestolja. Förbudet motiverades med att restoljan innehåller substanser som är cance</w:t>
      </w:r>
      <w:r w:rsidRPr="00075492">
        <w:t>rframka</w:t>
      </w:r>
      <w:r w:rsidRPr="00075492">
        <w:t>l</w:t>
      </w:r>
      <w:r w:rsidRPr="00075492">
        <w:t>lande.</w:t>
      </w:r>
    </w:p>
    <w:p w:rsidR="00547E7E" w:rsidRPr="00075492" w:rsidRDefault="00547E7E">
      <w:pPr>
        <w:pStyle w:val="Rubrik2"/>
      </w:pPr>
      <w:bookmarkStart w:id="345" w:name="_Toc532284494"/>
      <w:bookmarkStart w:id="346" w:name="_Toc532292060"/>
      <w:bookmarkStart w:id="347" w:name="_Toc84607"/>
      <w:bookmarkStart w:id="348" w:name="_Toc6634565"/>
      <w:bookmarkStart w:id="349" w:name="_Toc6637147"/>
      <w:r w:rsidRPr="00075492">
        <w:t>Ledning och samordning av den kommunala tillsynen</w:t>
      </w:r>
      <w:bookmarkEnd w:id="345"/>
      <w:bookmarkEnd w:id="346"/>
      <w:bookmarkEnd w:id="347"/>
      <w:bookmarkEnd w:id="348"/>
      <w:bookmarkEnd w:id="349"/>
    </w:p>
    <w:p w:rsidR="00547E7E" w:rsidRPr="00075492" w:rsidRDefault="00547E7E">
      <w:pPr>
        <w:pStyle w:val="Rubrik3"/>
      </w:pPr>
      <w:bookmarkStart w:id="350" w:name="_Toc532284495"/>
      <w:bookmarkStart w:id="351" w:name="_Toc532292061"/>
      <w:bookmarkStart w:id="352" w:name="_Toc84608"/>
      <w:bookmarkStart w:id="353" w:name="_Toc6634566"/>
      <w:bookmarkStart w:id="354" w:name="_Toc6637148"/>
      <w:r w:rsidRPr="00075492">
        <w:t>Instrument</w:t>
      </w:r>
      <w:bookmarkEnd w:id="350"/>
      <w:bookmarkEnd w:id="351"/>
      <w:bookmarkEnd w:id="352"/>
      <w:bookmarkEnd w:id="353"/>
      <w:bookmarkEnd w:id="354"/>
    </w:p>
    <w:p w:rsidR="00547E7E" w:rsidRPr="00075492" w:rsidRDefault="00547E7E">
      <w:r w:rsidRPr="00075492">
        <w:t>De instrument som Livsmedelsverket använder för att leda och samordna den kommunala tillsynsverksamheten är främst information, kommunb</w:t>
      </w:r>
      <w:r w:rsidRPr="00075492">
        <w:t>e</w:t>
      </w:r>
      <w:r w:rsidRPr="00075492">
        <w:t>sök/kommuninspektioner, möten, utbildning och normerande inspektioner.</w:t>
      </w:r>
    </w:p>
    <w:p w:rsidR="00547E7E" w:rsidRPr="00075492" w:rsidRDefault="00547E7E">
      <w:pPr>
        <w:pStyle w:val="Normaltindrag"/>
      </w:pPr>
      <w:r w:rsidRPr="00075492">
        <w:t>Livsmedelsverkets uppföljning av den kommunala tillsynen sker genom normerande inspektioner, kommunbesök och årlig rapportering från komm</w:t>
      </w:r>
      <w:r w:rsidRPr="00075492">
        <w:t>u</w:t>
      </w:r>
      <w:r w:rsidRPr="00075492">
        <w:t>nerna. Enligt Livsmedelsverket är syftet med uppföljningen dels att rapport</w:t>
      </w:r>
      <w:r w:rsidRPr="00075492">
        <w:t>e</w:t>
      </w:r>
      <w:r w:rsidRPr="00075492">
        <w:t>ra till regeringen hur tillsynen i landet fungerar, dels att få kunskap om pr</w:t>
      </w:r>
      <w:r w:rsidRPr="00075492">
        <w:t>o</w:t>
      </w:r>
      <w:r w:rsidRPr="00075492">
        <w:t>blemområden för att kunna stödja kommunerna. Underlaget ger också Liv</w:t>
      </w:r>
      <w:r w:rsidRPr="00075492">
        <w:t>s</w:t>
      </w:r>
      <w:r w:rsidRPr="00075492">
        <w:t>medelsverket möjlighet att vidta åtgärder mot uppmärksammade brister i den lokala tillsynen.</w:t>
      </w:r>
    </w:p>
    <w:p w:rsidR="00547E7E" w:rsidRPr="00075492" w:rsidRDefault="00547E7E">
      <w:pPr>
        <w:pStyle w:val="Normaltindrag"/>
      </w:pPr>
      <w:r w:rsidRPr="00075492">
        <w:t>Vid Livsmedelsverkets tillsynsavdelning finns fem kontaktpersoner för den kommunala tillsynsverksamheten. Två av dessa har en regional place</w:t>
      </w:r>
      <w:r w:rsidRPr="00075492">
        <w:t>r</w:t>
      </w:r>
      <w:r w:rsidRPr="00075492">
        <w:t>ing. Kontaktpersonernas uppgifter är främst att genomföra kommuninspe</w:t>
      </w:r>
      <w:r w:rsidRPr="00075492">
        <w:t>k</w:t>
      </w:r>
      <w:r w:rsidRPr="00075492">
        <w:t>tionerna och delta i länsmöten.</w:t>
      </w:r>
    </w:p>
    <w:p w:rsidR="00547E7E" w:rsidRPr="00075492" w:rsidRDefault="00547E7E">
      <w:pPr>
        <w:pStyle w:val="Rubrik3"/>
      </w:pPr>
      <w:bookmarkStart w:id="355" w:name="_Toc532284496"/>
      <w:bookmarkStart w:id="356" w:name="_Toc532292062"/>
      <w:bookmarkStart w:id="357" w:name="_Toc84609"/>
      <w:bookmarkStart w:id="358" w:name="_Toc6634567"/>
      <w:bookmarkStart w:id="359" w:name="_Toc6637149"/>
      <w:r w:rsidRPr="00075492">
        <w:t>Information och vägledning</w:t>
      </w:r>
      <w:bookmarkEnd w:id="355"/>
      <w:bookmarkEnd w:id="356"/>
      <w:bookmarkEnd w:id="357"/>
      <w:bookmarkEnd w:id="358"/>
      <w:bookmarkEnd w:id="359"/>
    </w:p>
    <w:p w:rsidR="00547E7E" w:rsidRPr="00075492" w:rsidRDefault="00547E7E">
      <w:r w:rsidRPr="00075492">
        <w:t>Tidskriften Livstecknet är en nyhetstidning som numera publiceras på ve</w:t>
      </w:r>
      <w:r w:rsidRPr="00075492">
        <w:t>r</w:t>
      </w:r>
      <w:r w:rsidRPr="00075492">
        <w:t xml:space="preserve">kets webbplats. Den startades under 1980-talet med syfte att utgöra ett stöd till de lokala tillsynsmyndigheterna. </w:t>
      </w:r>
    </w:p>
    <w:p w:rsidR="00547E7E" w:rsidRPr="00075492" w:rsidRDefault="00547E7E">
      <w:pPr>
        <w:pStyle w:val="Normaltindrag"/>
      </w:pPr>
      <w:r w:rsidRPr="00075492">
        <w:t>Vägledning till kommuner och företag finns i form av ett kunskapspaket som kallas ABC för livsmedelstillsyn. Vägledningen finns på verkets web</w:t>
      </w:r>
      <w:r w:rsidRPr="00075492">
        <w:t>b</w:t>
      </w:r>
      <w:r w:rsidRPr="00075492">
        <w:t>plats. En översyn av vägledningen har g</w:t>
      </w:r>
      <w:r w:rsidRPr="00075492">
        <w:t>e</w:t>
      </w:r>
      <w:r w:rsidRPr="00075492">
        <w:t xml:space="preserve">nomförts under år 2001. </w:t>
      </w:r>
    </w:p>
    <w:p w:rsidR="00547E7E" w:rsidRPr="00075492" w:rsidRDefault="00547E7E">
      <w:pPr>
        <w:pStyle w:val="Rubrik3"/>
      </w:pPr>
      <w:bookmarkStart w:id="360" w:name="_Toc532284497"/>
      <w:bookmarkStart w:id="361" w:name="_Toc532292063"/>
      <w:bookmarkStart w:id="362" w:name="_Toc84610"/>
      <w:bookmarkStart w:id="363" w:name="_Toc6634568"/>
      <w:bookmarkStart w:id="364" w:name="_Toc6637150"/>
      <w:r w:rsidRPr="00075492">
        <w:t>Länsmöten</w:t>
      </w:r>
      <w:bookmarkEnd w:id="360"/>
      <w:bookmarkEnd w:id="361"/>
      <w:bookmarkEnd w:id="362"/>
      <w:bookmarkEnd w:id="363"/>
      <w:bookmarkEnd w:id="364"/>
    </w:p>
    <w:p w:rsidR="00547E7E" w:rsidRPr="00075492" w:rsidRDefault="00547E7E">
      <w:r w:rsidRPr="00075492">
        <w:t>Representanter för tillsynsmyndigheterna träffas ca två gånger per år i varje län. Vid träffarna deltar kommunala inspektörer, länsveterinären och Liv</w:t>
      </w:r>
      <w:r w:rsidRPr="00075492">
        <w:t>s</w:t>
      </w:r>
      <w:r w:rsidRPr="00075492">
        <w:t>medelsverkets representanter. Livsmedelsverket förmedlar aktuell inform</w:t>
      </w:r>
      <w:r w:rsidRPr="00075492">
        <w:t>a</w:t>
      </w:r>
      <w:r w:rsidRPr="00075492">
        <w:t>tion och lämnar förslag till projekt eller ger stöd i projektarbetet. Vissa pr</w:t>
      </w:r>
      <w:r w:rsidRPr="00075492">
        <w:t>o</w:t>
      </w:r>
      <w:r w:rsidRPr="00075492">
        <w:t>jekt planeras och drivs själ</w:t>
      </w:r>
      <w:r w:rsidRPr="00075492">
        <w:t>v</w:t>
      </w:r>
      <w:r w:rsidRPr="00075492">
        <w:t>ständigt av kommunerna.</w:t>
      </w:r>
    </w:p>
    <w:p w:rsidR="00547E7E" w:rsidRPr="00075492" w:rsidRDefault="00547E7E">
      <w:pPr>
        <w:pStyle w:val="Rubrik3"/>
      </w:pPr>
      <w:bookmarkStart w:id="365" w:name="_Toc532284498"/>
      <w:bookmarkStart w:id="366" w:name="_Toc532292064"/>
      <w:bookmarkStart w:id="367" w:name="_Toc84611"/>
      <w:bookmarkStart w:id="368" w:name="_Toc6634569"/>
      <w:bookmarkStart w:id="369" w:name="_Toc6637151"/>
      <w:r w:rsidRPr="00075492">
        <w:t>Utbildning</w:t>
      </w:r>
      <w:bookmarkEnd w:id="365"/>
      <w:bookmarkEnd w:id="366"/>
      <w:bookmarkEnd w:id="367"/>
      <w:bookmarkEnd w:id="368"/>
      <w:bookmarkEnd w:id="369"/>
    </w:p>
    <w:p w:rsidR="00547E7E" w:rsidRPr="00075492" w:rsidRDefault="00547E7E">
      <w:r w:rsidRPr="00075492">
        <w:t>Livsmedelsverket genomför utbildning av kommunala inspektörer och pol</w:t>
      </w:r>
      <w:r w:rsidRPr="00075492">
        <w:t>i</w:t>
      </w:r>
      <w:r w:rsidRPr="00075492">
        <w:t>tiker. Utbildningarna omfattar ämnen som tillsynsmetodik, tillsyn av indust</w:t>
      </w:r>
      <w:r w:rsidRPr="00075492">
        <w:t>i</w:t>
      </w:r>
      <w:r w:rsidRPr="00075492">
        <w:t>ella anläggningar, livsmedelsjuridik, mikrobiologi, dricksvattenplanering samt livsmedelsteknik inom olika omr</w:t>
      </w:r>
      <w:r w:rsidRPr="00075492">
        <w:t>å</w:t>
      </w:r>
      <w:r w:rsidRPr="00075492">
        <w:t>den.</w:t>
      </w:r>
    </w:p>
    <w:p w:rsidR="00547E7E" w:rsidRPr="00075492" w:rsidRDefault="00547E7E">
      <w:pPr>
        <w:pStyle w:val="Normaltindrag"/>
      </w:pPr>
      <w:r w:rsidRPr="00075492">
        <w:t xml:space="preserve">Livsmedelsverket tar ut en låg kursavgift från deltagarna. Merparten av kommunernas kostnader är resor och logi. </w:t>
      </w:r>
    </w:p>
    <w:p w:rsidR="00547E7E" w:rsidRPr="00075492" w:rsidRDefault="00547E7E">
      <w:pPr>
        <w:pStyle w:val="Rubrik3"/>
      </w:pPr>
      <w:bookmarkStart w:id="370" w:name="_Toc532284499"/>
      <w:bookmarkStart w:id="371" w:name="_Toc532292065"/>
      <w:bookmarkStart w:id="372" w:name="_Toc84612"/>
      <w:bookmarkStart w:id="373" w:name="_Toc6634570"/>
      <w:bookmarkStart w:id="374" w:name="_Toc6637152"/>
      <w:r w:rsidRPr="00075492">
        <w:t>Normerande inspektioner</w:t>
      </w:r>
      <w:bookmarkEnd w:id="370"/>
      <w:bookmarkEnd w:id="371"/>
      <w:bookmarkEnd w:id="372"/>
      <w:bookmarkEnd w:id="373"/>
      <w:bookmarkEnd w:id="374"/>
    </w:p>
    <w:p w:rsidR="00547E7E" w:rsidRPr="00075492" w:rsidRDefault="00547E7E">
      <w:r w:rsidRPr="00075492">
        <w:t>Med stöd av livsmedelsförordningen (46 a §) har Livsmedelsverket rätt att inspektera anläggningar som står under kommunal tillsyn, s.k. normerande inspektioner. Vid sådana inspektioner följer verket upp förhållanden vid företaget och kommunens tillsynsaktiviteter. Om Livsmedelsverkets inspe</w:t>
      </w:r>
      <w:r w:rsidRPr="00075492">
        <w:t>k</w:t>
      </w:r>
      <w:r w:rsidRPr="00075492">
        <w:t>tör anser att det finns missförhållanden i den kommunala tillsynen meddelas detta till ko</w:t>
      </w:r>
      <w:r w:rsidRPr="00075492">
        <w:t>m</w:t>
      </w:r>
      <w:r w:rsidRPr="00075492">
        <w:t xml:space="preserve">munen och krav ställs på förbättringar. </w:t>
      </w:r>
    </w:p>
    <w:p w:rsidR="00547E7E" w:rsidRPr="00075492" w:rsidRDefault="00547E7E">
      <w:pPr>
        <w:pStyle w:val="Rubrik3"/>
      </w:pPr>
      <w:bookmarkStart w:id="375" w:name="_Toc532284500"/>
      <w:bookmarkStart w:id="376" w:name="_Toc532292066"/>
      <w:bookmarkStart w:id="377" w:name="_Toc84613"/>
      <w:bookmarkStart w:id="378" w:name="_Toc6634571"/>
      <w:bookmarkStart w:id="379" w:name="_Toc6637153"/>
      <w:r w:rsidRPr="00075492">
        <w:t>Kommunbesök/kommuninspektioner</w:t>
      </w:r>
      <w:bookmarkEnd w:id="375"/>
      <w:bookmarkEnd w:id="376"/>
      <w:bookmarkEnd w:id="377"/>
      <w:bookmarkEnd w:id="378"/>
      <w:bookmarkEnd w:id="379"/>
    </w:p>
    <w:p w:rsidR="00547E7E" w:rsidRPr="00075492" w:rsidRDefault="00547E7E">
      <w:r w:rsidRPr="00075492">
        <w:t xml:space="preserve">Livsmedelsverket genomför kommunbesök/kommuninspektioner för att stödja och påverka kommunerna i deras arbete med livsmedelstillsyn. Syftet är dels att informera politiker om betydelsen av en god livsmedelstillsyn, dels att inhämta information om hur tillsynen bedrivs och fungerar. </w:t>
      </w:r>
    </w:p>
    <w:p w:rsidR="00547E7E" w:rsidRPr="00075492" w:rsidRDefault="00547E7E">
      <w:pPr>
        <w:pStyle w:val="Normaltindrag"/>
      </w:pPr>
      <w:r w:rsidRPr="00075492">
        <w:t>Under år 2001 har kommunbesöken bytt namn till kommuninspektioner. Inspektionerna innebär att verksamheten tydligt ska följas upp gentemot föreskrivna krav eller kända rekommendationer. Vanligtvis utförs även en normerande inspektion samtidigt. Resultatet av en kommuninspektion d</w:t>
      </w:r>
      <w:r w:rsidRPr="00075492">
        <w:t>o</w:t>
      </w:r>
      <w:r w:rsidRPr="00075492">
        <w:t>kumenteras i protokoll som sänds till kommunen.</w:t>
      </w:r>
    </w:p>
    <w:p w:rsidR="00547E7E" w:rsidRPr="00075492" w:rsidRDefault="00547E7E">
      <w:pPr>
        <w:pStyle w:val="Normaltindrag"/>
      </w:pPr>
      <w:r w:rsidRPr="00075492">
        <w:t>Vid konstaterade brister begärs en åtgärdsplan. Livsmedelsverket överv</w:t>
      </w:r>
      <w:r w:rsidRPr="00075492">
        <w:t>ä</w:t>
      </w:r>
      <w:r w:rsidRPr="00075492">
        <w:t xml:space="preserve">ger att offentliggöra resultatet på webbplatsen. </w:t>
      </w:r>
    </w:p>
    <w:p w:rsidR="00547E7E" w:rsidRPr="00075492" w:rsidRDefault="00547E7E">
      <w:pPr>
        <w:pStyle w:val="Rubrik3"/>
      </w:pPr>
      <w:bookmarkStart w:id="380" w:name="_Toc532284501"/>
      <w:bookmarkStart w:id="381" w:name="_Toc532292067"/>
      <w:bookmarkStart w:id="382" w:name="_Toc84614"/>
      <w:bookmarkStart w:id="383" w:name="_Toc6634572"/>
      <w:bookmarkStart w:id="384" w:name="_Toc6637154"/>
      <w:r w:rsidRPr="00075492">
        <w:t>Genomförda åtgärder för ledning och samordning av den kommunala tillsynsverksamheten</w:t>
      </w:r>
      <w:bookmarkEnd w:id="380"/>
      <w:bookmarkEnd w:id="381"/>
      <w:bookmarkEnd w:id="382"/>
      <w:bookmarkEnd w:id="383"/>
      <w:bookmarkEnd w:id="384"/>
    </w:p>
    <w:p w:rsidR="00547E7E" w:rsidRPr="00075492" w:rsidRDefault="00547E7E">
      <w:r w:rsidRPr="00075492">
        <w:t>I Livsmedelsverkets årsredovisningar lämnas vissa uppgifter om verkets insatser för ledning och samordning av den kommunala tillsynsverksamh</w:t>
      </w:r>
      <w:r w:rsidRPr="00075492">
        <w:t>e</w:t>
      </w:r>
      <w:r w:rsidRPr="00075492">
        <w:t>ten. I tabell 6 redovisas antalet möten och i</w:t>
      </w:r>
      <w:r w:rsidRPr="00075492">
        <w:t>n</w:t>
      </w:r>
      <w:r w:rsidRPr="00075492">
        <w:t xml:space="preserve">spektioner. </w:t>
      </w:r>
    </w:p>
    <w:p w:rsidR="00547E7E" w:rsidRPr="00075492" w:rsidRDefault="00547E7E">
      <w:pPr>
        <w:pStyle w:val="Beskrivning"/>
      </w:pPr>
      <w:r w:rsidRPr="00075492">
        <w:t xml:space="preserve">Tabell </w:t>
      </w:r>
      <w:r w:rsidRPr="00075492">
        <w:t>6</w:t>
      </w:r>
      <w:r w:rsidRPr="00075492">
        <w:t xml:space="preserve"> Livsmedelsverkets åtgärder för ledning och samordning av den kommunala tillsynen, åren 1993/94–2000. Antalet möten och inspekti</w:t>
      </w:r>
      <w:r w:rsidRPr="00075492">
        <w:t>o</w:t>
      </w:r>
      <w:r w:rsidRPr="00075492">
        <w:t xml:space="preserve">ner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24"/>
        <w:gridCol w:w="624"/>
        <w:gridCol w:w="624"/>
        <w:gridCol w:w="624"/>
        <w:gridCol w:w="624"/>
        <w:gridCol w:w="624"/>
        <w:gridCol w:w="624"/>
      </w:tblGrid>
      <w:tr w:rsidR="00000000" w:rsidRPr="00075492">
        <w:tblPrEx>
          <w:tblCellMar>
            <w:top w:w="0" w:type="dxa"/>
            <w:bottom w:w="0" w:type="dxa"/>
          </w:tblCellMar>
        </w:tblPrEx>
        <w:tc>
          <w:tcPr>
            <w:tcW w:w="1630" w:type="dxa"/>
            <w:shd w:val="pct20" w:color="auto" w:fill="FFFFFF"/>
            <w:vAlign w:val="center"/>
          </w:tcPr>
          <w:p w:rsidR="00547E7E" w:rsidRPr="00075492" w:rsidRDefault="00547E7E">
            <w:pPr>
              <w:pStyle w:val="Tabell"/>
              <w:ind w:right="-70"/>
            </w:pPr>
          </w:p>
        </w:tc>
        <w:tc>
          <w:tcPr>
            <w:tcW w:w="624" w:type="dxa"/>
            <w:shd w:val="pct20" w:color="auto" w:fill="FFFFFF"/>
            <w:vAlign w:val="center"/>
          </w:tcPr>
          <w:p w:rsidR="00547E7E" w:rsidRPr="00075492" w:rsidRDefault="00547E7E">
            <w:pPr>
              <w:pStyle w:val="Tabell"/>
              <w:ind w:right="-13"/>
              <w:jc w:val="center"/>
              <w:rPr>
                <w:b/>
              </w:rPr>
            </w:pPr>
            <w:r w:rsidRPr="00075492">
              <w:rPr>
                <w:b/>
              </w:rPr>
              <w:t>93/94</w:t>
            </w:r>
          </w:p>
        </w:tc>
        <w:tc>
          <w:tcPr>
            <w:tcW w:w="624" w:type="dxa"/>
            <w:shd w:val="pct20" w:color="auto" w:fill="FFFFFF"/>
            <w:vAlign w:val="center"/>
          </w:tcPr>
          <w:p w:rsidR="00547E7E" w:rsidRPr="00075492" w:rsidRDefault="00547E7E">
            <w:pPr>
              <w:pStyle w:val="Tabell"/>
              <w:ind w:right="-13"/>
              <w:jc w:val="center"/>
              <w:rPr>
                <w:b/>
              </w:rPr>
            </w:pPr>
            <w:r w:rsidRPr="00075492">
              <w:rPr>
                <w:b/>
              </w:rPr>
              <w:t>94/95</w:t>
            </w:r>
          </w:p>
        </w:tc>
        <w:tc>
          <w:tcPr>
            <w:tcW w:w="624" w:type="dxa"/>
            <w:shd w:val="pct20" w:color="auto" w:fill="FFFFFF"/>
            <w:vAlign w:val="center"/>
          </w:tcPr>
          <w:p w:rsidR="00547E7E" w:rsidRPr="00075492" w:rsidRDefault="00547E7E">
            <w:pPr>
              <w:pStyle w:val="Tabell"/>
              <w:ind w:right="-13"/>
              <w:jc w:val="center"/>
              <w:rPr>
                <w:b/>
              </w:rPr>
            </w:pPr>
            <w:r w:rsidRPr="00075492">
              <w:rPr>
                <w:b/>
              </w:rPr>
              <w:t>95/96</w:t>
            </w:r>
          </w:p>
        </w:tc>
        <w:tc>
          <w:tcPr>
            <w:tcW w:w="624" w:type="dxa"/>
            <w:shd w:val="pct20" w:color="auto" w:fill="FFFFFF"/>
            <w:vAlign w:val="center"/>
          </w:tcPr>
          <w:p w:rsidR="00547E7E" w:rsidRPr="00075492" w:rsidRDefault="00547E7E">
            <w:pPr>
              <w:pStyle w:val="Tabell"/>
              <w:ind w:right="-13"/>
              <w:jc w:val="center"/>
              <w:rPr>
                <w:b/>
              </w:rPr>
            </w:pPr>
            <w:r w:rsidRPr="00075492">
              <w:rPr>
                <w:b/>
              </w:rPr>
              <w:t>1997</w:t>
            </w:r>
          </w:p>
        </w:tc>
        <w:tc>
          <w:tcPr>
            <w:tcW w:w="624" w:type="dxa"/>
            <w:shd w:val="pct20" w:color="auto" w:fill="FFFFFF"/>
            <w:vAlign w:val="center"/>
          </w:tcPr>
          <w:p w:rsidR="00547E7E" w:rsidRPr="00075492" w:rsidRDefault="00547E7E">
            <w:pPr>
              <w:pStyle w:val="Tabell"/>
              <w:ind w:right="-13"/>
              <w:jc w:val="center"/>
              <w:rPr>
                <w:b/>
              </w:rPr>
            </w:pPr>
            <w:r w:rsidRPr="00075492">
              <w:rPr>
                <w:b/>
              </w:rPr>
              <w:t>1998</w:t>
            </w:r>
          </w:p>
        </w:tc>
        <w:tc>
          <w:tcPr>
            <w:tcW w:w="624" w:type="dxa"/>
            <w:shd w:val="pct20" w:color="auto" w:fill="FFFFFF"/>
            <w:vAlign w:val="center"/>
          </w:tcPr>
          <w:p w:rsidR="00547E7E" w:rsidRPr="00075492" w:rsidRDefault="00547E7E">
            <w:pPr>
              <w:pStyle w:val="Tabell"/>
              <w:ind w:right="-13"/>
              <w:jc w:val="center"/>
              <w:rPr>
                <w:b/>
              </w:rPr>
            </w:pPr>
            <w:r w:rsidRPr="00075492">
              <w:rPr>
                <w:b/>
              </w:rPr>
              <w:t>1999</w:t>
            </w:r>
          </w:p>
        </w:tc>
        <w:tc>
          <w:tcPr>
            <w:tcW w:w="624" w:type="dxa"/>
            <w:tcBorders>
              <w:bottom w:val="single" w:sz="4" w:space="0" w:color="auto"/>
              <w:right w:val="single" w:sz="18" w:space="0" w:color="auto"/>
            </w:tcBorders>
            <w:shd w:val="pct20" w:color="auto" w:fill="FFFFFF"/>
            <w:vAlign w:val="center"/>
          </w:tcPr>
          <w:p w:rsidR="00547E7E" w:rsidRPr="00075492" w:rsidRDefault="00547E7E">
            <w:pPr>
              <w:pStyle w:val="Tabell"/>
              <w:ind w:right="-13"/>
              <w:jc w:val="center"/>
              <w:rPr>
                <w:b/>
              </w:rPr>
            </w:pPr>
            <w:r w:rsidRPr="00075492">
              <w:rPr>
                <w:b/>
              </w:rPr>
              <w:t>2000</w:t>
            </w: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pPr>
            <w:r w:rsidRPr="00075492">
              <w:t>Möten om projekti</w:t>
            </w:r>
            <w:r w:rsidRPr="00075492">
              <w:t>n</w:t>
            </w:r>
            <w:r w:rsidRPr="00075492">
              <w:t xml:space="preserve">riktade kontroller (PIK) </w:t>
            </w:r>
          </w:p>
        </w:tc>
        <w:tc>
          <w:tcPr>
            <w:tcW w:w="624" w:type="dxa"/>
            <w:vAlign w:val="center"/>
          </w:tcPr>
          <w:p w:rsidR="00547E7E" w:rsidRPr="00075492" w:rsidRDefault="00547E7E">
            <w:pPr>
              <w:pStyle w:val="Tabell"/>
              <w:ind w:right="-13"/>
              <w:jc w:val="center"/>
            </w:pPr>
            <w:r w:rsidRPr="00075492">
              <w:t>74</w:t>
            </w:r>
          </w:p>
        </w:tc>
        <w:tc>
          <w:tcPr>
            <w:tcW w:w="624" w:type="dxa"/>
            <w:vAlign w:val="center"/>
          </w:tcPr>
          <w:p w:rsidR="00547E7E" w:rsidRPr="00075492" w:rsidRDefault="00547E7E">
            <w:pPr>
              <w:pStyle w:val="Tabell"/>
              <w:ind w:right="-13"/>
              <w:jc w:val="center"/>
            </w:pPr>
            <w:r w:rsidRPr="00075492">
              <w:t>39</w:t>
            </w:r>
          </w:p>
        </w:tc>
        <w:tc>
          <w:tcPr>
            <w:tcW w:w="624" w:type="dxa"/>
            <w:vAlign w:val="center"/>
          </w:tcPr>
          <w:p w:rsidR="00547E7E" w:rsidRPr="00075492" w:rsidRDefault="00547E7E">
            <w:pPr>
              <w:pStyle w:val="Tabell"/>
              <w:ind w:right="-13"/>
              <w:jc w:val="center"/>
            </w:pPr>
            <w:r w:rsidRPr="00075492">
              <w:t>78</w:t>
            </w:r>
          </w:p>
        </w:tc>
        <w:tc>
          <w:tcPr>
            <w:tcW w:w="624" w:type="dxa"/>
            <w:vAlign w:val="center"/>
          </w:tcPr>
          <w:p w:rsidR="00547E7E" w:rsidRPr="00075492" w:rsidRDefault="00547E7E">
            <w:pPr>
              <w:pStyle w:val="Tabell"/>
              <w:ind w:right="-13"/>
              <w:jc w:val="center"/>
            </w:pPr>
            <w:r w:rsidRPr="00075492">
              <w:t>60</w:t>
            </w: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tcBorders>
              <w:top w:val="nil"/>
              <w:right w:val="single" w:sz="18" w:space="0" w:color="auto"/>
            </w:tcBorders>
            <w:vAlign w:val="center"/>
          </w:tcPr>
          <w:p w:rsidR="00547E7E" w:rsidRPr="00075492" w:rsidRDefault="00547E7E">
            <w:pPr>
              <w:pStyle w:val="Tabell"/>
              <w:ind w:right="-13"/>
              <w:jc w:val="center"/>
            </w:pP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pPr>
            <w:r w:rsidRPr="00075492">
              <w:t>Informationsmöten</w:t>
            </w:r>
          </w:p>
          <w:p w:rsidR="00547E7E" w:rsidRPr="00075492" w:rsidRDefault="00547E7E">
            <w:pPr>
              <w:pStyle w:val="Tabell"/>
              <w:ind w:right="-70"/>
              <w:jc w:val="left"/>
            </w:pPr>
          </w:p>
        </w:tc>
        <w:tc>
          <w:tcPr>
            <w:tcW w:w="624" w:type="dxa"/>
            <w:vAlign w:val="center"/>
          </w:tcPr>
          <w:p w:rsidR="00547E7E" w:rsidRPr="00075492" w:rsidRDefault="00547E7E">
            <w:pPr>
              <w:pStyle w:val="Tabell"/>
              <w:ind w:right="-13"/>
              <w:jc w:val="center"/>
            </w:pPr>
            <w:r w:rsidRPr="00075492">
              <w:t>46</w:t>
            </w: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tcBorders>
              <w:right w:val="single" w:sz="18" w:space="0" w:color="auto"/>
            </w:tcBorders>
            <w:vAlign w:val="center"/>
          </w:tcPr>
          <w:p w:rsidR="00547E7E" w:rsidRPr="00075492" w:rsidRDefault="00547E7E">
            <w:pPr>
              <w:pStyle w:val="Tabell"/>
              <w:ind w:right="-13"/>
              <w:jc w:val="center"/>
            </w:pP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pPr>
            <w:r w:rsidRPr="00075492">
              <w:t>Branschv</w:t>
            </w:r>
            <w:r w:rsidRPr="00075492">
              <w:t>i</w:t>
            </w:r>
            <w:r w:rsidRPr="00075492">
              <w:t>sa/råd-givande i</w:t>
            </w:r>
            <w:r w:rsidRPr="00075492">
              <w:t>n</w:t>
            </w:r>
            <w:r w:rsidRPr="00075492">
              <w:t>spektioner</w:t>
            </w:r>
          </w:p>
        </w:tc>
        <w:tc>
          <w:tcPr>
            <w:tcW w:w="624" w:type="dxa"/>
            <w:vAlign w:val="center"/>
          </w:tcPr>
          <w:p w:rsidR="00547E7E" w:rsidRPr="00075492" w:rsidRDefault="00547E7E">
            <w:pPr>
              <w:pStyle w:val="Tabell"/>
              <w:ind w:right="-13"/>
              <w:jc w:val="center"/>
            </w:pPr>
            <w:r w:rsidRPr="00075492">
              <w:t>160</w:t>
            </w:r>
          </w:p>
        </w:tc>
        <w:tc>
          <w:tcPr>
            <w:tcW w:w="624" w:type="dxa"/>
            <w:vAlign w:val="center"/>
          </w:tcPr>
          <w:p w:rsidR="00547E7E" w:rsidRPr="00075492" w:rsidRDefault="00547E7E">
            <w:pPr>
              <w:pStyle w:val="Tabell"/>
              <w:ind w:right="-13"/>
              <w:jc w:val="center"/>
            </w:pPr>
            <w:r w:rsidRPr="00075492">
              <w:t>156</w:t>
            </w:r>
          </w:p>
        </w:tc>
        <w:tc>
          <w:tcPr>
            <w:tcW w:w="624" w:type="dxa"/>
            <w:vAlign w:val="center"/>
          </w:tcPr>
          <w:p w:rsidR="00547E7E" w:rsidRPr="00075492" w:rsidRDefault="00547E7E">
            <w:pPr>
              <w:pStyle w:val="Tabell"/>
              <w:ind w:right="-13"/>
              <w:jc w:val="center"/>
            </w:pPr>
            <w:r w:rsidRPr="00075492">
              <w:t>144</w:t>
            </w:r>
          </w:p>
        </w:tc>
        <w:tc>
          <w:tcPr>
            <w:tcW w:w="624" w:type="dxa"/>
            <w:vAlign w:val="center"/>
          </w:tcPr>
          <w:p w:rsidR="00547E7E" w:rsidRPr="00075492" w:rsidRDefault="00547E7E">
            <w:pPr>
              <w:pStyle w:val="Tabell"/>
              <w:ind w:right="-13"/>
              <w:jc w:val="center"/>
            </w:pPr>
            <w:r w:rsidRPr="00075492">
              <w:t>89</w:t>
            </w: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tcBorders>
              <w:right w:val="single" w:sz="18" w:space="0" w:color="auto"/>
            </w:tcBorders>
            <w:vAlign w:val="center"/>
          </w:tcPr>
          <w:p w:rsidR="00547E7E" w:rsidRPr="00075492" w:rsidRDefault="00547E7E">
            <w:pPr>
              <w:pStyle w:val="Tabell"/>
              <w:ind w:right="-13"/>
              <w:jc w:val="center"/>
            </w:pP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pPr>
            <w:r w:rsidRPr="00075492">
              <w:t>Normerande</w:t>
            </w:r>
          </w:p>
          <w:p w:rsidR="00547E7E" w:rsidRPr="00075492" w:rsidRDefault="00547E7E">
            <w:pPr>
              <w:pStyle w:val="Tabell"/>
              <w:ind w:right="-70"/>
              <w:jc w:val="left"/>
            </w:pPr>
            <w:r w:rsidRPr="00075492">
              <w:t>inspektioner</w:t>
            </w: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r w:rsidRPr="00075492">
              <w:t>106</w:t>
            </w:r>
          </w:p>
        </w:tc>
        <w:tc>
          <w:tcPr>
            <w:tcW w:w="624" w:type="dxa"/>
            <w:vAlign w:val="center"/>
          </w:tcPr>
          <w:p w:rsidR="00547E7E" w:rsidRPr="00075492" w:rsidRDefault="00547E7E">
            <w:pPr>
              <w:pStyle w:val="Tabell"/>
              <w:ind w:right="-13"/>
              <w:jc w:val="center"/>
            </w:pPr>
            <w:r w:rsidRPr="00075492">
              <w:t>39</w:t>
            </w:r>
          </w:p>
        </w:tc>
        <w:tc>
          <w:tcPr>
            <w:tcW w:w="624" w:type="dxa"/>
            <w:tcBorders>
              <w:right w:val="single" w:sz="18" w:space="0" w:color="auto"/>
            </w:tcBorders>
            <w:vAlign w:val="center"/>
          </w:tcPr>
          <w:p w:rsidR="00547E7E" w:rsidRPr="00075492" w:rsidRDefault="00547E7E">
            <w:pPr>
              <w:pStyle w:val="Tabell"/>
              <w:ind w:right="-13"/>
              <w:jc w:val="center"/>
            </w:pPr>
            <w:r w:rsidRPr="00075492">
              <w:t>39</w:t>
            </w: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pPr>
            <w:r w:rsidRPr="00075492">
              <w:t>Temamöten</w:t>
            </w:r>
          </w:p>
          <w:p w:rsidR="00547E7E" w:rsidRPr="00075492" w:rsidRDefault="00547E7E">
            <w:pPr>
              <w:pStyle w:val="Tabell"/>
              <w:ind w:right="-70"/>
              <w:jc w:val="left"/>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r w:rsidRPr="00075492">
              <w:t>52</w:t>
            </w:r>
          </w:p>
        </w:tc>
        <w:tc>
          <w:tcPr>
            <w:tcW w:w="624" w:type="dxa"/>
            <w:vAlign w:val="center"/>
          </w:tcPr>
          <w:p w:rsidR="00547E7E" w:rsidRPr="00075492" w:rsidRDefault="00547E7E">
            <w:pPr>
              <w:pStyle w:val="Tabell"/>
              <w:ind w:right="-13"/>
              <w:jc w:val="center"/>
            </w:pPr>
            <w:r w:rsidRPr="00075492">
              <w:t>5</w:t>
            </w:r>
          </w:p>
        </w:tc>
        <w:tc>
          <w:tcPr>
            <w:tcW w:w="624" w:type="dxa"/>
            <w:vAlign w:val="center"/>
          </w:tcPr>
          <w:p w:rsidR="00547E7E" w:rsidRPr="00075492" w:rsidRDefault="00547E7E">
            <w:pPr>
              <w:pStyle w:val="Tabell"/>
              <w:ind w:right="-13"/>
              <w:jc w:val="center"/>
            </w:pPr>
            <w:r w:rsidRPr="00075492">
              <w:t>8</w:t>
            </w: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tcBorders>
              <w:right w:val="single" w:sz="18" w:space="0" w:color="auto"/>
            </w:tcBorders>
            <w:vAlign w:val="center"/>
          </w:tcPr>
          <w:p w:rsidR="00547E7E" w:rsidRPr="00075492" w:rsidRDefault="00547E7E">
            <w:pPr>
              <w:pStyle w:val="Tabell"/>
              <w:ind w:right="-13"/>
              <w:jc w:val="center"/>
            </w:pP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pPr>
            <w:r w:rsidRPr="00075492">
              <w:t>Länsmöten</w:t>
            </w:r>
          </w:p>
          <w:p w:rsidR="00547E7E" w:rsidRPr="00075492" w:rsidRDefault="00547E7E">
            <w:pPr>
              <w:pStyle w:val="Tabell"/>
              <w:ind w:right="-70"/>
              <w:jc w:val="left"/>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r w:rsidRPr="00075492">
              <w:t>83</w:t>
            </w:r>
          </w:p>
        </w:tc>
        <w:tc>
          <w:tcPr>
            <w:tcW w:w="624" w:type="dxa"/>
            <w:vAlign w:val="center"/>
          </w:tcPr>
          <w:p w:rsidR="00547E7E" w:rsidRPr="00075492" w:rsidRDefault="00547E7E">
            <w:pPr>
              <w:pStyle w:val="Tabell"/>
              <w:ind w:right="-13"/>
              <w:jc w:val="center"/>
            </w:pPr>
            <w:r w:rsidRPr="00075492">
              <w:t>68</w:t>
            </w:r>
          </w:p>
        </w:tc>
        <w:tc>
          <w:tcPr>
            <w:tcW w:w="624" w:type="dxa"/>
            <w:vAlign w:val="center"/>
          </w:tcPr>
          <w:p w:rsidR="00547E7E" w:rsidRPr="00075492" w:rsidRDefault="00547E7E">
            <w:pPr>
              <w:pStyle w:val="Tabell"/>
              <w:ind w:right="-13"/>
              <w:jc w:val="center"/>
            </w:pPr>
            <w:r w:rsidRPr="00075492">
              <w:t>66</w:t>
            </w:r>
          </w:p>
        </w:tc>
        <w:tc>
          <w:tcPr>
            <w:tcW w:w="624" w:type="dxa"/>
            <w:vAlign w:val="center"/>
          </w:tcPr>
          <w:p w:rsidR="00547E7E" w:rsidRPr="00075492" w:rsidRDefault="00547E7E">
            <w:pPr>
              <w:pStyle w:val="Tabell"/>
              <w:ind w:right="-13"/>
              <w:jc w:val="center"/>
            </w:pPr>
            <w:r w:rsidRPr="00075492">
              <w:t>42</w:t>
            </w:r>
          </w:p>
        </w:tc>
        <w:tc>
          <w:tcPr>
            <w:tcW w:w="624" w:type="dxa"/>
            <w:tcBorders>
              <w:right w:val="single" w:sz="18" w:space="0" w:color="auto"/>
            </w:tcBorders>
            <w:vAlign w:val="center"/>
          </w:tcPr>
          <w:p w:rsidR="00547E7E" w:rsidRPr="00075492" w:rsidRDefault="00547E7E">
            <w:pPr>
              <w:pStyle w:val="Tabell"/>
              <w:ind w:right="-13"/>
              <w:jc w:val="center"/>
            </w:pPr>
            <w:r w:rsidRPr="00075492">
              <w:t>40</w:t>
            </w: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pPr>
            <w:r w:rsidRPr="00075492">
              <w:t>Kommunbesök</w:t>
            </w:r>
          </w:p>
          <w:p w:rsidR="00547E7E" w:rsidRPr="00075492" w:rsidRDefault="00547E7E">
            <w:pPr>
              <w:pStyle w:val="Tabell"/>
              <w:ind w:right="-70"/>
              <w:jc w:val="left"/>
            </w:pPr>
          </w:p>
        </w:tc>
        <w:tc>
          <w:tcPr>
            <w:tcW w:w="624" w:type="dxa"/>
            <w:vAlign w:val="center"/>
          </w:tcPr>
          <w:p w:rsidR="00547E7E" w:rsidRPr="00075492" w:rsidRDefault="00547E7E">
            <w:pPr>
              <w:pStyle w:val="Tabell"/>
              <w:ind w:right="-13"/>
              <w:jc w:val="center"/>
            </w:pPr>
          </w:p>
        </w:tc>
        <w:tc>
          <w:tcPr>
            <w:tcW w:w="624" w:type="dxa"/>
            <w:vAlign w:val="center"/>
          </w:tcPr>
          <w:p w:rsidR="00547E7E" w:rsidRPr="00075492" w:rsidRDefault="00547E7E">
            <w:pPr>
              <w:pStyle w:val="Tabell"/>
              <w:ind w:right="-13"/>
              <w:jc w:val="center"/>
            </w:pPr>
            <w:r w:rsidRPr="00075492">
              <w:t>101</w:t>
            </w:r>
          </w:p>
        </w:tc>
        <w:tc>
          <w:tcPr>
            <w:tcW w:w="624" w:type="dxa"/>
            <w:vAlign w:val="center"/>
          </w:tcPr>
          <w:p w:rsidR="00547E7E" w:rsidRPr="00075492" w:rsidRDefault="00547E7E">
            <w:pPr>
              <w:pStyle w:val="Tabell"/>
              <w:ind w:right="-13"/>
              <w:jc w:val="center"/>
            </w:pPr>
            <w:r w:rsidRPr="00075492">
              <w:t>46</w:t>
            </w:r>
          </w:p>
        </w:tc>
        <w:tc>
          <w:tcPr>
            <w:tcW w:w="624" w:type="dxa"/>
            <w:vAlign w:val="center"/>
          </w:tcPr>
          <w:p w:rsidR="00547E7E" w:rsidRPr="00075492" w:rsidRDefault="00547E7E">
            <w:pPr>
              <w:pStyle w:val="Tabell"/>
              <w:ind w:right="-13"/>
              <w:jc w:val="center"/>
            </w:pPr>
            <w:r w:rsidRPr="00075492">
              <w:t>58</w:t>
            </w:r>
          </w:p>
        </w:tc>
        <w:tc>
          <w:tcPr>
            <w:tcW w:w="624" w:type="dxa"/>
            <w:vAlign w:val="center"/>
          </w:tcPr>
          <w:p w:rsidR="00547E7E" w:rsidRPr="00075492" w:rsidRDefault="00547E7E">
            <w:pPr>
              <w:pStyle w:val="Tabell"/>
              <w:ind w:right="-13"/>
              <w:jc w:val="center"/>
            </w:pPr>
            <w:r w:rsidRPr="00075492">
              <w:t>66</w:t>
            </w:r>
          </w:p>
        </w:tc>
        <w:tc>
          <w:tcPr>
            <w:tcW w:w="624" w:type="dxa"/>
            <w:vAlign w:val="center"/>
          </w:tcPr>
          <w:p w:rsidR="00547E7E" w:rsidRPr="00075492" w:rsidRDefault="00547E7E">
            <w:pPr>
              <w:pStyle w:val="Tabell"/>
              <w:ind w:right="-13"/>
              <w:jc w:val="center"/>
            </w:pPr>
            <w:r w:rsidRPr="00075492">
              <w:t>63</w:t>
            </w:r>
          </w:p>
        </w:tc>
        <w:tc>
          <w:tcPr>
            <w:tcW w:w="624" w:type="dxa"/>
            <w:tcBorders>
              <w:right w:val="single" w:sz="18" w:space="0" w:color="auto"/>
            </w:tcBorders>
            <w:vAlign w:val="center"/>
          </w:tcPr>
          <w:p w:rsidR="00547E7E" w:rsidRPr="00075492" w:rsidRDefault="00547E7E">
            <w:pPr>
              <w:pStyle w:val="Tabell"/>
              <w:ind w:right="-13"/>
              <w:jc w:val="center"/>
            </w:pPr>
            <w:r w:rsidRPr="00075492">
              <w:t>39</w:t>
            </w:r>
          </w:p>
        </w:tc>
      </w:tr>
      <w:tr w:rsidR="00000000" w:rsidRPr="00075492">
        <w:tblPrEx>
          <w:tblCellMar>
            <w:top w:w="0" w:type="dxa"/>
            <w:bottom w:w="0" w:type="dxa"/>
          </w:tblCellMar>
        </w:tblPrEx>
        <w:tc>
          <w:tcPr>
            <w:tcW w:w="1630" w:type="dxa"/>
            <w:shd w:val="pct10" w:color="auto" w:fill="FFFFFF"/>
            <w:vAlign w:val="center"/>
          </w:tcPr>
          <w:p w:rsidR="00547E7E" w:rsidRPr="00075492" w:rsidRDefault="00547E7E">
            <w:pPr>
              <w:pStyle w:val="Tabell"/>
              <w:ind w:right="-70"/>
              <w:jc w:val="left"/>
              <w:rPr>
                <w:b/>
              </w:rPr>
            </w:pPr>
          </w:p>
        </w:tc>
        <w:tc>
          <w:tcPr>
            <w:tcW w:w="624" w:type="dxa"/>
            <w:shd w:val="pct10" w:color="auto" w:fill="FFFFFF"/>
            <w:vAlign w:val="center"/>
          </w:tcPr>
          <w:p w:rsidR="00547E7E" w:rsidRPr="00075492" w:rsidRDefault="00547E7E">
            <w:pPr>
              <w:pStyle w:val="Tabell"/>
              <w:ind w:right="-13"/>
              <w:jc w:val="center"/>
            </w:pPr>
          </w:p>
        </w:tc>
        <w:tc>
          <w:tcPr>
            <w:tcW w:w="624" w:type="dxa"/>
            <w:shd w:val="pct10" w:color="auto" w:fill="FFFFFF"/>
            <w:vAlign w:val="center"/>
          </w:tcPr>
          <w:p w:rsidR="00547E7E" w:rsidRPr="00075492" w:rsidRDefault="00547E7E">
            <w:pPr>
              <w:pStyle w:val="Tabell"/>
              <w:ind w:right="-13"/>
              <w:jc w:val="center"/>
              <w:rPr>
                <w:i/>
              </w:rPr>
            </w:pPr>
          </w:p>
        </w:tc>
        <w:tc>
          <w:tcPr>
            <w:tcW w:w="624" w:type="dxa"/>
            <w:shd w:val="pct10" w:color="auto" w:fill="FFFFFF"/>
            <w:vAlign w:val="center"/>
          </w:tcPr>
          <w:p w:rsidR="00547E7E" w:rsidRPr="00075492" w:rsidRDefault="00547E7E">
            <w:pPr>
              <w:pStyle w:val="Tabell"/>
              <w:ind w:right="-13"/>
              <w:jc w:val="center"/>
              <w:rPr>
                <w:i/>
              </w:rPr>
            </w:pPr>
          </w:p>
        </w:tc>
        <w:tc>
          <w:tcPr>
            <w:tcW w:w="624" w:type="dxa"/>
            <w:shd w:val="pct10" w:color="auto" w:fill="FFFFFF"/>
            <w:vAlign w:val="center"/>
          </w:tcPr>
          <w:p w:rsidR="00547E7E" w:rsidRPr="00075492" w:rsidRDefault="00547E7E">
            <w:pPr>
              <w:pStyle w:val="Tabell"/>
              <w:ind w:right="-13"/>
              <w:jc w:val="center"/>
              <w:rPr>
                <w:i/>
              </w:rPr>
            </w:pPr>
          </w:p>
        </w:tc>
        <w:tc>
          <w:tcPr>
            <w:tcW w:w="624" w:type="dxa"/>
            <w:shd w:val="pct10" w:color="auto" w:fill="FFFFFF"/>
            <w:vAlign w:val="center"/>
          </w:tcPr>
          <w:p w:rsidR="00547E7E" w:rsidRPr="00075492" w:rsidRDefault="00547E7E">
            <w:pPr>
              <w:pStyle w:val="Tabell"/>
              <w:ind w:right="-13"/>
              <w:jc w:val="center"/>
              <w:rPr>
                <w:i/>
              </w:rPr>
            </w:pPr>
          </w:p>
        </w:tc>
        <w:tc>
          <w:tcPr>
            <w:tcW w:w="624" w:type="dxa"/>
            <w:shd w:val="pct10" w:color="auto" w:fill="FFFFFF"/>
            <w:vAlign w:val="center"/>
          </w:tcPr>
          <w:p w:rsidR="00547E7E" w:rsidRPr="00075492" w:rsidRDefault="00547E7E">
            <w:pPr>
              <w:pStyle w:val="Tabell"/>
              <w:ind w:right="-13"/>
              <w:jc w:val="center"/>
              <w:rPr>
                <w:i/>
              </w:rPr>
            </w:pPr>
          </w:p>
        </w:tc>
        <w:tc>
          <w:tcPr>
            <w:tcW w:w="624" w:type="dxa"/>
            <w:tcBorders>
              <w:right w:val="single" w:sz="18" w:space="0" w:color="auto"/>
            </w:tcBorders>
            <w:shd w:val="pct10" w:color="auto" w:fill="FFFFFF"/>
            <w:vAlign w:val="center"/>
          </w:tcPr>
          <w:p w:rsidR="00547E7E" w:rsidRPr="00075492" w:rsidRDefault="00547E7E">
            <w:pPr>
              <w:pStyle w:val="Tabell"/>
              <w:ind w:right="-13"/>
              <w:jc w:val="center"/>
              <w:rPr>
                <w:i/>
              </w:rPr>
            </w:pPr>
          </w:p>
        </w:tc>
      </w:tr>
      <w:tr w:rsidR="00000000" w:rsidRPr="00075492">
        <w:tblPrEx>
          <w:tblCellMar>
            <w:top w:w="0" w:type="dxa"/>
            <w:bottom w:w="0" w:type="dxa"/>
          </w:tblCellMar>
        </w:tblPrEx>
        <w:tc>
          <w:tcPr>
            <w:tcW w:w="1630" w:type="dxa"/>
            <w:vAlign w:val="center"/>
          </w:tcPr>
          <w:p w:rsidR="00547E7E" w:rsidRPr="00075492" w:rsidRDefault="00547E7E">
            <w:pPr>
              <w:pStyle w:val="Tabell"/>
              <w:ind w:right="-70"/>
              <w:jc w:val="left"/>
              <w:rPr>
                <w:b/>
              </w:rPr>
            </w:pPr>
            <w:r w:rsidRPr="00075492">
              <w:rPr>
                <w:b/>
              </w:rPr>
              <w:t>S:a besök/möten</w:t>
            </w:r>
          </w:p>
          <w:p w:rsidR="00547E7E" w:rsidRPr="00075492" w:rsidRDefault="00547E7E">
            <w:pPr>
              <w:pStyle w:val="Tabell"/>
              <w:ind w:right="-70"/>
              <w:jc w:val="left"/>
              <w:rPr>
                <w:b/>
              </w:rPr>
            </w:pPr>
          </w:p>
        </w:tc>
        <w:tc>
          <w:tcPr>
            <w:tcW w:w="624" w:type="dxa"/>
            <w:vAlign w:val="center"/>
          </w:tcPr>
          <w:p w:rsidR="00547E7E" w:rsidRPr="00075492" w:rsidRDefault="00547E7E">
            <w:pPr>
              <w:pStyle w:val="Tabell"/>
              <w:ind w:right="-13"/>
              <w:jc w:val="center"/>
            </w:pPr>
            <w:r w:rsidRPr="00075492">
              <w:t>120</w:t>
            </w:r>
          </w:p>
        </w:tc>
        <w:tc>
          <w:tcPr>
            <w:tcW w:w="624" w:type="dxa"/>
            <w:vAlign w:val="center"/>
          </w:tcPr>
          <w:p w:rsidR="00547E7E" w:rsidRPr="00075492" w:rsidRDefault="00547E7E">
            <w:pPr>
              <w:pStyle w:val="Tabell"/>
              <w:ind w:right="-13"/>
              <w:jc w:val="center"/>
            </w:pPr>
            <w:r w:rsidRPr="00075492">
              <w:t>192</w:t>
            </w:r>
          </w:p>
        </w:tc>
        <w:tc>
          <w:tcPr>
            <w:tcW w:w="624" w:type="dxa"/>
            <w:vAlign w:val="center"/>
          </w:tcPr>
          <w:p w:rsidR="00547E7E" w:rsidRPr="00075492" w:rsidRDefault="00547E7E">
            <w:pPr>
              <w:pStyle w:val="Tabell"/>
              <w:ind w:right="-13"/>
              <w:jc w:val="center"/>
            </w:pPr>
            <w:r w:rsidRPr="00075492">
              <w:t>129</w:t>
            </w:r>
          </w:p>
        </w:tc>
        <w:tc>
          <w:tcPr>
            <w:tcW w:w="624" w:type="dxa"/>
            <w:vAlign w:val="center"/>
          </w:tcPr>
          <w:p w:rsidR="00547E7E" w:rsidRPr="00075492" w:rsidRDefault="00547E7E">
            <w:pPr>
              <w:pStyle w:val="Tabell"/>
              <w:ind w:right="-13"/>
              <w:jc w:val="center"/>
            </w:pPr>
            <w:r w:rsidRPr="00075492">
              <w:t>126</w:t>
            </w:r>
          </w:p>
        </w:tc>
        <w:tc>
          <w:tcPr>
            <w:tcW w:w="624" w:type="dxa"/>
            <w:vAlign w:val="center"/>
          </w:tcPr>
          <w:p w:rsidR="00547E7E" w:rsidRPr="00075492" w:rsidRDefault="00547E7E">
            <w:pPr>
              <w:pStyle w:val="Tabell"/>
              <w:ind w:right="-13"/>
              <w:jc w:val="center"/>
            </w:pPr>
            <w:r w:rsidRPr="00075492">
              <w:t>132</w:t>
            </w:r>
          </w:p>
        </w:tc>
        <w:tc>
          <w:tcPr>
            <w:tcW w:w="624" w:type="dxa"/>
            <w:vAlign w:val="center"/>
          </w:tcPr>
          <w:p w:rsidR="00547E7E" w:rsidRPr="00075492" w:rsidRDefault="00547E7E">
            <w:pPr>
              <w:pStyle w:val="Tabell"/>
              <w:ind w:right="-13"/>
              <w:jc w:val="center"/>
            </w:pPr>
            <w:r w:rsidRPr="00075492">
              <w:t>105</w:t>
            </w:r>
          </w:p>
        </w:tc>
        <w:tc>
          <w:tcPr>
            <w:tcW w:w="624" w:type="dxa"/>
            <w:tcBorders>
              <w:right w:val="single" w:sz="18" w:space="0" w:color="auto"/>
            </w:tcBorders>
            <w:vAlign w:val="center"/>
          </w:tcPr>
          <w:p w:rsidR="00547E7E" w:rsidRPr="00075492" w:rsidRDefault="00547E7E">
            <w:pPr>
              <w:pStyle w:val="Tabell"/>
              <w:ind w:right="-13"/>
              <w:jc w:val="center"/>
            </w:pPr>
            <w:r w:rsidRPr="00075492">
              <w:t>79</w:t>
            </w:r>
          </w:p>
        </w:tc>
      </w:tr>
      <w:tr w:rsidR="00000000" w:rsidRPr="00075492">
        <w:tblPrEx>
          <w:tblCellMar>
            <w:top w:w="0" w:type="dxa"/>
            <w:bottom w:w="0" w:type="dxa"/>
          </w:tblCellMar>
        </w:tblPrEx>
        <w:tc>
          <w:tcPr>
            <w:tcW w:w="1630" w:type="dxa"/>
            <w:tcBorders>
              <w:bottom w:val="nil"/>
            </w:tcBorders>
            <w:vAlign w:val="center"/>
          </w:tcPr>
          <w:p w:rsidR="00547E7E" w:rsidRPr="00075492" w:rsidRDefault="00547E7E">
            <w:pPr>
              <w:pStyle w:val="Tabell"/>
              <w:ind w:right="-70"/>
              <w:jc w:val="left"/>
              <w:rPr>
                <w:b/>
              </w:rPr>
            </w:pPr>
            <w:r w:rsidRPr="00075492">
              <w:rPr>
                <w:b/>
              </w:rPr>
              <w:t>S:a inspektioner</w:t>
            </w:r>
          </w:p>
          <w:p w:rsidR="00547E7E" w:rsidRPr="00075492" w:rsidRDefault="00547E7E">
            <w:pPr>
              <w:pStyle w:val="Tabell"/>
              <w:ind w:right="-70"/>
              <w:jc w:val="left"/>
              <w:rPr>
                <w:b/>
              </w:rPr>
            </w:pPr>
          </w:p>
        </w:tc>
        <w:tc>
          <w:tcPr>
            <w:tcW w:w="624" w:type="dxa"/>
            <w:tcBorders>
              <w:bottom w:val="nil"/>
            </w:tcBorders>
            <w:vAlign w:val="center"/>
          </w:tcPr>
          <w:p w:rsidR="00547E7E" w:rsidRPr="00075492" w:rsidRDefault="00547E7E">
            <w:pPr>
              <w:pStyle w:val="Tabell"/>
              <w:ind w:right="-13"/>
              <w:jc w:val="center"/>
            </w:pPr>
            <w:r w:rsidRPr="00075492">
              <w:t>160</w:t>
            </w:r>
          </w:p>
        </w:tc>
        <w:tc>
          <w:tcPr>
            <w:tcW w:w="624" w:type="dxa"/>
            <w:tcBorders>
              <w:bottom w:val="nil"/>
            </w:tcBorders>
            <w:vAlign w:val="center"/>
          </w:tcPr>
          <w:p w:rsidR="00547E7E" w:rsidRPr="00075492" w:rsidRDefault="00547E7E">
            <w:pPr>
              <w:pStyle w:val="Tabell"/>
              <w:ind w:right="-13"/>
              <w:jc w:val="center"/>
            </w:pPr>
            <w:r w:rsidRPr="00075492">
              <w:t>156</w:t>
            </w:r>
          </w:p>
        </w:tc>
        <w:tc>
          <w:tcPr>
            <w:tcW w:w="624" w:type="dxa"/>
            <w:tcBorders>
              <w:bottom w:val="nil"/>
            </w:tcBorders>
            <w:vAlign w:val="center"/>
          </w:tcPr>
          <w:p w:rsidR="00547E7E" w:rsidRPr="00075492" w:rsidRDefault="00547E7E">
            <w:pPr>
              <w:pStyle w:val="Tabell"/>
              <w:ind w:right="-13"/>
              <w:jc w:val="center"/>
            </w:pPr>
            <w:r w:rsidRPr="00075492">
              <w:t>144</w:t>
            </w:r>
          </w:p>
        </w:tc>
        <w:tc>
          <w:tcPr>
            <w:tcW w:w="624" w:type="dxa"/>
            <w:tcBorders>
              <w:bottom w:val="nil"/>
            </w:tcBorders>
            <w:vAlign w:val="center"/>
          </w:tcPr>
          <w:p w:rsidR="00547E7E" w:rsidRPr="00075492" w:rsidRDefault="00547E7E">
            <w:pPr>
              <w:pStyle w:val="Tabell"/>
              <w:ind w:right="-13"/>
              <w:jc w:val="center"/>
            </w:pPr>
            <w:r w:rsidRPr="00075492">
              <w:t>89</w:t>
            </w:r>
          </w:p>
        </w:tc>
        <w:tc>
          <w:tcPr>
            <w:tcW w:w="624" w:type="dxa"/>
            <w:tcBorders>
              <w:bottom w:val="nil"/>
            </w:tcBorders>
            <w:vAlign w:val="center"/>
          </w:tcPr>
          <w:p w:rsidR="00547E7E" w:rsidRPr="00075492" w:rsidRDefault="00547E7E">
            <w:pPr>
              <w:pStyle w:val="Tabell"/>
              <w:ind w:right="-13"/>
              <w:jc w:val="center"/>
            </w:pPr>
            <w:r w:rsidRPr="00075492">
              <w:t>106</w:t>
            </w:r>
          </w:p>
        </w:tc>
        <w:tc>
          <w:tcPr>
            <w:tcW w:w="624" w:type="dxa"/>
            <w:tcBorders>
              <w:bottom w:val="nil"/>
            </w:tcBorders>
            <w:vAlign w:val="center"/>
          </w:tcPr>
          <w:p w:rsidR="00547E7E" w:rsidRPr="00075492" w:rsidRDefault="00547E7E">
            <w:pPr>
              <w:pStyle w:val="Tabell"/>
              <w:ind w:right="-13"/>
              <w:jc w:val="center"/>
            </w:pPr>
            <w:r w:rsidRPr="00075492">
              <w:t>39</w:t>
            </w:r>
          </w:p>
        </w:tc>
        <w:tc>
          <w:tcPr>
            <w:tcW w:w="624" w:type="dxa"/>
            <w:tcBorders>
              <w:bottom w:val="nil"/>
              <w:right w:val="single" w:sz="18" w:space="0" w:color="auto"/>
            </w:tcBorders>
            <w:vAlign w:val="center"/>
          </w:tcPr>
          <w:p w:rsidR="00547E7E" w:rsidRPr="00075492" w:rsidRDefault="00547E7E">
            <w:pPr>
              <w:pStyle w:val="Tabell"/>
              <w:ind w:right="-13"/>
              <w:jc w:val="center"/>
            </w:pPr>
            <w:r w:rsidRPr="00075492">
              <w:t>39</w:t>
            </w:r>
          </w:p>
        </w:tc>
      </w:tr>
      <w:tr w:rsidR="00000000" w:rsidRPr="00075492">
        <w:tblPrEx>
          <w:tblCellMar>
            <w:top w:w="0" w:type="dxa"/>
            <w:bottom w:w="0" w:type="dxa"/>
          </w:tblCellMar>
        </w:tblPrEx>
        <w:tc>
          <w:tcPr>
            <w:tcW w:w="1630" w:type="dxa"/>
            <w:tcBorders>
              <w:bottom w:val="single" w:sz="18" w:space="0" w:color="auto"/>
            </w:tcBorders>
            <w:vAlign w:val="center"/>
          </w:tcPr>
          <w:p w:rsidR="00547E7E" w:rsidRPr="00075492" w:rsidRDefault="00547E7E">
            <w:pPr>
              <w:pStyle w:val="Tabell"/>
              <w:ind w:right="-70"/>
              <w:jc w:val="left"/>
              <w:rPr>
                <w:b/>
              </w:rPr>
            </w:pPr>
            <w:r w:rsidRPr="00075492">
              <w:rPr>
                <w:b/>
              </w:rPr>
              <w:t>S:a m</w:t>
            </w:r>
            <w:r w:rsidRPr="00075492">
              <w:rPr>
                <w:b/>
              </w:rPr>
              <w:t>ö</w:t>
            </w:r>
            <w:r w:rsidRPr="00075492">
              <w:rPr>
                <w:b/>
              </w:rPr>
              <w:t xml:space="preserve">ten och </w:t>
            </w:r>
          </w:p>
          <w:p w:rsidR="00547E7E" w:rsidRPr="00075492" w:rsidRDefault="00547E7E">
            <w:pPr>
              <w:pStyle w:val="Tabell"/>
              <w:ind w:right="-70"/>
              <w:jc w:val="left"/>
              <w:rPr>
                <w:b/>
              </w:rPr>
            </w:pPr>
            <w:r w:rsidRPr="00075492">
              <w:rPr>
                <w:b/>
              </w:rPr>
              <w:t>inspektioner</w:t>
            </w:r>
          </w:p>
        </w:tc>
        <w:tc>
          <w:tcPr>
            <w:tcW w:w="624" w:type="dxa"/>
            <w:tcBorders>
              <w:bottom w:val="single" w:sz="18" w:space="0" w:color="auto"/>
            </w:tcBorders>
            <w:vAlign w:val="center"/>
          </w:tcPr>
          <w:p w:rsidR="00547E7E" w:rsidRPr="00075492" w:rsidRDefault="00547E7E">
            <w:pPr>
              <w:pStyle w:val="Tabell"/>
              <w:ind w:right="-13"/>
              <w:jc w:val="center"/>
            </w:pPr>
            <w:r w:rsidRPr="00075492">
              <w:t>280</w:t>
            </w:r>
          </w:p>
        </w:tc>
        <w:tc>
          <w:tcPr>
            <w:tcW w:w="624" w:type="dxa"/>
            <w:tcBorders>
              <w:bottom w:val="single" w:sz="18" w:space="0" w:color="auto"/>
            </w:tcBorders>
            <w:vAlign w:val="center"/>
          </w:tcPr>
          <w:p w:rsidR="00547E7E" w:rsidRPr="00075492" w:rsidRDefault="00547E7E">
            <w:pPr>
              <w:pStyle w:val="Tabell"/>
              <w:ind w:right="-13"/>
              <w:jc w:val="center"/>
            </w:pPr>
            <w:r w:rsidRPr="00075492">
              <w:t>348</w:t>
            </w:r>
          </w:p>
        </w:tc>
        <w:tc>
          <w:tcPr>
            <w:tcW w:w="624" w:type="dxa"/>
            <w:tcBorders>
              <w:bottom w:val="single" w:sz="18" w:space="0" w:color="auto"/>
            </w:tcBorders>
            <w:vAlign w:val="center"/>
          </w:tcPr>
          <w:p w:rsidR="00547E7E" w:rsidRPr="00075492" w:rsidRDefault="00547E7E">
            <w:pPr>
              <w:pStyle w:val="Tabell"/>
              <w:ind w:right="-13"/>
              <w:jc w:val="center"/>
            </w:pPr>
            <w:r w:rsidRPr="00075492">
              <w:t>273</w:t>
            </w:r>
          </w:p>
        </w:tc>
        <w:tc>
          <w:tcPr>
            <w:tcW w:w="624" w:type="dxa"/>
            <w:tcBorders>
              <w:bottom w:val="single" w:sz="18" w:space="0" w:color="auto"/>
            </w:tcBorders>
            <w:vAlign w:val="center"/>
          </w:tcPr>
          <w:p w:rsidR="00547E7E" w:rsidRPr="00075492" w:rsidRDefault="00547E7E">
            <w:pPr>
              <w:pStyle w:val="Tabell"/>
              <w:ind w:right="-13"/>
              <w:jc w:val="center"/>
            </w:pPr>
            <w:r w:rsidRPr="00075492">
              <w:t>215</w:t>
            </w:r>
          </w:p>
        </w:tc>
        <w:tc>
          <w:tcPr>
            <w:tcW w:w="624" w:type="dxa"/>
            <w:tcBorders>
              <w:bottom w:val="single" w:sz="18" w:space="0" w:color="auto"/>
            </w:tcBorders>
            <w:vAlign w:val="center"/>
          </w:tcPr>
          <w:p w:rsidR="00547E7E" w:rsidRPr="00075492" w:rsidRDefault="00547E7E">
            <w:pPr>
              <w:pStyle w:val="Tabell"/>
              <w:ind w:right="-13"/>
              <w:jc w:val="center"/>
            </w:pPr>
            <w:r w:rsidRPr="00075492">
              <w:t>238</w:t>
            </w:r>
          </w:p>
        </w:tc>
        <w:tc>
          <w:tcPr>
            <w:tcW w:w="624" w:type="dxa"/>
            <w:tcBorders>
              <w:bottom w:val="single" w:sz="18" w:space="0" w:color="auto"/>
            </w:tcBorders>
            <w:vAlign w:val="center"/>
          </w:tcPr>
          <w:p w:rsidR="00547E7E" w:rsidRPr="00075492" w:rsidRDefault="00547E7E">
            <w:pPr>
              <w:pStyle w:val="Tabell"/>
              <w:ind w:right="-13"/>
              <w:jc w:val="center"/>
            </w:pPr>
            <w:r w:rsidRPr="00075492">
              <w:t>144</w:t>
            </w:r>
          </w:p>
        </w:tc>
        <w:tc>
          <w:tcPr>
            <w:tcW w:w="624" w:type="dxa"/>
            <w:tcBorders>
              <w:bottom w:val="single" w:sz="18" w:space="0" w:color="auto"/>
              <w:right w:val="single" w:sz="18" w:space="0" w:color="auto"/>
            </w:tcBorders>
            <w:vAlign w:val="center"/>
          </w:tcPr>
          <w:p w:rsidR="00547E7E" w:rsidRPr="00075492" w:rsidRDefault="00547E7E">
            <w:pPr>
              <w:pStyle w:val="Tabell"/>
              <w:ind w:right="-13"/>
              <w:jc w:val="center"/>
            </w:pPr>
            <w:r w:rsidRPr="00075492">
              <w:t>118</w:t>
            </w:r>
          </w:p>
        </w:tc>
      </w:tr>
    </w:tbl>
    <w:p w:rsidR="00547E7E" w:rsidRPr="00075492" w:rsidRDefault="00547E7E">
      <w:pPr>
        <w:pStyle w:val="Normaltindrag"/>
        <w:keepNext/>
      </w:pPr>
    </w:p>
    <w:p w:rsidR="00547E7E" w:rsidRPr="00075492" w:rsidRDefault="00547E7E">
      <w:pPr>
        <w:pStyle w:val="Tabell"/>
      </w:pPr>
      <w:r w:rsidRPr="00075492">
        <w:t>Källa: Livsmedelsverkets årsredovisningar åren 1993/94–2000</w:t>
      </w:r>
    </w:p>
    <w:p w:rsidR="00547E7E" w:rsidRPr="00075492" w:rsidRDefault="00547E7E">
      <w:r w:rsidRPr="00075492">
        <w:t>Tabellen visar dels att verkets insatser vad gäller ledning och samordning av den kommunala tillsynsverksamheten har ändrat karaktär, dels att verkets tillsynsaktiviteter i förhållande till komm</w:t>
      </w:r>
      <w:r w:rsidRPr="00075492">
        <w:t>u</w:t>
      </w:r>
      <w:r w:rsidRPr="00075492">
        <w:t xml:space="preserve">nerna har minskat. </w:t>
      </w:r>
    </w:p>
    <w:p w:rsidR="00547E7E" w:rsidRPr="00075492" w:rsidRDefault="00547E7E">
      <w:pPr>
        <w:pStyle w:val="Normaltindrag"/>
      </w:pPr>
      <w:r w:rsidRPr="00075492">
        <w:t>Livsmedelsverket uppger att metoder för stöd till och uppföljning av den kommunala tillsynen har utvecklats. De branschvisa och rådgivande inspe</w:t>
      </w:r>
      <w:r w:rsidRPr="00075492">
        <w:t>k</w:t>
      </w:r>
      <w:r w:rsidRPr="00075492">
        <w:t>tionerna som gjordes förr var inte lika omfattande som de normerande i</w:t>
      </w:r>
      <w:r w:rsidRPr="00075492">
        <w:t>n</w:t>
      </w:r>
      <w:r w:rsidRPr="00075492">
        <w:t xml:space="preserve">spektionerna som görs nu. Information och vägledning förmedlas också på webbplatsen. </w:t>
      </w:r>
    </w:p>
    <w:p w:rsidR="00547E7E" w:rsidRPr="00075492" w:rsidRDefault="00547E7E">
      <w:pPr>
        <w:pStyle w:val="Normaltindrag"/>
      </w:pPr>
      <w:r w:rsidRPr="00075492">
        <w:t>År 1998 år är ett undantag från den nedåtgående trend som kan iakttas u</w:t>
      </w:r>
      <w:r w:rsidRPr="00075492">
        <w:t>n</w:t>
      </w:r>
      <w:r w:rsidRPr="00075492">
        <w:t>der perioden. Verksamheten med normerande inspektioner i kommunerna påbörjades, och verket följde upp kommunernas tidigare godkännanden av ett stort antal småskaliga animalieanläggnin</w:t>
      </w:r>
      <w:r w:rsidRPr="00075492">
        <w:t>g</w:t>
      </w:r>
      <w:r w:rsidRPr="00075492">
        <w:t xml:space="preserve">ar. </w:t>
      </w:r>
    </w:p>
    <w:p w:rsidR="00547E7E" w:rsidRPr="00075492" w:rsidRDefault="00547E7E">
      <w:pPr>
        <w:pStyle w:val="Normaltindrag"/>
      </w:pPr>
      <w:r w:rsidRPr="00075492">
        <w:t>Under perioden 1998–2000 har verket sammantaget utfört 184 normerande inspektioner. År 1998 utfördes 106 normerande inspektioner. Åren 1999 och 2000 var antalet mycket lägre, 39 i</w:t>
      </w:r>
      <w:r w:rsidRPr="00075492">
        <w:t>n</w:t>
      </w:r>
      <w:r w:rsidRPr="00075492">
        <w:t xml:space="preserve">spektioner per år. </w:t>
      </w:r>
    </w:p>
    <w:p w:rsidR="00547E7E" w:rsidRPr="00075492" w:rsidRDefault="00547E7E">
      <w:pPr>
        <w:pStyle w:val="Normaltindrag"/>
      </w:pPr>
      <w:r w:rsidRPr="00075492">
        <w:t>År 2001 planerar verket att genomföra ca 90 normerande i</w:t>
      </w:r>
      <w:r w:rsidRPr="00075492">
        <w:t>n</w:t>
      </w:r>
      <w:r w:rsidRPr="00075492">
        <w:t>spektioner</w:t>
      </w:r>
      <w:r w:rsidRPr="00075492">
        <w:rPr>
          <w:rStyle w:val="Fotnotsreferens"/>
        </w:rPr>
        <w:footnoteReference w:id="26"/>
      </w:r>
      <w:r w:rsidRPr="00075492">
        <w:t>.</w:t>
      </w:r>
    </w:p>
    <w:p w:rsidR="00547E7E" w:rsidRPr="00075492" w:rsidRDefault="00547E7E">
      <w:pPr>
        <w:pStyle w:val="Normaltindrag"/>
      </w:pPr>
      <w:r w:rsidRPr="00075492">
        <w:t>Även antalet besök och möten med har minskat över tiden, med undantag för år 1998. Under den senaste treårsperioden har Livsmedelsverket geno</w:t>
      </w:r>
      <w:r w:rsidRPr="00075492">
        <w:t>m</w:t>
      </w:r>
      <w:r w:rsidRPr="00075492">
        <w:t xml:space="preserve">fört 168 kommunbesök och 148 länsmöten. </w:t>
      </w:r>
    </w:p>
    <w:p w:rsidR="00547E7E" w:rsidRPr="00075492" w:rsidRDefault="00547E7E">
      <w:pPr>
        <w:pStyle w:val="Normaltindrag"/>
      </w:pPr>
      <w:r w:rsidRPr="00075492">
        <w:t>Det finns inga samlade uppgifter om hur ofta Livsmedelsverkets inspe</w:t>
      </w:r>
      <w:r w:rsidRPr="00075492">
        <w:t>k</w:t>
      </w:r>
      <w:r w:rsidRPr="00075492">
        <w:t>tioner leder till att verket begär yttrande från den berörda kommunen med anledning av uppmärksammade brister. De uppgifter som finns avser år 1999. Då begärde Livsmedelsverket yt</w:t>
      </w:r>
      <w:r w:rsidRPr="00075492">
        <w:t>t</w:t>
      </w:r>
      <w:r w:rsidRPr="00075492">
        <w:t>rande från åtta kommuner</w:t>
      </w:r>
      <w:r w:rsidRPr="00075492">
        <w:rPr>
          <w:rStyle w:val="Fotnotsreferens"/>
        </w:rPr>
        <w:footnoteReference w:id="27"/>
      </w:r>
      <w:r w:rsidRPr="00075492">
        <w:t xml:space="preserve">. </w:t>
      </w:r>
    </w:p>
    <w:p w:rsidR="00547E7E" w:rsidRPr="00075492" w:rsidRDefault="00547E7E">
      <w:pPr>
        <w:pStyle w:val="Normaltindrag"/>
      </w:pPr>
      <w:r w:rsidRPr="00075492">
        <w:t>Vid intervju framhåller företrädare för Livsmedelsverket att åtgärder nu vidtas för att mer aktivt samordna och styra de lokala tillsynsmyndigheterna. Exempelvis har instruktioner utarbetats för hur kommunbesök och norm</w:t>
      </w:r>
      <w:r w:rsidRPr="00075492">
        <w:t>e</w:t>
      </w:r>
      <w:r w:rsidRPr="00075492">
        <w:t>rande inspektioner ska förberedas samt följas upp.</w:t>
      </w:r>
    </w:p>
    <w:p w:rsidR="00547E7E" w:rsidRPr="00075492" w:rsidRDefault="00547E7E">
      <w:pPr>
        <w:pStyle w:val="Normaltindrag"/>
      </w:pPr>
      <w:r w:rsidRPr="00075492">
        <w:t>I skrivelse till samtliga kommunstyrelser och de kommunala nämnder som utövar livsmedelstillsyn redovisar Livsmedelsverket hur verket avser att inspektera den kommunala livsmedelstillsynen. Länsstyrelsernas uppgift i sammanhanget berörs inte, trots att de vanligtvis samordnar besöken</w:t>
      </w:r>
      <w:r w:rsidRPr="00075492">
        <w:rPr>
          <w:rStyle w:val="Fotnotsreferens"/>
        </w:rPr>
        <w:footnoteReference w:id="28"/>
      </w:r>
      <w:r w:rsidRPr="00075492">
        <w:t>.</w:t>
      </w:r>
    </w:p>
    <w:p w:rsidR="00547E7E" w:rsidRPr="00075492" w:rsidRDefault="00547E7E">
      <w:pPr>
        <w:pStyle w:val="Normaltindrag"/>
      </w:pPr>
      <w:r w:rsidRPr="00075492">
        <w:t>Enligt livsmedelsförordningen kan Livsmedelsverket även återta tillsyn</w:t>
      </w:r>
      <w:r w:rsidRPr="00075492">
        <w:t>s</w:t>
      </w:r>
      <w:r w:rsidRPr="00075492">
        <w:t>ansvaret för anläggningar i en kommun. Denna åtgärd har aldrig använts vid konstaterade brister i en kommun. Vid intervju framhåller företrädare för Livsmedelsverket att det skulle vara mycket svårt att t.ex. återta tillsynsa</w:t>
      </w:r>
      <w:r w:rsidRPr="00075492">
        <w:t>n</w:t>
      </w:r>
      <w:r w:rsidRPr="00075492">
        <w:t>svar för en hel kommun som inte fullgör uppgifterna inom livsmedelstills</w:t>
      </w:r>
      <w:r w:rsidRPr="00075492">
        <w:t>y</w:t>
      </w:r>
      <w:r w:rsidRPr="00075492">
        <w:t>nen på ett tillfredsställande sätt. Livsmedelsverket pekar i stället på avsakn</w:t>
      </w:r>
      <w:r w:rsidRPr="00075492">
        <w:t>a</w:t>
      </w:r>
      <w:r w:rsidRPr="00075492">
        <w:t>den av sanktionsmöjligheter gentemot de kommuner som missköter sina uppgifter.</w:t>
      </w:r>
    </w:p>
    <w:p w:rsidR="00547E7E" w:rsidRPr="00075492" w:rsidRDefault="00547E7E">
      <w:pPr>
        <w:pStyle w:val="Normaltindrag"/>
      </w:pPr>
      <w:r w:rsidRPr="00075492">
        <w:t>För utbildningsverksamheten har Livsmedelsverket redov</w:t>
      </w:r>
      <w:r w:rsidRPr="00075492">
        <w:t xml:space="preserve">isat ett särskilt underlag, som har sammanställts i en tabell. </w:t>
      </w:r>
    </w:p>
    <w:p w:rsidR="00547E7E" w:rsidRPr="00075492" w:rsidRDefault="00547E7E">
      <w:pPr>
        <w:pStyle w:val="Beskrivning"/>
      </w:pPr>
      <w:r w:rsidRPr="00075492">
        <w:t xml:space="preserve">Tabell </w:t>
      </w:r>
      <w:r w:rsidRPr="00075492">
        <w:t>7</w:t>
      </w:r>
      <w:r w:rsidRPr="00075492">
        <w:t xml:space="preserve"> Utbildning av kommunal tillsynspe</w:t>
      </w:r>
      <w:r w:rsidRPr="00075492">
        <w:t>r</w:t>
      </w:r>
      <w:r w:rsidRPr="00075492">
        <w:t>sonal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0"/>
        <w:gridCol w:w="615"/>
        <w:gridCol w:w="615"/>
        <w:gridCol w:w="615"/>
        <w:gridCol w:w="615"/>
        <w:gridCol w:w="615"/>
        <w:gridCol w:w="615"/>
      </w:tblGrid>
      <w:tr w:rsidR="00000000" w:rsidRPr="00075492">
        <w:tblPrEx>
          <w:tblCellMar>
            <w:top w:w="0" w:type="dxa"/>
            <w:bottom w:w="0" w:type="dxa"/>
          </w:tblCellMar>
        </w:tblPrEx>
        <w:tc>
          <w:tcPr>
            <w:tcW w:w="2040" w:type="dxa"/>
            <w:shd w:val="pct20" w:color="auto" w:fill="FFFFFF"/>
          </w:tcPr>
          <w:p w:rsidR="00547E7E" w:rsidRPr="00075492" w:rsidRDefault="00547E7E">
            <w:pPr>
              <w:pStyle w:val="Normaltindrag"/>
              <w:ind w:firstLine="0"/>
              <w:rPr>
                <w:b/>
              </w:rPr>
            </w:pPr>
          </w:p>
        </w:tc>
        <w:tc>
          <w:tcPr>
            <w:tcW w:w="615" w:type="dxa"/>
            <w:shd w:val="pct20" w:color="auto" w:fill="FFFFFF"/>
          </w:tcPr>
          <w:p w:rsidR="00547E7E" w:rsidRPr="00075492" w:rsidRDefault="00547E7E">
            <w:pPr>
              <w:pStyle w:val="Normaltindrag"/>
              <w:ind w:firstLine="0"/>
              <w:jc w:val="center"/>
              <w:rPr>
                <w:b/>
              </w:rPr>
            </w:pPr>
            <w:r w:rsidRPr="00075492">
              <w:rPr>
                <w:b/>
              </w:rPr>
              <w:t>1995</w:t>
            </w:r>
          </w:p>
        </w:tc>
        <w:tc>
          <w:tcPr>
            <w:tcW w:w="615" w:type="dxa"/>
            <w:shd w:val="pct20" w:color="auto" w:fill="FFFFFF"/>
          </w:tcPr>
          <w:p w:rsidR="00547E7E" w:rsidRPr="00075492" w:rsidRDefault="00547E7E">
            <w:pPr>
              <w:pStyle w:val="Normaltindrag"/>
              <w:ind w:firstLine="0"/>
              <w:jc w:val="center"/>
              <w:rPr>
                <w:b/>
              </w:rPr>
            </w:pPr>
            <w:r w:rsidRPr="00075492">
              <w:rPr>
                <w:b/>
              </w:rPr>
              <w:t>1996</w:t>
            </w:r>
          </w:p>
        </w:tc>
        <w:tc>
          <w:tcPr>
            <w:tcW w:w="615" w:type="dxa"/>
            <w:shd w:val="pct20" w:color="auto" w:fill="FFFFFF"/>
          </w:tcPr>
          <w:p w:rsidR="00547E7E" w:rsidRPr="00075492" w:rsidRDefault="00547E7E">
            <w:pPr>
              <w:pStyle w:val="Normaltindrag"/>
              <w:ind w:firstLine="0"/>
              <w:jc w:val="center"/>
              <w:rPr>
                <w:b/>
              </w:rPr>
            </w:pPr>
            <w:r w:rsidRPr="00075492">
              <w:rPr>
                <w:b/>
              </w:rPr>
              <w:t>1997</w:t>
            </w:r>
          </w:p>
        </w:tc>
        <w:tc>
          <w:tcPr>
            <w:tcW w:w="615" w:type="dxa"/>
            <w:shd w:val="pct20" w:color="auto" w:fill="FFFFFF"/>
          </w:tcPr>
          <w:p w:rsidR="00547E7E" w:rsidRPr="00075492" w:rsidRDefault="00547E7E">
            <w:pPr>
              <w:pStyle w:val="Normaltindrag"/>
              <w:ind w:firstLine="0"/>
              <w:jc w:val="center"/>
              <w:rPr>
                <w:b/>
              </w:rPr>
            </w:pPr>
            <w:r w:rsidRPr="00075492">
              <w:rPr>
                <w:b/>
              </w:rPr>
              <w:t>1998</w:t>
            </w:r>
          </w:p>
        </w:tc>
        <w:tc>
          <w:tcPr>
            <w:tcW w:w="615" w:type="dxa"/>
            <w:shd w:val="pct20" w:color="auto" w:fill="FFFFFF"/>
          </w:tcPr>
          <w:p w:rsidR="00547E7E" w:rsidRPr="00075492" w:rsidRDefault="00547E7E">
            <w:pPr>
              <w:pStyle w:val="Normaltindrag"/>
              <w:ind w:firstLine="0"/>
              <w:jc w:val="center"/>
              <w:rPr>
                <w:b/>
              </w:rPr>
            </w:pPr>
            <w:r w:rsidRPr="00075492">
              <w:rPr>
                <w:b/>
              </w:rPr>
              <w:t>1999</w:t>
            </w:r>
          </w:p>
        </w:tc>
        <w:tc>
          <w:tcPr>
            <w:tcW w:w="615" w:type="dxa"/>
            <w:shd w:val="pct20" w:color="auto" w:fill="FFFFFF"/>
          </w:tcPr>
          <w:p w:rsidR="00547E7E" w:rsidRPr="00075492" w:rsidRDefault="00547E7E">
            <w:pPr>
              <w:pStyle w:val="Normaltindrag"/>
              <w:ind w:firstLine="0"/>
              <w:jc w:val="center"/>
              <w:rPr>
                <w:b/>
              </w:rPr>
            </w:pPr>
            <w:r w:rsidRPr="00075492">
              <w:rPr>
                <w:b/>
              </w:rPr>
              <w:t>2000</w:t>
            </w:r>
          </w:p>
        </w:tc>
      </w:tr>
      <w:tr w:rsidR="00000000" w:rsidRPr="00075492">
        <w:tblPrEx>
          <w:tblCellMar>
            <w:top w:w="0" w:type="dxa"/>
            <w:bottom w:w="0" w:type="dxa"/>
          </w:tblCellMar>
        </w:tblPrEx>
        <w:tc>
          <w:tcPr>
            <w:tcW w:w="2040" w:type="dxa"/>
          </w:tcPr>
          <w:p w:rsidR="00547E7E" w:rsidRPr="00075492" w:rsidRDefault="00547E7E">
            <w:pPr>
              <w:pStyle w:val="Normaltindrag"/>
              <w:ind w:firstLine="0"/>
            </w:pPr>
            <w:r w:rsidRPr="00075492">
              <w:t>Antal kurser</w:t>
            </w:r>
          </w:p>
        </w:tc>
        <w:tc>
          <w:tcPr>
            <w:tcW w:w="615" w:type="dxa"/>
          </w:tcPr>
          <w:p w:rsidR="00547E7E" w:rsidRPr="00075492" w:rsidRDefault="00547E7E">
            <w:pPr>
              <w:pStyle w:val="Normaltindrag"/>
              <w:ind w:firstLine="0"/>
              <w:jc w:val="center"/>
            </w:pPr>
            <w:r w:rsidRPr="00075492">
              <w:t>8</w:t>
            </w:r>
          </w:p>
        </w:tc>
        <w:tc>
          <w:tcPr>
            <w:tcW w:w="615" w:type="dxa"/>
          </w:tcPr>
          <w:p w:rsidR="00547E7E" w:rsidRPr="00075492" w:rsidRDefault="00547E7E">
            <w:pPr>
              <w:pStyle w:val="Normaltindrag"/>
              <w:ind w:firstLine="0"/>
              <w:jc w:val="center"/>
            </w:pPr>
            <w:r w:rsidRPr="00075492">
              <w:t>4</w:t>
            </w:r>
          </w:p>
        </w:tc>
        <w:tc>
          <w:tcPr>
            <w:tcW w:w="615" w:type="dxa"/>
          </w:tcPr>
          <w:p w:rsidR="00547E7E" w:rsidRPr="00075492" w:rsidRDefault="00547E7E">
            <w:pPr>
              <w:pStyle w:val="Normaltindrag"/>
              <w:ind w:firstLine="0"/>
              <w:jc w:val="center"/>
            </w:pPr>
            <w:r w:rsidRPr="00075492">
              <w:t>4</w:t>
            </w:r>
          </w:p>
        </w:tc>
        <w:tc>
          <w:tcPr>
            <w:tcW w:w="615" w:type="dxa"/>
          </w:tcPr>
          <w:p w:rsidR="00547E7E" w:rsidRPr="00075492" w:rsidRDefault="00547E7E">
            <w:pPr>
              <w:pStyle w:val="Normaltindrag"/>
              <w:ind w:firstLine="0"/>
              <w:jc w:val="center"/>
            </w:pPr>
            <w:r w:rsidRPr="00075492">
              <w:t>6</w:t>
            </w:r>
          </w:p>
        </w:tc>
        <w:tc>
          <w:tcPr>
            <w:tcW w:w="615" w:type="dxa"/>
          </w:tcPr>
          <w:p w:rsidR="00547E7E" w:rsidRPr="00075492" w:rsidRDefault="00547E7E">
            <w:pPr>
              <w:pStyle w:val="Normaltindrag"/>
              <w:ind w:firstLine="0"/>
              <w:jc w:val="center"/>
            </w:pPr>
            <w:r w:rsidRPr="00075492">
              <w:t>7</w:t>
            </w:r>
          </w:p>
        </w:tc>
        <w:tc>
          <w:tcPr>
            <w:tcW w:w="615" w:type="dxa"/>
          </w:tcPr>
          <w:p w:rsidR="00547E7E" w:rsidRPr="00075492" w:rsidRDefault="00547E7E">
            <w:pPr>
              <w:pStyle w:val="Normaltindrag"/>
              <w:ind w:firstLine="0"/>
              <w:jc w:val="center"/>
            </w:pPr>
            <w:r w:rsidRPr="00075492">
              <w:t>2</w:t>
            </w:r>
          </w:p>
        </w:tc>
      </w:tr>
      <w:tr w:rsidR="00000000" w:rsidRPr="00075492">
        <w:tblPrEx>
          <w:tblCellMar>
            <w:top w:w="0" w:type="dxa"/>
            <w:bottom w:w="0" w:type="dxa"/>
          </w:tblCellMar>
        </w:tblPrEx>
        <w:tc>
          <w:tcPr>
            <w:tcW w:w="2040" w:type="dxa"/>
          </w:tcPr>
          <w:p w:rsidR="00547E7E" w:rsidRPr="00075492" w:rsidRDefault="00547E7E">
            <w:pPr>
              <w:pStyle w:val="Normaltindrag"/>
              <w:ind w:firstLine="0"/>
            </w:pPr>
            <w:r w:rsidRPr="00075492">
              <w:t xml:space="preserve">Antal orter/tillfällen </w:t>
            </w:r>
          </w:p>
        </w:tc>
        <w:tc>
          <w:tcPr>
            <w:tcW w:w="615" w:type="dxa"/>
          </w:tcPr>
          <w:p w:rsidR="00547E7E" w:rsidRPr="00075492" w:rsidRDefault="00547E7E">
            <w:pPr>
              <w:pStyle w:val="Normaltindrag"/>
              <w:ind w:firstLine="0"/>
              <w:jc w:val="center"/>
            </w:pPr>
            <w:r w:rsidRPr="00075492">
              <w:t>13</w:t>
            </w:r>
          </w:p>
        </w:tc>
        <w:tc>
          <w:tcPr>
            <w:tcW w:w="615" w:type="dxa"/>
          </w:tcPr>
          <w:p w:rsidR="00547E7E" w:rsidRPr="00075492" w:rsidRDefault="00547E7E">
            <w:pPr>
              <w:pStyle w:val="Normaltindrag"/>
              <w:ind w:firstLine="0"/>
              <w:jc w:val="center"/>
            </w:pPr>
            <w:r w:rsidRPr="00075492">
              <w:t>6</w:t>
            </w:r>
          </w:p>
        </w:tc>
        <w:tc>
          <w:tcPr>
            <w:tcW w:w="615" w:type="dxa"/>
          </w:tcPr>
          <w:p w:rsidR="00547E7E" w:rsidRPr="00075492" w:rsidRDefault="00547E7E">
            <w:pPr>
              <w:pStyle w:val="Normaltindrag"/>
              <w:ind w:firstLine="0"/>
              <w:jc w:val="center"/>
            </w:pPr>
            <w:r w:rsidRPr="00075492">
              <w:t>8</w:t>
            </w:r>
          </w:p>
        </w:tc>
        <w:tc>
          <w:tcPr>
            <w:tcW w:w="615" w:type="dxa"/>
          </w:tcPr>
          <w:p w:rsidR="00547E7E" w:rsidRPr="00075492" w:rsidRDefault="00547E7E">
            <w:pPr>
              <w:pStyle w:val="Normaltindrag"/>
              <w:ind w:firstLine="0"/>
              <w:jc w:val="center"/>
            </w:pPr>
            <w:r w:rsidRPr="00075492">
              <w:t>22</w:t>
            </w:r>
          </w:p>
        </w:tc>
        <w:tc>
          <w:tcPr>
            <w:tcW w:w="615" w:type="dxa"/>
          </w:tcPr>
          <w:p w:rsidR="00547E7E" w:rsidRPr="00075492" w:rsidRDefault="00547E7E">
            <w:pPr>
              <w:pStyle w:val="Normaltindrag"/>
              <w:ind w:firstLine="0"/>
              <w:jc w:val="center"/>
            </w:pPr>
            <w:r w:rsidRPr="00075492">
              <w:t>22</w:t>
            </w:r>
          </w:p>
        </w:tc>
        <w:tc>
          <w:tcPr>
            <w:tcW w:w="615" w:type="dxa"/>
          </w:tcPr>
          <w:p w:rsidR="00547E7E" w:rsidRPr="00075492" w:rsidRDefault="00547E7E">
            <w:pPr>
              <w:pStyle w:val="Normaltindrag"/>
              <w:ind w:firstLine="0"/>
              <w:jc w:val="center"/>
            </w:pPr>
            <w:r w:rsidRPr="00075492">
              <w:t>6</w:t>
            </w:r>
          </w:p>
        </w:tc>
      </w:tr>
      <w:tr w:rsidR="00000000" w:rsidRPr="00075492">
        <w:tblPrEx>
          <w:tblCellMar>
            <w:top w:w="0" w:type="dxa"/>
            <w:bottom w:w="0" w:type="dxa"/>
          </w:tblCellMar>
        </w:tblPrEx>
        <w:tc>
          <w:tcPr>
            <w:tcW w:w="2040" w:type="dxa"/>
          </w:tcPr>
          <w:p w:rsidR="00547E7E" w:rsidRPr="00075492" w:rsidRDefault="00547E7E">
            <w:pPr>
              <w:pStyle w:val="Normaltindrag"/>
              <w:ind w:firstLine="0"/>
            </w:pPr>
            <w:r w:rsidRPr="00075492">
              <w:t>Totalt antal deltagare  *</w:t>
            </w:r>
          </w:p>
        </w:tc>
        <w:tc>
          <w:tcPr>
            <w:tcW w:w="615" w:type="dxa"/>
          </w:tcPr>
          <w:p w:rsidR="00547E7E" w:rsidRPr="00075492" w:rsidRDefault="00547E7E">
            <w:pPr>
              <w:pStyle w:val="Normaltindrag"/>
              <w:ind w:firstLine="0"/>
              <w:jc w:val="center"/>
            </w:pPr>
            <w:r w:rsidRPr="00075492">
              <w:t>298</w:t>
            </w:r>
          </w:p>
        </w:tc>
        <w:tc>
          <w:tcPr>
            <w:tcW w:w="615" w:type="dxa"/>
          </w:tcPr>
          <w:p w:rsidR="00547E7E" w:rsidRPr="00075492" w:rsidRDefault="00547E7E">
            <w:pPr>
              <w:pStyle w:val="Normaltindrag"/>
              <w:ind w:firstLine="0"/>
              <w:jc w:val="center"/>
            </w:pPr>
            <w:r w:rsidRPr="00075492">
              <w:t>198</w:t>
            </w:r>
          </w:p>
        </w:tc>
        <w:tc>
          <w:tcPr>
            <w:tcW w:w="615" w:type="dxa"/>
          </w:tcPr>
          <w:p w:rsidR="00547E7E" w:rsidRPr="00075492" w:rsidRDefault="00547E7E">
            <w:pPr>
              <w:pStyle w:val="Normaltindrag"/>
              <w:ind w:firstLine="0"/>
              <w:jc w:val="center"/>
            </w:pPr>
            <w:r w:rsidRPr="00075492">
              <w:t>155</w:t>
            </w:r>
          </w:p>
        </w:tc>
        <w:tc>
          <w:tcPr>
            <w:tcW w:w="615" w:type="dxa"/>
          </w:tcPr>
          <w:p w:rsidR="00547E7E" w:rsidRPr="00075492" w:rsidRDefault="00547E7E">
            <w:pPr>
              <w:pStyle w:val="Normaltindrag"/>
              <w:ind w:firstLine="0"/>
              <w:jc w:val="center"/>
            </w:pPr>
            <w:r w:rsidRPr="00075492">
              <w:t>829</w:t>
            </w:r>
          </w:p>
        </w:tc>
        <w:tc>
          <w:tcPr>
            <w:tcW w:w="615" w:type="dxa"/>
          </w:tcPr>
          <w:p w:rsidR="00547E7E" w:rsidRPr="00075492" w:rsidRDefault="00547E7E">
            <w:pPr>
              <w:pStyle w:val="Normaltindrag"/>
              <w:ind w:firstLine="0"/>
              <w:jc w:val="center"/>
            </w:pPr>
            <w:r w:rsidRPr="00075492">
              <w:t>597</w:t>
            </w:r>
          </w:p>
        </w:tc>
        <w:tc>
          <w:tcPr>
            <w:tcW w:w="615" w:type="dxa"/>
          </w:tcPr>
          <w:p w:rsidR="00547E7E" w:rsidRPr="00075492" w:rsidRDefault="00547E7E">
            <w:pPr>
              <w:pStyle w:val="Normaltindrag"/>
              <w:ind w:firstLine="0"/>
              <w:jc w:val="center"/>
            </w:pPr>
            <w:r w:rsidRPr="00075492">
              <w:t>143</w:t>
            </w:r>
          </w:p>
        </w:tc>
      </w:tr>
    </w:tbl>
    <w:p w:rsidR="00547E7E" w:rsidRPr="00075492" w:rsidRDefault="00547E7E">
      <w:pPr>
        <w:pStyle w:val="Tabell"/>
      </w:pPr>
      <w:r w:rsidRPr="00075492">
        <w:t xml:space="preserve">* Vissa kurser riktas även till andra yrkesgrupper. </w:t>
      </w:r>
    </w:p>
    <w:p w:rsidR="00547E7E" w:rsidRPr="00075492" w:rsidRDefault="00547E7E">
      <w:pPr>
        <w:pStyle w:val="Tabell"/>
      </w:pPr>
      <w:r w:rsidRPr="00075492">
        <w:t>Källa: Livsmedelsverket, Förteckning över kurser riktade till miljö- och hälsoskydd</w:t>
      </w:r>
      <w:r w:rsidRPr="00075492">
        <w:t>s</w:t>
      </w:r>
      <w:r w:rsidRPr="00075492">
        <w:t>inspektörer 1995–2000</w:t>
      </w:r>
    </w:p>
    <w:p w:rsidR="00547E7E" w:rsidRPr="00075492" w:rsidRDefault="00547E7E">
      <w:r w:rsidRPr="00075492">
        <w:t>Av tabellen framgår att åren 1998 och 1999 bedrevs en omfattande utbil</w:t>
      </w:r>
      <w:r w:rsidRPr="00075492">
        <w:t>d</w:t>
      </w:r>
      <w:r w:rsidRPr="00075492">
        <w:t xml:space="preserve">ningsverksamhet. Kurserna omfattar vanligtvis en eller två dagar. </w:t>
      </w:r>
      <w:bookmarkStart w:id="385" w:name="_Toc529000126"/>
      <w:bookmarkStart w:id="386" w:name="_Toc529082262"/>
    </w:p>
    <w:p w:rsidR="00547E7E" w:rsidRPr="00075492" w:rsidRDefault="00547E7E">
      <w:pPr>
        <w:pStyle w:val="Rubrik2"/>
      </w:pPr>
      <w:bookmarkStart w:id="387" w:name="_Toc532284502"/>
      <w:bookmarkStart w:id="388" w:name="_Toc532292068"/>
      <w:bookmarkStart w:id="389" w:name="_Toc84615"/>
      <w:bookmarkStart w:id="390" w:name="_Toc6634573"/>
      <w:bookmarkStart w:id="391" w:name="_Toc6637155"/>
      <w:r w:rsidRPr="00075492">
        <w:t>Rapport</w:t>
      </w:r>
      <w:r w:rsidRPr="00075492">
        <w:t>e</w:t>
      </w:r>
      <w:r w:rsidRPr="00075492">
        <w:t>ring</w:t>
      </w:r>
      <w:bookmarkEnd w:id="385"/>
      <w:r w:rsidRPr="00075492">
        <w:t>ssystem</w:t>
      </w:r>
      <w:bookmarkEnd w:id="386"/>
      <w:bookmarkEnd w:id="387"/>
      <w:bookmarkEnd w:id="388"/>
      <w:bookmarkEnd w:id="389"/>
      <w:bookmarkEnd w:id="390"/>
      <w:bookmarkEnd w:id="391"/>
    </w:p>
    <w:p w:rsidR="00547E7E" w:rsidRPr="00075492" w:rsidRDefault="00547E7E">
      <w:pPr>
        <w:pStyle w:val="Rubrik3"/>
      </w:pPr>
      <w:bookmarkStart w:id="392" w:name="_Toc529082263"/>
      <w:bookmarkStart w:id="393" w:name="_Toc532284503"/>
      <w:bookmarkStart w:id="394" w:name="_Toc532292069"/>
      <w:bookmarkStart w:id="395" w:name="_Toc84616"/>
      <w:bookmarkStart w:id="396" w:name="_Toc6634574"/>
      <w:bookmarkStart w:id="397" w:name="_Toc6637156"/>
      <w:r w:rsidRPr="00075492">
        <w:t>Rapporteringsordning</w:t>
      </w:r>
      <w:bookmarkEnd w:id="393"/>
      <w:bookmarkEnd w:id="394"/>
      <w:bookmarkEnd w:id="395"/>
      <w:bookmarkEnd w:id="396"/>
      <w:bookmarkEnd w:id="397"/>
      <w:r w:rsidRPr="00075492">
        <w:t xml:space="preserve"> </w:t>
      </w:r>
      <w:bookmarkEnd w:id="392"/>
    </w:p>
    <w:p w:rsidR="00547E7E" w:rsidRPr="00075492" w:rsidRDefault="00547E7E">
      <w:r w:rsidRPr="00075492">
        <w:t>Sedan år 1990 inhämtar Livsmedelsverket årligen uppgifter från kommune</w:t>
      </w:r>
      <w:r w:rsidRPr="00075492">
        <w:t>r</w:t>
      </w:r>
      <w:r w:rsidRPr="00075492">
        <w:t xml:space="preserve">na om livsmedelstillsynen. Sedan år 1993 publiceras resultaten i en årlig rapport. </w:t>
      </w:r>
    </w:p>
    <w:p w:rsidR="00547E7E" w:rsidRPr="00075492" w:rsidRDefault="00547E7E">
      <w:pPr>
        <w:pStyle w:val="Normaltindrag"/>
      </w:pPr>
      <w:r w:rsidRPr="00075492">
        <w:t>Det finns problem med kommunernas rapportering till Livsmedelsverket. Uppgifterna behöver ofta kompletteras, och många kommuner lämnar in uppgifterna för sent. År 2001 var rapporteringen från 130 kommuner bris</w:t>
      </w:r>
      <w:r w:rsidRPr="00075492">
        <w:t>t</w:t>
      </w:r>
      <w:r w:rsidRPr="00075492">
        <w:t xml:space="preserve">fällig. 82 kommuner hade inte rapporterat i tid. </w:t>
      </w:r>
    </w:p>
    <w:p w:rsidR="00547E7E" w:rsidRPr="00075492" w:rsidRDefault="00547E7E">
      <w:pPr>
        <w:pStyle w:val="Normaltindrag"/>
      </w:pPr>
      <w:r w:rsidRPr="00075492">
        <w:t>Länsstyrelsernas uppgifter i sammanhanget har varit att samla in komm</w:t>
      </w:r>
      <w:r w:rsidRPr="00075492">
        <w:t>u</w:t>
      </w:r>
      <w:r w:rsidRPr="00075492">
        <w:t>nernas uppgifter och översända dessa till Livsmedelsverket. Från och med innevarande år lämnar kommunerna uppgifterna direkt till Livsmedelsverket.</w:t>
      </w:r>
    </w:p>
    <w:p w:rsidR="00547E7E" w:rsidRPr="00075492" w:rsidRDefault="00547E7E">
      <w:pPr>
        <w:pStyle w:val="Normaltindrag"/>
        <w:tabs>
          <w:tab w:val="num" w:pos="575"/>
        </w:tabs>
      </w:pPr>
      <w:r w:rsidRPr="00075492">
        <w:t>Regeringen får, genom Livsmedelsverkets försorg, del av kommunernas årliga rapportering om livsmedelstillsynen. Därutöver får regeringen info</w:t>
      </w:r>
      <w:r w:rsidRPr="00075492">
        <w:t>r</w:t>
      </w:r>
      <w:r w:rsidRPr="00075492">
        <w:t>mation om den kommunala livsmedelstillsynen genom Livsmedelsverkets och länsstyrelsernas årsred</w:t>
      </w:r>
      <w:r w:rsidRPr="00075492">
        <w:t>o</w:t>
      </w:r>
      <w:r w:rsidRPr="00075492">
        <w:t xml:space="preserve">visningar. </w:t>
      </w:r>
    </w:p>
    <w:p w:rsidR="00547E7E" w:rsidRPr="00075492" w:rsidRDefault="00547E7E">
      <w:pPr>
        <w:pStyle w:val="Normaltindrag"/>
      </w:pPr>
      <w:r w:rsidRPr="00075492">
        <w:t>Riksdagen får inte regelbundet någon rapportering om livsmedelstillsynen. I budgetpropositionen saknas en resultatinriktad rapportering om livsm</w:t>
      </w:r>
      <w:r w:rsidRPr="00075492">
        <w:t>e</w:t>
      </w:r>
      <w:r w:rsidRPr="00075492">
        <w:t xml:space="preserve">delstillsynen. </w:t>
      </w:r>
    </w:p>
    <w:p w:rsidR="00547E7E" w:rsidRPr="00075492" w:rsidRDefault="00547E7E">
      <w:pPr>
        <w:pStyle w:val="Rubrik3"/>
      </w:pPr>
      <w:bookmarkStart w:id="398" w:name="_Toc529082264"/>
      <w:bookmarkStart w:id="399" w:name="_Toc532284504"/>
      <w:bookmarkStart w:id="400" w:name="_Toc532292070"/>
      <w:bookmarkStart w:id="401" w:name="_Toc84617"/>
      <w:bookmarkStart w:id="402" w:name="_Toc6634575"/>
      <w:bookmarkStart w:id="403" w:name="_Toc6637157"/>
      <w:r w:rsidRPr="00075492">
        <w:t>Nuvarande system och beslutade förändringar</w:t>
      </w:r>
      <w:bookmarkEnd w:id="398"/>
      <w:bookmarkEnd w:id="399"/>
      <w:bookmarkEnd w:id="400"/>
      <w:bookmarkEnd w:id="401"/>
      <w:bookmarkEnd w:id="402"/>
      <w:bookmarkEnd w:id="403"/>
    </w:p>
    <w:p w:rsidR="00547E7E" w:rsidRPr="00075492" w:rsidRDefault="00547E7E">
      <w:r w:rsidRPr="00075492">
        <w:t>Nuvarande rapporteringssystem, dvs. kommunernas årliga rapportering, innehåller uppgifter om bl.a. tillsynsresurser, tillsynsaktiviteter, företagens egenkontrollprogram, tillsynsavgifter och resultat av tillsynen. I stort sett har frågorna inte förändrats över tiden.</w:t>
      </w:r>
    </w:p>
    <w:p w:rsidR="00547E7E" w:rsidRPr="00075492" w:rsidRDefault="00547E7E">
      <w:pPr>
        <w:pStyle w:val="Normaltindrag"/>
      </w:pPr>
      <w:r w:rsidRPr="00075492">
        <w:t>I utredningen om livsmedelstillsynen uppmärksammades behov av att fö</w:t>
      </w:r>
      <w:r w:rsidRPr="00075492">
        <w:t>r</w:t>
      </w:r>
      <w:r w:rsidRPr="00075492">
        <w:t>ändra rapporteringssystemet. Bakgrunden var dels allvarliga brister vad gäller redovisningen av kostnader och prestationer, dels EU:s krav på me</w:t>
      </w:r>
      <w:r w:rsidRPr="00075492">
        <w:t>d</w:t>
      </w:r>
      <w:r w:rsidRPr="00075492">
        <w:t>lemsländernas redovisning av livsmede</w:t>
      </w:r>
      <w:r w:rsidRPr="00075492">
        <w:t>l</w:t>
      </w:r>
      <w:r w:rsidRPr="00075492">
        <w:t xml:space="preserve">skontroll. </w:t>
      </w:r>
    </w:p>
    <w:p w:rsidR="00547E7E" w:rsidRPr="00075492" w:rsidRDefault="00547E7E">
      <w:pPr>
        <w:pStyle w:val="Normaltindrag"/>
        <w:tabs>
          <w:tab w:val="num" w:pos="575"/>
        </w:tabs>
      </w:pPr>
      <w:r w:rsidRPr="00075492">
        <w:t>År 1999 lämnade regeringen ett uppdrag</w:t>
      </w:r>
      <w:r w:rsidRPr="00075492">
        <w:rPr>
          <w:rStyle w:val="Fotnotsreferens"/>
        </w:rPr>
        <w:footnoteReference w:id="29"/>
      </w:r>
      <w:r w:rsidRPr="00075492">
        <w:t xml:space="preserve"> till Livsmedelsverket. Uppdr</w:t>
      </w:r>
      <w:r w:rsidRPr="00075492">
        <w:t>a</w:t>
      </w:r>
      <w:r w:rsidRPr="00075492">
        <w:t>get syftade till att utarbeta ett nytt system för årlig rapportering om den l</w:t>
      </w:r>
      <w:r w:rsidRPr="00075492">
        <w:t>o</w:t>
      </w:r>
      <w:r w:rsidRPr="00075492">
        <w:t>kala livsmedels- och dricksvattentillsynen. Systemet skulle uppfylla EU:s krav på rapportering. Dessutom skulle Livsmedelsverkets behov av inform</w:t>
      </w:r>
      <w:r w:rsidRPr="00075492">
        <w:t>a</w:t>
      </w:r>
      <w:r w:rsidRPr="00075492">
        <w:t>tion för att möjliggöra ledning och styrning av den lokala livsmedelstillsynen tillgodoses. Uppdraget skulle utföras i samråd med Svenska Kommunfö</w:t>
      </w:r>
      <w:r w:rsidRPr="00075492">
        <w:t>r</w:t>
      </w:r>
      <w:r w:rsidRPr="00075492">
        <w:t xml:space="preserve">bundet. </w:t>
      </w:r>
    </w:p>
    <w:p w:rsidR="00547E7E" w:rsidRPr="00075492" w:rsidRDefault="00547E7E">
      <w:pPr>
        <w:pStyle w:val="Normaltindrag"/>
      </w:pPr>
      <w:r w:rsidRPr="00075492">
        <w:t>Ett nytt rapporteringssystem har utvecklats. Det nya systemet kommer att tas i bruk år 2002.</w:t>
      </w:r>
    </w:p>
    <w:p w:rsidR="00547E7E" w:rsidRPr="00075492" w:rsidRDefault="00547E7E">
      <w:pPr>
        <w:pStyle w:val="Normaltindrag"/>
      </w:pPr>
      <w:r w:rsidRPr="00075492">
        <w:t>En princip som har tillämpats i samband med utformningen av det nya s</w:t>
      </w:r>
      <w:r w:rsidRPr="00075492">
        <w:t>y</w:t>
      </w:r>
      <w:r w:rsidRPr="00075492">
        <w:t>stemet är att inte efterfråga uppgifter från kommunerna som Livsmedelsve</w:t>
      </w:r>
      <w:r w:rsidRPr="00075492">
        <w:t>r</w:t>
      </w:r>
      <w:r w:rsidRPr="00075492">
        <w:t>ket kan hämta från annan källa. Denna princip har dock inte kunnat tillämpas fullt ut beroende på att nuvarande lydelse av livsmedelslagen inte gör det möjligt för Livsmedelsverket att ställa krav på t.ex. laboratorier som lämnar provsvar att rapportera till verket.</w:t>
      </w:r>
    </w:p>
    <w:p w:rsidR="00547E7E" w:rsidRPr="00075492" w:rsidRDefault="00547E7E">
      <w:pPr>
        <w:pStyle w:val="Normaltindrag"/>
      </w:pPr>
      <w:r w:rsidRPr="00075492">
        <w:t>Kommunernas uppgiftsskyldighet har ökat i det nya rapporteringssystemet genom att mer detaljerade uppgifter efterfrågas. Rapporteringsskyldigheten grundas i mycket hög uts</w:t>
      </w:r>
      <w:r w:rsidRPr="00075492">
        <w:t>träckning på nuvarande rapportering</w:t>
      </w:r>
      <w:r w:rsidRPr="00075492">
        <w:t>s</w:t>
      </w:r>
      <w:r w:rsidRPr="00075492">
        <w:t>krav till EU.</w:t>
      </w:r>
    </w:p>
    <w:p w:rsidR="00547E7E" w:rsidRPr="00075492" w:rsidRDefault="00547E7E">
      <w:pPr>
        <w:pStyle w:val="Normaltindrag"/>
      </w:pPr>
      <w:r w:rsidRPr="00075492">
        <w:t>Vissa uppgifter t.ex. kommunernas kostnader för verksamheten, har utgått. Denna fråga redovisas och diskuteras i kap. 9.</w:t>
      </w:r>
    </w:p>
    <w:p w:rsidR="00547E7E" w:rsidRPr="00075492" w:rsidRDefault="00547E7E">
      <w:pPr>
        <w:pStyle w:val="Normaltindrag"/>
        <w:tabs>
          <w:tab w:val="num" w:pos="575"/>
        </w:tabs>
      </w:pPr>
      <w:r w:rsidRPr="00075492">
        <w:t>Det finns dock förhoppningar om att kommunernas arbete med rapport</w:t>
      </w:r>
      <w:r w:rsidRPr="00075492">
        <w:t>e</w:t>
      </w:r>
      <w:r w:rsidRPr="00075492">
        <w:t>ringen ska underlättas. Det pågår ett utvecklingsarbete med datoriserade inspektioner. Resultat från en genomförd inspektion ska dokumenteras på en elektronisk blankett. Därefter laddas resultatet ned till en central databas. Resultatet ska sedan användas för up</w:t>
      </w:r>
      <w:r w:rsidRPr="00075492">
        <w:t>p</w:t>
      </w:r>
      <w:r w:rsidRPr="00075492">
        <w:t xml:space="preserve">följning och rapportering. </w:t>
      </w:r>
    </w:p>
    <w:p w:rsidR="00547E7E" w:rsidRPr="00075492" w:rsidRDefault="00547E7E">
      <w:pPr>
        <w:pStyle w:val="Rubrik2"/>
      </w:pPr>
      <w:bookmarkStart w:id="404" w:name="_Toc532284505"/>
      <w:bookmarkStart w:id="405" w:name="_Toc532292071"/>
      <w:bookmarkStart w:id="406" w:name="_Toc84618"/>
      <w:bookmarkStart w:id="407" w:name="_Toc6634576"/>
      <w:bookmarkStart w:id="408" w:name="_Toc6637158"/>
      <w:r w:rsidRPr="00075492">
        <w:t>Livsmedelsverkets kritik av den kommunala tillsynen</w:t>
      </w:r>
      <w:bookmarkEnd w:id="404"/>
      <w:bookmarkEnd w:id="405"/>
      <w:bookmarkEnd w:id="406"/>
      <w:bookmarkEnd w:id="407"/>
      <w:bookmarkEnd w:id="408"/>
    </w:p>
    <w:p w:rsidR="00547E7E" w:rsidRPr="00075492" w:rsidRDefault="00547E7E">
      <w:r w:rsidRPr="00075492">
        <w:t>I Livsmedelsverkets rapport 9 – 2000 redovisas bl.a. resultat av kommune</w:t>
      </w:r>
      <w:r w:rsidRPr="00075492">
        <w:t>r</w:t>
      </w:r>
      <w:r w:rsidRPr="00075492">
        <w:t>nas tillsynsverksamhet. Underlaget grundas delvis på kommunernas årliga rapportering. Livsmedelsverket ifrågasätter starkt om den kommunala liv</w:t>
      </w:r>
      <w:r w:rsidRPr="00075492">
        <w:t>s</w:t>
      </w:r>
      <w:r w:rsidRPr="00075492">
        <w:t>medelstillsynen är effektiv och likvärdig i hela landet. Den kommunala til</w:t>
      </w:r>
      <w:r w:rsidRPr="00075492">
        <w:t>l</w:t>
      </w:r>
      <w:r w:rsidRPr="00075492">
        <w:t>synen brister, enligt verket, i följande avs</w:t>
      </w:r>
      <w:r w:rsidRPr="00075492">
        <w:t>e</w:t>
      </w:r>
      <w:r w:rsidRPr="00075492">
        <w:t>enden:</w:t>
      </w:r>
    </w:p>
    <w:p w:rsidR="00547E7E" w:rsidRPr="00075492" w:rsidRDefault="00547E7E">
      <w:pPr>
        <w:numPr>
          <w:ilvl w:val="0"/>
          <w:numId w:val="67"/>
        </w:numPr>
      </w:pPr>
      <w:r w:rsidRPr="00075492">
        <w:t>Verksamhetsplanering och uppföljning</w:t>
      </w:r>
    </w:p>
    <w:p w:rsidR="00547E7E" w:rsidRPr="00075492" w:rsidRDefault="00547E7E">
      <w:r w:rsidRPr="00075492">
        <w:t>32 % av de lokala tillsynsmyndigheterna saknar verksamhetsplan för livsm</w:t>
      </w:r>
      <w:r w:rsidRPr="00075492">
        <w:t>e</w:t>
      </w:r>
      <w:r w:rsidRPr="00075492">
        <w:t>delstillsynen. Ytterligare 27 % av kommunerna saknar egentlig uppföljning av planen. Detta innebär att en stor del av kommunerna bryter mot Livsm</w:t>
      </w:r>
      <w:r w:rsidRPr="00075492">
        <w:t>e</w:t>
      </w:r>
      <w:r w:rsidRPr="00075492">
        <w:t>delsverkets föreskrifter (SLVFS 1990:10) om livsmedelstillsyn m.m. Enligt föreskriften ska tillsynsmyndigheten utarbeta en plan för den årliga tillsyn</w:t>
      </w:r>
      <w:r w:rsidRPr="00075492">
        <w:t>s</w:t>
      </w:r>
      <w:r w:rsidRPr="00075492">
        <w:t>verksamheten. Planen ska fortlöpande följas upp och verksamheten utvärd</w:t>
      </w:r>
      <w:r w:rsidRPr="00075492">
        <w:t>e</w:t>
      </w:r>
      <w:r w:rsidRPr="00075492">
        <w:t>ras.</w:t>
      </w:r>
    </w:p>
    <w:p w:rsidR="00547E7E" w:rsidRPr="00075492" w:rsidRDefault="00547E7E">
      <w:pPr>
        <w:numPr>
          <w:ilvl w:val="0"/>
          <w:numId w:val="70"/>
        </w:numPr>
      </w:pPr>
      <w:r w:rsidRPr="00075492">
        <w:t>Otillräckliga resurser</w:t>
      </w:r>
    </w:p>
    <w:p w:rsidR="00547E7E" w:rsidRPr="00075492" w:rsidRDefault="00547E7E">
      <w:r w:rsidRPr="00075492">
        <w:t xml:space="preserve">64 % av de lokala tillsynsmyndigheterna bedömer att de har otillräckliga personella resurser. </w:t>
      </w:r>
    </w:p>
    <w:p w:rsidR="00547E7E" w:rsidRPr="00075492" w:rsidRDefault="00547E7E">
      <w:pPr>
        <w:numPr>
          <w:ilvl w:val="0"/>
          <w:numId w:val="89"/>
        </w:numPr>
      </w:pPr>
      <w:r w:rsidRPr="00075492">
        <w:t>Minskade lokala tillsynsaktiviteter</w:t>
      </w:r>
    </w:p>
    <w:p w:rsidR="00547E7E" w:rsidRPr="00075492" w:rsidRDefault="00547E7E">
      <w:r w:rsidRPr="00075492">
        <w:t>Sedan år 1993 har antalet inspektioner av de kommunala tillsynsmyndigh</w:t>
      </w:r>
      <w:r w:rsidRPr="00075492">
        <w:t>e</w:t>
      </w:r>
      <w:r w:rsidRPr="00075492">
        <w:t>terna minskat. Ca 64 000 inspektioner utfördes år 1993. År 1998 var motsv</w:t>
      </w:r>
      <w:r w:rsidRPr="00075492">
        <w:t>a</w:t>
      </w:r>
      <w:r w:rsidRPr="00075492">
        <w:t>rande antal ca 46 000. Inspektionsfrekvensen har sjunkit från 1,40 till 0,89 inspektioner per anläggning och år. Enligt Livsmedelsverkets rekommend</w:t>
      </w:r>
      <w:r w:rsidRPr="00075492">
        <w:t>a</w:t>
      </w:r>
      <w:r w:rsidRPr="00075492">
        <w:t>tioner ska anläggningar inspekteras minst en gång per år och vissa anläg</w:t>
      </w:r>
      <w:r w:rsidRPr="00075492">
        <w:t>g</w:t>
      </w:r>
      <w:r w:rsidRPr="00075492">
        <w:t>ningar ska inspekteras vid fler tillfällen.</w:t>
      </w:r>
    </w:p>
    <w:p w:rsidR="00547E7E" w:rsidRPr="00075492" w:rsidRDefault="00547E7E">
      <w:pPr>
        <w:pStyle w:val="Normaltindrag"/>
        <w:ind w:firstLine="0"/>
      </w:pPr>
    </w:p>
    <w:p w:rsidR="00547E7E" w:rsidRPr="00075492" w:rsidRDefault="00547E7E">
      <w:pPr>
        <w:pStyle w:val="Normaltindrag"/>
        <w:numPr>
          <w:ilvl w:val="0"/>
          <w:numId w:val="71"/>
        </w:numPr>
      </w:pPr>
      <w:r w:rsidRPr="00075492">
        <w:t>Varierande tillsynsfrekvens</w:t>
      </w:r>
    </w:p>
    <w:p w:rsidR="00547E7E" w:rsidRPr="00075492" w:rsidRDefault="00547E7E">
      <w:r w:rsidRPr="00075492">
        <w:t>Inspektionsfrekvensen varierar stort mellan olika kommuner. I nio komm</w:t>
      </w:r>
      <w:r w:rsidRPr="00075492">
        <w:t>u</w:t>
      </w:r>
      <w:r w:rsidRPr="00075492">
        <w:t xml:space="preserve">ner inspekteras anläggningarna mycket sällan, i genomsnitt mindre än en gång vart femte år. </w:t>
      </w:r>
    </w:p>
    <w:p w:rsidR="00547E7E" w:rsidRPr="00075492" w:rsidRDefault="00547E7E">
      <w:pPr>
        <w:pStyle w:val="Normaltindrag"/>
        <w:ind w:firstLine="0"/>
      </w:pPr>
    </w:p>
    <w:p w:rsidR="00547E7E" w:rsidRPr="00075492" w:rsidRDefault="00547E7E">
      <w:pPr>
        <w:pStyle w:val="Normaltindrag"/>
        <w:numPr>
          <w:ilvl w:val="0"/>
          <w:numId w:val="73"/>
        </w:numPr>
      </w:pPr>
      <w:r w:rsidRPr="00075492">
        <w:t>Dålig tillsyn av företagens egenkontrollprogram</w:t>
      </w:r>
    </w:p>
    <w:p w:rsidR="00547E7E" w:rsidRPr="00075492" w:rsidRDefault="00547E7E">
      <w:r w:rsidRPr="00075492">
        <w:t>75 % av egenkontrollprogrammen följs inte upp av tillsynsmy</w:t>
      </w:r>
      <w:r w:rsidRPr="00075492">
        <w:t>n</w:t>
      </w:r>
      <w:r w:rsidRPr="00075492">
        <w:t>digheterna.</w:t>
      </w:r>
    </w:p>
    <w:p w:rsidR="00547E7E" w:rsidRPr="00075492" w:rsidRDefault="00547E7E">
      <w:pPr>
        <w:pStyle w:val="Normaltindrag"/>
        <w:ind w:firstLine="0"/>
      </w:pPr>
    </w:p>
    <w:p w:rsidR="00547E7E" w:rsidRPr="00075492" w:rsidRDefault="00547E7E">
      <w:pPr>
        <w:pStyle w:val="Normaltindrag"/>
        <w:numPr>
          <w:ilvl w:val="0"/>
          <w:numId w:val="72"/>
        </w:numPr>
      </w:pPr>
      <w:r w:rsidRPr="00075492">
        <w:t xml:space="preserve">Varierande förutsättningar och kompetens </w:t>
      </w:r>
    </w:p>
    <w:p w:rsidR="00547E7E" w:rsidRPr="00075492" w:rsidRDefault="00547E7E">
      <w:r w:rsidRPr="00075492">
        <w:t>Många kommuner är så små att de saknar förutsättningar att ha tillräcklig kompetens för livsmedelstillsyn. Inspektörer som arbetar inom flera tillsyn</w:t>
      </w:r>
      <w:r w:rsidRPr="00075492">
        <w:t>s</w:t>
      </w:r>
      <w:r w:rsidRPr="00075492">
        <w:t>områden har sämre förutsättningar att upprätthålla kompetens jämfört med inspektörer som enbart arbetar med livsmedelstillsyn.</w:t>
      </w:r>
    </w:p>
    <w:p w:rsidR="00547E7E" w:rsidRPr="00075492" w:rsidRDefault="00547E7E">
      <w:pPr>
        <w:pStyle w:val="Normaltindrag"/>
        <w:ind w:firstLine="0"/>
      </w:pPr>
    </w:p>
    <w:p w:rsidR="00547E7E" w:rsidRPr="00075492" w:rsidRDefault="00547E7E">
      <w:pPr>
        <w:pStyle w:val="Normaltindrag"/>
        <w:numPr>
          <w:ilvl w:val="0"/>
          <w:numId w:val="74"/>
        </w:numPr>
      </w:pPr>
      <w:r w:rsidRPr="00075492">
        <w:t>Ingen likvärdig tillämpning av livsmedelslagstiftningen</w:t>
      </w:r>
    </w:p>
    <w:p w:rsidR="00547E7E" w:rsidRPr="00075492" w:rsidRDefault="00547E7E">
      <w:r w:rsidRPr="00075492">
        <w:t>Både Livsmedelsverket och företag som bedriver verksamhet i flera komm</w:t>
      </w:r>
      <w:r w:rsidRPr="00075492">
        <w:t>u</w:t>
      </w:r>
      <w:r w:rsidRPr="00075492">
        <w:t>ner har uppmärksammat att lagstiftningen inte tillämpas likvärdigt i hela landet.</w:t>
      </w:r>
    </w:p>
    <w:p w:rsidR="00547E7E" w:rsidRPr="00075492" w:rsidRDefault="00547E7E">
      <w:pPr>
        <w:pStyle w:val="Normaltindrag"/>
        <w:ind w:firstLine="0"/>
      </w:pPr>
    </w:p>
    <w:p w:rsidR="00547E7E" w:rsidRPr="00075492" w:rsidRDefault="00547E7E">
      <w:pPr>
        <w:pStyle w:val="Normaltindrag"/>
        <w:numPr>
          <w:ilvl w:val="0"/>
          <w:numId w:val="77"/>
        </w:numPr>
      </w:pPr>
      <w:r w:rsidRPr="00075492">
        <w:t>Ifrågasättande om de lokala tillsynsmyndigheterna har en oberoende ställning gentemot alla tillsynsobjekt</w:t>
      </w:r>
    </w:p>
    <w:p w:rsidR="00547E7E" w:rsidRPr="00075492" w:rsidRDefault="00547E7E">
      <w:r w:rsidRPr="00075492">
        <w:t>Inspektörerna ska utöva tillsyn över verksamheter som kommunen själv är huvudman för, t.ex. kommunala storhushåll och vattenverk. Enligt Livsm</w:t>
      </w:r>
      <w:r w:rsidRPr="00075492">
        <w:t>e</w:t>
      </w:r>
      <w:r w:rsidRPr="00075492">
        <w:t>delsverket kan detta innebära en oönskad påverkan på myndighetsutövnin</w:t>
      </w:r>
      <w:r w:rsidRPr="00075492">
        <w:t>g</w:t>
      </w:r>
      <w:r w:rsidRPr="00075492">
        <w:t xml:space="preserve">en. </w:t>
      </w:r>
    </w:p>
    <w:p w:rsidR="00547E7E" w:rsidRPr="00075492" w:rsidRDefault="00547E7E">
      <w:pPr>
        <w:pStyle w:val="Rubrik4-Utannumrering"/>
      </w:pPr>
      <w:bookmarkStart w:id="409" w:name="_Toc532292072"/>
      <w:bookmarkStart w:id="410" w:name="_Toc84619"/>
      <w:bookmarkStart w:id="411" w:name="_Toc6634577"/>
      <w:bookmarkStart w:id="412" w:name="_Toc6637159"/>
      <w:r w:rsidRPr="00075492">
        <w:t>Kommentar</w:t>
      </w:r>
      <w:bookmarkEnd w:id="409"/>
      <w:bookmarkEnd w:id="410"/>
      <w:bookmarkEnd w:id="411"/>
      <w:bookmarkEnd w:id="412"/>
    </w:p>
    <w:p w:rsidR="00547E7E" w:rsidRPr="00075492" w:rsidRDefault="00547E7E">
      <w:r w:rsidRPr="00075492">
        <w:t>Sammanfattningsvis kan konstateras att verket framför en omfattande kritik av den kommunala livsmedelstillsynen. I vissa fall har bristerna uppmär</w:t>
      </w:r>
      <w:r w:rsidRPr="00075492">
        <w:t>k</w:t>
      </w:r>
      <w:r w:rsidRPr="00075492">
        <w:t>sammats och redovisats i verkets sammanställning av kommunernas årliga rapportering. I andra fall har bristerna inte redovisats tidigare. När det gäller kommunernas planering och uppföljning grundar sig verkets uppgifter på resultat från bl.a. kommunbesök och normerande inspektioner som inte har offen</w:t>
      </w:r>
      <w:r w:rsidRPr="00075492">
        <w:t>t</w:t>
      </w:r>
      <w:r w:rsidRPr="00075492">
        <w:t xml:space="preserve">liggjorts. </w:t>
      </w:r>
    </w:p>
    <w:p w:rsidR="00547E7E" w:rsidRPr="00075492" w:rsidRDefault="00547E7E">
      <w:pPr>
        <w:pStyle w:val="Normaltindrag"/>
      </w:pPr>
      <w:r w:rsidRPr="00075492">
        <w:t>Av Livsmedelsverkets rapport framgår inte vilka åtgärder som Livsm</w:t>
      </w:r>
      <w:r w:rsidRPr="00075492">
        <w:t>e</w:t>
      </w:r>
      <w:r w:rsidRPr="00075492">
        <w:t>delsverket har vidtagit för att komma till rätta med de r</w:t>
      </w:r>
      <w:r w:rsidRPr="00075492">
        <w:t>e</w:t>
      </w:r>
      <w:r w:rsidRPr="00075492">
        <w:t xml:space="preserve">dovisade bristerna. </w:t>
      </w:r>
    </w:p>
    <w:p w:rsidR="00547E7E" w:rsidRPr="00075492" w:rsidRDefault="00547E7E">
      <w:pPr>
        <w:pStyle w:val="Rubrik2"/>
      </w:pPr>
      <w:bookmarkStart w:id="413" w:name="_Toc532284506"/>
      <w:bookmarkStart w:id="414" w:name="_Toc532292073"/>
      <w:bookmarkStart w:id="415" w:name="_Toc84620"/>
      <w:bookmarkStart w:id="416" w:name="_Toc6634578"/>
      <w:bookmarkStart w:id="417" w:name="_Toc6637160"/>
      <w:r w:rsidRPr="00075492">
        <w:t>Sammanfattning</w:t>
      </w:r>
      <w:bookmarkEnd w:id="413"/>
      <w:bookmarkEnd w:id="414"/>
      <w:bookmarkEnd w:id="415"/>
      <w:bookmarkEnd w:id="416"/>
      <w:bookmarkEnd w:id="417"/>
    </w:p>
    <w:p w:rsidR="00547E7E" w:rsidRPr="00075492" w:rsidRDefault="00547E7E">
      <w:pPr>
        <w:numPr>
          <w:ilvl w:val="0"/>
          <w:numId w:val="201"/>
        </w:numPr>
      </w:pPr>
      <w:r w:rsidRPr="00075492">
        <w:t>Finansiering</w:t>
      </w:r>
    </w:p>
    <w:p w:rsidR="00547E7E" w:rsidRPr="00075492" w:rsidRDefault="00547E7E">
      <w:r w:rsidRPr="00075492">
        <w:t>Livsmedelsverkets verksamhet finansieras dels över anslag, dels av intäkter. Den totala kostnaden för verksamheten uppgår till ca 312 miljoner kronor, varav ca 194 miljoner kronor består av exte</w:t>
      </w:r>
      <w:r w:rsidRPr="00075492">
        <w:t>r</w:t>
      </w:r>
      <w:r w:rsidRPr="00075492">
        <w:t xml:space="preserve">na intäkter. </w:t>
      </w:r>
    </w:p>
    <w:p w:rsidR="00547E7E" w:rsidRPr="00075492" w:rsidRDefault="00547E7E">
      <w:pPr>
        <w:pStyle w:val="Normaltindrag"/>
      </w:pPr>
      <w:r w:rsidRPr="00075492">
        <w:t>Livsmedelsverkets kostnader för tillsyns- och kontrollverksamhet, inkl. besiktningsveterinärsorganisationen (BVO), uppgår till ca 174 miljoner kronor, vilket motsvarar 56 % av myndighetens totala kostnader. Intäkterna för dessa verksamheter uppgår till drygt 147 miljoner kronor vilket motsv</w:t>
      </w:r>
      <w:r w:rsidRPr="00075492">
        <w:t>a</w:t>
      </w:r>
      <w:r w:rsidRPr="00075492">
        <w:t>rar ca 76 % av verkets totala intäkter. Intäkterna utgörs främst av avgifter från verksamhetsutövare och kommunerna. Kommunerna betalar 15 % av sina avgiftsintäkter från den årliga tillsynsavgiften till Livsmedelsve</w:t>
      </w:r>
      <w:r w:rsidRPr="00075492">
        <w:t>r</w:t>
      </w:r>
      <w:r w:rsidRPr="00075492">
        <w:t>ket.</w:t>
      </w:r>
    </w:p>
    <w:p w:rsidR="00547E7E" w:rsidRPr="00075492" w:rsidRDefault="00547E7E">
      <w:pPr>
        <w:numPr>
          <w:ilvl w:val="0"/>
          <w:numId w:val="202"/>
        </w:numPr>
      </w:pPr>
      <w:r w:rsidRPr="00075492">
        <w:t>Ledning och samordning</w:t>
      </w:r>
    </w:p>
    <w:p w:rsidR="00547E7E" w:rsidRPr="00075492" w:rsidRDefault="00547E7E">
      <w:r w:rsidRPr="00075492">
        <w:t>Livsmedelsverkets aktiviteter vad gäller ledning och samordning av den kommunala tillsynsverksamheten har, med vissa undantag, minskat över tiden. Detta gäller framför allt möten med tillsynsmyndigheterna och inspe</w:t>
      </w:r>
      <w:r w:rsidRPr="00075492">
        <w:t>k</w:t>
      </w:r>
      <w:r w:rsidRPr="00075492">
        <w:t xml:space="preserve">tioner av de anläggningar som står under kommunal tillsyn. Åren 1999 och 2000 genomfördes 39 inspektioner per år. </w:t>
      </w:r>
    </w:p>
    <w:p w:rsidR="00547E7E" w:rsidRPr="00075492" w:rsidRDefault="00547E7E">
      <w:pPr>
        <w:pStyle w:val="Normaltindrag"/>
      </w:pPr>
      <w:r w:rsidRPr="00075492">
        <w:t>Livsmedelsverket pekar på att de inspektioner som nu genomförs de s.k. normerande inspektionerna är mer omfattande än vad de tidigare inspekti</w:t>
      </w:r>
      <w:r w:rsidRPr="00075492">
        <w:t>o</w:t>
      </w:r>
      <w:r w:rsidRPr="00075492">
        <w:t>nerna var. Problemet är att i förhållande till verkets iakttagelser om brister i den kommunala tillsynen är insatserna otillräckliga. Verket riktar skarp kritik mot de kommunala tillsynsmyndigheterna för brister i til</w:t>
      </w:r>
      <w:r w:rsidRPr="00075492">
        <w:t>l</w:t>
      </w:r>
      <w:r w:rsidRPr="00075492">
        <w:t>synsverksamheten.</w:t>
      </w:r>
    </w:p>
    <w:p w:rsidR="00547E7E" w:rsidRPr="00075492" w:rsidRDefault="00547E7E">
      <w:pPr>
        <w:pStyle w:val="Normaltindrag"/>
      </w:pPr>
      <w:r w:rsidRPr="00075492">
        <w:t>Vid uppmärksammade brister i en kommun är det sällsynt att Livsmedel</w:t>
      </w:r>
      <w:r w:rsidRPr="00075492">
        <w:t>s</w:t>
      </w:r>
      <w:r w:rsidRPr="00075492">
        <w:t>verket vidtar åtgärder som dokumenteras. I samband med uppmärksammade brister har verket redovisat att man tillskriver berörd kommun. År 1999 tillskrevs åtta kommuner.</w:t>
      </w:r>
    </w:p>
    <w:p w:rsidR="00547E7E" w:rsidRPr="00075492" w:rsidRDefault="00547E7E">
      <w:pPr>
        <w:pStyle w:val="Normaltindrag"/>
      </w:pPr>
      <w:r w:rsidRPr="00075492">
        <w:t>Uppmärksammade brister i den kommunala tillsynen har aldrig lett till att verket har återtagit tillsynsansvaret för en viss anläggning. En sådan möjli</w:t>
      </w:r>
      <w:r w:rsidRPr="00075492">
        <w:t>g</w:t>
      </w:r>
      <w:r w:rsidRPr="00075492">
        <w:t>het finns enligt livsmedelsförordningen.</w:t>
      </w:r>
    </w:p>
    <w:p w:rsidR="00547E7E" w:rsidRPr="00075492" w:rsidRDefault="00547E7E">
      <w:pPr>
        <w:pStyle w:val="Normaltindrag"/>
      </w:pPr>
      <w:r w:rsidRPr="00075492">
        <w:t>Livsmedelsverket har dels i årsredovisningar, dels på grundval av komm</w:t>
      </w:r>
      <w:r w:rsidRPr="00075492">
        <w:t>u</w:t>
      </w:r>
      <w:r w:rsidRPr="00075492">
        <w:t xml:space="preserve">nernas årliga rapportering redovisat resultatet av den kommunala tillsynen till regeringen. Regeringen har inte vidtagit några åtgärder med anledning av Livsmedelsverkets rapportering. </w:t>
      </w:r>
    </w:p>
    <w:p w:rsidR="00547E7E" w:rsidRPr="00075492" w:rsidRDefault="00547E7E">
      <w:pPr>
        <w:pStyle w:val="Normaltindrag"/>
      </w:pPr>
      <w:r w:rsidRPr="00075492">
        <w:t>Riksdagen får ingen information om resultatet av den kommunala livsm</w:t>
      </w:r>
      <w:r w:rsidRPr="00075492">
        <w:t>e</w:t>
      </w:r>
      <w:r w:rsidRPr="00075492">
        <w:t>delstillsynen.</w:t>
      </w:r>
    </w:p>
    <w:p w:rsidR="00547E7E" w:rsidRPr="00075492" w:rsidRDefault="00547E7E">
      <w:pPr>
        <w:pStyle w:val="Rubrik1"/>
      </w:pPr>
      <w:bookmarkStart w:id="418" w:name="_Toc532284507"/>
      <w:r w:rsidRPr="00075492">
        <w:br w:type="page"/>
      </w:r>
      <w:bookmarkStart w:id="419" w:name="_Toc532292074"/>
      <w:bookmarkStart w:id="420" w:name="_Toc84621"/>
      <w:bookmarkStart w:id="421" w:name="_Toc6634579"/>
      <w:bookmarkStart w:id="422" w:name="_Toc6637161"/>
      <w:r w:rsidRPr="00075492">
        <w:t>Länsstyrelserna</w:t>
      </w:r>
      <w:bookmarkEnd w:id="418"/>
      <w:bookmarkEnd w:id="419"/>
      <w:bookmarkEnd w:id="420"/>
      <w:bookmarkEnd w:id="421"/>
      <w:bookmarkEnd w:id="422"/>
    </w:p>
    <w:p w:rsidR="00547E7E" w:rsidRPr="00075492" w:rsidRDefault="00547E7E">
      <w:pPr>
        <w:pStyle w:val="Rubrik2"/>
      </w:pPr>
      <w:bookmarkStart w:id="423" w:name="_Toc532284508"/>
      <w:bookmarkStart w:id="424" w:name="_Toc532292075"/>
      <w:bookmarkStart w:id="425" w:name="_Toc84622"/>
      <w:bookmarkStart w:id="426" w:name="_Toc6634580"/>
      <w:bookmarkStart w:id="427" w:name="_Toc6637162"/>
      <w:r w:rsidRPr="00075492">
        <w:t>Inledning</w:t>
      </w:r>
      <w:bookmarkEnd w:id="423"/>
      <w:bookmarkEnd w:id="424"/>
      <w:bookmarkEnd w:id="425"/>
      <w:bookmarkEnd w:id="426"/>
      <w:bookmarkEnd w:id="427"/>
    </w:p>
    <w:p w:rsidR="00547E7E" w:rsidRPr="00075492" w:rsidRDefault="00547E7E">
      <w:r w:rsidRPr="00075492">
        <w:t>Syftet med detta kapitel är att belysa länsstyrelsernas arbete med livsm</w:t>
      </w:r>
      <w:r w:rsidRPr="00075492">
        <w:t>e</w:t>
      </w:r>
      <w:r w:rsidRPr="00075492">
        <w:t xml:space="preserve">delstillsynen. </w:t>
      </w:r>
    </w:p>
    <w:p w:rsidR="00547E7E" w:rsidRPr="00075492" w:rsidRDefault="00547E7E">
      <w:pPr>
        <w:pStyle w:val="Rubrik2"/>
      </w:pPr>
      <w:bookmarkStart w:id="428" w:name="_Toc532284509"/>
      <w:bookmarkStart w:id="429" w:name="_Toc532292076"/>
      <w:bookmarkStart w:id="430" w:name="_Toc84623"/>
      <w:bookmarkStart w:id="431" w:name="_Toc6634581"/>
      <w:bookmarkStart w:id="432" w:name="_Toc6637163"/>
      <w:r w:rsidRPr="00075492">
        <w:t>Verksamhet och resurser</w:t>
      </w:r>
      <w:bookmarkEnd w:id="428"/>
      <w:bookmarkEnd w:id="429"/>
      <w:bookmarkEnd w:id="430"/>
      <w:bookmarkEnd w:id="431"/>
      <w:bookmarkEnd w:id="432"/>
    </w:p>
    <w:p w:rsidR="00547E7E" w:rsidRPr="00075492" w:rsidRDefault="00547E7E">
      <w:r w:rsidRPr="00075492">
        <w:t>Länsstyrelsens uppgift är enligt livsmedelslagen att ”utöva den närmare tillsynen inom länet” (24 §). Beslut enligt livsmedelslagen som fattas av kommunal nämnd eller av en besiktningsveterinär får överklagas till länsst</w:t>
      </w:r>
      <w:r w:rsidRPr="00075492">
        <w:t>y</w:t>
      </w:r>
      <w:r w:rsidRPr="00075492">
        <w:t>relsen. Detta är den enda beslutsfunktion som länsstyrelserna har enligt gä</w:t>
      </w:r>
      <w:r w:rsidRPr="00075492">
        <w:t>l</w:t>
      </w:r>
      <w:r w:rsidRPr="00075492">
        <w:t xml:space="preserve">lande regelverk. </w:t>
      </w:r>
    </w:p>
    <w:p w:rsidR="00547E7E" w:rsidRPr="00075492" w:rsidRDefault="00547E7E">
      <w:pPr>
        <w:pStyle w:val="Normaltindrag"/>
      </w:pPr>
      <w:r w:rsidRPr="00075492">
        <w:t>I samband med beslutet om livsmedelskontrollen år 1989 framhöll rege</w:t>
      </w:r>
      <w:r w:rsidRPr="00075492">
        <w:t>r</w:t>
      </w:r>
      <w:r w:rsidRPr="00075492">
        <w:t>ingen länsstyrelsernas uppgift som rådgivande och stödjande gentemot den kommunala livsmedelstillsynen. Enligt regeringen borde länsstyrelserna medverka till branschvisa genomgångar av tillsynsobjekten, PIK-projekt (projektinriktade kontroller), och till att upprätta kontrollprogram för til</w:t>
      </w:r>
      <w:r w:rsidRPr="00075492">
        <w:t>l</w:t>
      </w:r>
      <w:r w:rsidRPr="00075492">
        <w:t>synsobjekten. Regeringen framhöll att det var angeläget att länsstyrelserna anlade en helhetssyn på kvalitetsfrågor som inbegriper samtliga led i livsm</w:t>
      </w:r>
      <w:r w:rsidRPr="00075492">
        <w:t>e</w:t>
      </w:r>
      <w:r w:rsidRPr="00075492">
        <w:t>delskedjan.</w:t>
      </w:r>
    </w:p>
    <w:p w:rsidR="00547E7E" w:rsidRPr="00075492" w:rsidRDefault="00547E7E">
      <w:pPr>
        <w:pStyle w:val="Normaltindrag"/>
      </w:pPr>
      <w:r w:rsidRPr="00075492">
        <w:t>Livsmedelstillsynen är en mycket begränsad del av länss</w:t>
      </w:r>
      <w:r w:rsidRPr="00075492">
        <w:t>tyrelsernas totala verksamhet</w:t>
      </w:r>
      <w:r w:rsidRPr="00075492">
        <w:rPr>
          <w:rStyle w:val="Fotnotsreferens"/>
        </w:rPr>
        <w:footnoteReference w:id="30"/>
      </w:r>
      <w:r w:rsidRPr="00075492">
        <w:t>. Livsmedelstillsyn ingår i en verksamhetsgren som även o</w:t>
      </w:r>
      <w:r w:rsidRPr="00075492">
        <w:t>m</w:t>
      </w:r>
      <w:r w:rsidRPr="00075492">
        <w:t>fattar djurskydd, smittskydd och allmänna veterinära frågor. Verksamhet</w:t>
      </w:r>
      <w:r w:rsidRPr="00075492">
        <w:t>s</w:t>
      </w:r>
      <w:r w:rsidRPr="00075492">
        <w:t xml:space="preserve">grenen svarar vanligtvis för 1–2 % av länsstyrelsernas totala kostnader. </w:t>
      </w:r>
    </w:p>
    <w:p w:rsidR="00547E7E" w:rsidRPr="00075492" w:rsidRDefault="00547E7E">
      <w:pPr>
        <w:pStyle w:val="Normaltindrag"/>
      </w:pPr>
      <w:r w:rsidRPr="00075492">
        <w:t>Med några få undantag är livsmedelstillsynen den del inom verksamhet</w:t>
      </w:r>
      <w:r w:rsidRPr="00075492">
        <w:t>s</w:t>
      </w:r>
      <w:r w:rsidRPr="00075492">
        <w:t>grenen som länsstyrelserna använder minst resurser för. Totalt avsatte län</w:t>
      </w:r>
      <w:r w:rsidRPr="00075492">
        <w:t>s</w:t>
      </w:r>
      <w:r w:rsidRPr="00075492">
        <w:t xml:space="preserve">styrelserna år 2000 ca 6 årsarbetskrafter för arbete med livsmedelstillsyn. Detta motsvarar omkring 0,2–0,3 årsarbetskrafter per länsstyrelse. Antalet årsarbetskrafter har inte förändrats under de senaste åren. </w:t>
      </w:r>
    </w:p>
    <w:p w:rsidR="00547E7E" w:rsidRPr="00075492" w:rsidRDefault="00547E7E">
      <w:pPr>
        <w:pStyle w:val="Normaltindrag"/>
      </w:pPr>
      <w:r w:rsidRPr="00075492">
        <w:t>Verksamheten fina</w:t>
      </w:r>
      <w:r w:rsidRPr="00075492">
        <w:t>n</w:t>
      </w:r>
      <w:r w:rsidRPr="00075492">
        <w:t xml:space="preserve">sieras över anslag. </w:t>
      </w:r>
    </w:p>
    <w:p w:rsidR="00547E7E" w:rsidRPr="00075492" w:rsidRDefault="00547E7E">
      <w:pPr>
        <w:pStyle w:val="Normaltindrag"/>
      </w:pPr>
      <w:r w:rsidRPr="00075492">
        <w:t>Inom länsstyrelsen ansvarar länsveterinären för såväl livsmedelstillsyn som frågor rörande djurskydd och smittskydd. Länsveterinärens arbete med livsmedelstillsyn består i huvudsak av att delta i projekt, möten och att arra</w:t>
      </w:r>
      <w:r w:rsidRPr="00075492">
        <w:t>n</w:t>
      </w:r>
      <w:r w:rsidRPr="00075492">
        <w:t>gera eller delta i seminarier och utbildningar. Aktiviteterna bedrivs ofta i samverkan med Livsm</w:t>
      </w:r>
      <w:r w:rsidRPr="00075492">
        <w:t>e</w:t>
      </w:r>
      <w:r w:rsidRPr="00075492">
        <w:t xml:space="preserve">delsverket. </w:t>
      </w:r>
    </w:p>
    <w:p w:rsidR="00547E7E" w:rsidRPr="00075492" w:rsidRDefault="00547E7E">
      <w:pPr>
        <w:pStyle w:val="Normaltindrag"/>
      </w:pPr>
      <w:r w:rsidRPr="00075492">
        <w:t>Livsmedelsverket genomförde år 2000 en enkät till länsstyrelserna som bl.a. omfattade en fråga om hur länsveterinärerna fördelade sina resurser för livsmedelstillsyn</w:t>
      </w:r>
      <w:r w:rsidRPr="00075492">
        <w:rPr>
          <w:rStyle w:val="Fotnotsreferens"/>
        </w:rPr>
        <w:footnoteReference w:id="31"/>
      </w:r>
      <w:r w:rsidRPr="00075492">
        <w:t>. Enligt enkätsvaren är rådgivning och stöd till komm</w:t>
      </w:r>
      <w:r w:rsidRPr="00075492">
        <w:t>u</w:t>
      </w:r>
      <w:r w:rsidRPr="00075492">
        <w:t xml:space="preserve">nerna den aktivitet som tar mest resurser i anspråk. </w:t>
      </w:r>
    </w:p>
    <w:p w:rsidR="00547E7E" w:rsidRPr="00075492" w:rsidRDefault="00547E7E">
      <w:pPr>
        <w:pStyle w:val="Normaltindrag"/>
      </w:pPr>
      <w:r w:rsidRPr="00075492">
        <w:t>Vid intervjuer har det framkommit att länsstyrelsernas rådgivning i liv</w:t>
      </w:r>
      <w:r w:rsidRPr="00075492">
        <w:t>s</w:t>
      </w:r>
      <w:r w:rsidRPr="00075492">
        <w:t>medelsärenden har minskat i omfattning. Detta sammanhänger dels med de kontinuerliga regelförändringarna som gör att det är svårt att upprätthålla kunskap inom området, dels med att Livsmedelsverket har tillsatt kontak</w:t>
      </w:r>
      <w:r w:rsidRPr="00075492">
        <w:t>t</w:t>
      </w:r>
      <w:r w:rsidRPr="00075492">
        <w:t>personer för alla län. Kommunerna vänder sig ofta direkt till sin kontaktpe</w:t>
      </w:r>
      <w:r w:rsidRPr="00075492">
        <w:t>r</w:t>
      </w:r>
      <w:r w:rsidRPr="00075492">
        <w:t>son.</w:t>
      </w:r>
    </w:p>
    <w:p w:rsidR="00547E7E" w:rsidRPr="00075492" w:rsidRDefault="00547E7E">
      <w:pPr>
        <w:pStyle w:val="Normaltindrag"/>
      </w:pPr>
      <w:r w:rsidRPr="00075492">
        <w:t>Enligt Livsmedelsverket är länsveterinärerna mer eller mindre aktiva inom livsmedelstillsynen beroende på intresse och kompetens</w:t>
      </w:r>
      <w:r w:rsidRPr="00075492">
        <w:rPr>
          <w:rStyle w:val="Fotnotsreferens"/>
        </w:rPr>
        <w:footnoteReference w:id="32"/>
      </w:r>
      <w:r w:rsidRPr="00075492">
        <w:t>. Denna bild b</w:t>
      </w:r>
      <w:r w:rsidRPr="00075492">
        <w:t>e</w:t>
      </w:r>
      <w:r w:rsidRPr="00075492">
        <w:t>kräftas vid intervjuer med två länsveterinärer. Det omfattande regelverket, som kontinuerligt förändras, i kombination med resursbrist och opreciserade uppgifter anses motverka mer aktiva insatser från län</w:t>
      </w:r>
      <w:r w:rsidRPr="00075492">
        <w:t>s</w:t>
      </w:r>
      <w:r w:rsidRPr="00075492">
        <w:t xml:space="preserve">veterinären. </w:t>
      </w:r>
    </w:p>
    <w:p w:rsidR="00547E7E" w:rsidRPr="00075492" w:rsidRDefault="00547E7E">
      <w:pPr>
        <w:pStyle w:val="Normaltindrag"/>
      </w:pPr>
      <w:r w:rsidRPr="00075492">
        <w:t>Länsstyrelsernas uppgifter inom djurskyddet och smittskyddet är, enligt uppgifter vid intervjuer, tydligare reglerade än uppgifterna inom livsm</w:t>
      </w:r>
      <w:r w:rsidRPr="00075492">
        <w:t>e</w:t>
      </w:r>
      <w:r w:rsidRPr="00075492">
        <w:t>delstillsynen. Exempelvis fattar länsstyrelsen beslut om omhändertagande av djur. Det är därför naturligt att t.ex. djurskydd och smittskydd får en ökad tyngd i länsveterinärernas verksamhet. Vid intervjuer framgick också att det är svårt att internt inom verksamhetsplaneringen få gehör för utökade insa</w:t>
      </w:r>
      <w:r w:rsidRPr="00075492">
        <w:t>t</w:t>
      </w:r>
      <w:r w:rsidRPr="00075492">
        <w:t xml:space="preserve">ser för livsmedelstillsyn eftersom uppgifterna är otydliga. </w:t>
      </w:r>
    </w:p>
    <w:p w:rsidR="00547E7E" w:rsidRPr="00075492" w:rsidRDefault="00547E7E">
      <w:pPr>
        <w:pStyle w:val="Normaltindrag"/>
      </w:pPr>
      <w:r w:rsidRPr="00075492">
        <w:t>Företrädare för länsstyrelserna har vid en uppvaktning hos regeringen framfört synpunkter om att länsstyrelsernas uppgifter inom livsmedelstills</w:t>
      </w:r>
      <w:r w:rsidRPr="00075492">
        <w:t>y</w:t>
      </w:r>
      <w:r w:rsidRPr="00075492">
        <w:t>nen behöver tydliggöras. Uppvaktningen skedde år 1999.</w:t>
      </w:r>
    </w:p>
    <w:p w:rsidR="00547E7E" w:rsidRPr="00075492" w:rsidRDefault="00547E7E">
      <w:pPr>
        <w:pStyle w:val="Rubrik2"/>
      </w:pPr>
      <w:bookmarkStart w:id="433" w:name="_Toc532284510"/>
      <w:bookmarkStart w:id="434" w:name="_Toc532292077"/>
      <w:bookmarkStart w:id="435" w:name="_Toc84624"/>
      <w:bookmarkStart w:id="436" w:name="_Toc6634582"/>
      <w:bookmarkStart w:id="437" w:name="_Toc6637164"/>
      <w:r w:rsidRPr="00075492">
        <w:t>Länsstyrelsernas uppföljning av den kommunala tillsynen</w:t>
      </w:r>
      <w:bookmarkEnd w:id="433"/>
      <w:bookmarkEnd w:id="434"/>
      <w:bookmarkEnd w:id="435"/>
      <w:bookmarkEnd w:id="436"/>
      <w:bookmarkEnd w:id="437"/>
    </w:p>
    <w:p w:rsidR="00547E7E" w:rsidRPr="00075492" w:rsidRDefault="00547E7E">
      <w:r w:rsidRPr="00075492">
        <w:t>I sin årsredovisning gör varje länsstyrelse en bedömning av hur livsm</w:t>
      </w:r>
      <w:r w:rsidRPr="00075492">
        <w:t>e</w:t>
      </w:r>
      <w:r w:rsidRPr="00075492">
        <w:t xml:space="preserve">delstillsynen inom länet fungerar. I vissa fall bedöms att livsmedelstillsynen fungerar tillfredsställande medan den i andra fall anses vara bristfällig. Även variationer i kommunernas tillsynsverksamhet inom länet uppmärksammas. Bristande personella resurser anförs ofta som orsak till bristande tillsyn och variationer i tillsynsverksamheten. </w:t>
      </w:r>
    </w:p>
    <w:p w:rsidR="00547E7E" w:rsidRPr="00075492" w:rsidRDefault="00547E7E">
      <w:pPr>
        <w:pStyle w:val="Normaltindrag"/>
      </w:pPr>
      <w:r w:rsidRPr="00075492">
        <w:t>Vid intervjuer framhåller länsveterinärerna att de kommuner som endast har en inspektör för tillsyn enligt miljöskyddslagen, djurskyddslagen och livsmedelslagen är s</w:t>
      </w:r>
      <w:r w:rsidRPr="00075492">
        <w:t>ärskilt sårbara. Detta leder ofta till en minskad tillsyn</w:t>
      </w:r>
      <w:r w:rsidRPr="00075492">
        <w:t>s</w:t>
      </w:r>
      <w:r w:rsidRPr="00075492">
        <w:t>frekvens. Det är också svårt för ensaminspektörer att delta i t.ex. PIK-projekt och utbildningar m.m.</w:t>
      </w:r>
    </w:p>
    <w:p w:rsidR="00547E7E" w:rsidRPr="00075492" w:rsidRDefault="00547E7E">
      <w:pPr>
        <w:pStyle w:val="Normaltindrag"/>
      </w:pPr>
      <w:r w:rsidRPr="00075492">
        <w:t>I Östergötland har länsstyrelsen kartlagt det tillsynsbehov som finns i l</w:t>
      </w:r>
      <w:r w:rsidRPr="00075492">
        <w:t>ä</w:t>
      </w:r>
      <w:r w:rsidRPr="00075492">
        <w:t>nets kommuner. Behovet uppgår till 27 årsarbetskrafter. Befintliga resurser motsvarar 18 årsa</w:t>
      </w:r>
      <w:r w:rsidRPr="00075492">
        <w:t>r</w:t>
      </w:r>
      <w:r w:rsidRPr="00075492">
        <w:t xml:space="preserve">betskrafter. </w:t>
      </w:r>
    </w:p>
    <w:p w:rsidR="00547E7E" w:rsidRPr="00075492" w:rsidRDefault="00547E7E">
      <w:pPr>
        <w:pStyle w:val="Normaltindrag"/>
      </w:pPr>
      <w:r w:rsidRPr="00075492">
        <w:t>Vid intervju framkom bl.a. att länsveterinären i Östergötland gör egna sammanställningar av kommunernas rapportering av livsmedelstillsynen i länet. Skälet är att Livsmedelsverkets sammanställning av kommunernas årliga rapportering inte ger en aktuell bild av tillståndet, eftersom den ko</w:t>
      </w:r>
      <w:r w:rsidRPr="00075492">
        <w:t>m</w:t>
      </w:r>
      <w:r w:rsidRPr="00075492">
        <w:t>mer ett år för sent. Uppgifterna är då inaktuella och inte särskilt användbara för länsstyrelsen som behöver en aktuell bild av den kommunala tillsynen i länet. Länsstyrelserna har förmedlat dessa erfarenheter till Finansdepart</w:t>
      </w:r>
      <w:r w:rsidRPr="00075492">
        <w:t>e</w:t>
      </w:r>
      <w:r w:rsidRPr="00075492">
        <w:t>mentet vid en uppvaktning.</w:t>
      </w:r>
    </w:p>
    <w:p w:rsidR="00547E7E" w:rsidRPr="00075492" w:rsidRDefault="00547E7E">
      <w:pPr>
        <w:pStyle w:val="Normaltindrag"/>
      </w:pPr>
      <w:r w:rsidRPr="00075492">
        <w:t>Av de studerade årsredovisningarna framgår inte vilka åtgärder länsstyre</w:t>
      </w:r>
      <w:r w:rsidRPr="00075492">
        <w:t>l</w:t>
      </w:r>
      <w:r w:rsidRPr="00075492">
        <w:t>serna har vidtagit för att komma till rätta med redovisade brister. Vid inte</w:t>
      </w:r>
      <w:r w:rsidRPr="00075492">
        <w:t>r</w:t>
      </w:r>
      <w:r w:rsidRPr="00075492">
        <w:t>vjuer har dock framkommit att i vissa fall har brister påpekats till berörda kommuner. Företrädare för länsstyrelserna framhåller vid intervju att de saknar sanktionsmöjligheter mot kommunerna. Det är därför svårt att komma till rätta med brister i tillsynsver</w:t>
      </w:r>
      <w:r w:rsidRPr="00075492">
        <w:t>k</w:t>
      </w:r>
      <w:r w:rsidRPr="00075492">
        <w:t xml:space="preserve">samheten. </w:t>
      </w:r>
    </w:p>
    <w:p w:rsidR="00547E7E" w:rsidRPr="00075492" w:rsidRDefault="00547E7E">
      <w:pPr>
        <w:pStyle w:val="Normaltindrag"/>
      </w:pPr>
      <w:r w:rsidRPr="00075492">
        <w:t>När länsstyrelserna har lämnat årsredovisningarna till regeringen gör för</w:t>
      </w:r>
      <w:r w:rsidRPr="00075492">
        <w:t>e</w:t>
      </w:r>
      <w:r w:rsidRPr="00075492">
        <w:t>trädare för Regeringskansliet ett besök hos respektive länsstyrelse. Syftet med besöket är att ge en återföring till länsstyrelsen med anledning av red</w:t>
      </w:r>
      <w:r w:rsidRPr="00075492">
        <w:t>o</w:t>
      </w:r>
      <w:r w:rsidRPr="00075492">
        <w:t>visningen. Enligt uppgift från Regeringskansliet har dock inte någon företr</w:t>
      </w:r>
      <w:r w:rsidRPr="00075492">
        <w:t>ä</w:t>
      </w:r>
      <w:r w:rsidRPr="00075492">
        <w:t>dare för Jordbruksdepartementet, som ansvarar för livsmedelstillsynen inom Regering</w:t>
      </w:r>
      <w:r w:rsidRPr="00075492">
        <w:t>s</w:t>
      </w:r>
      <w:r w:rsidRPr="00075492">
        <w:t xml:space="preserve">kansliet, deltagit vid dessa besök. </w:t>
      </w:r>
    </w:p>
    <w:p w:rsidR="00547E7E" w:rsidRPr="00075492" w:rsidRDefault="00547E7E">
      <w:pPr>
        <w:pStyle w:val="Rubrik2"/>
      </w:pPr>
      <w:bookmarkStart w:id="438" w:name="_Toc532284511"/>
      <w:bookmarkStart w:id="439" w:name="_Toc532292078"/>
      <w:bookmarkStart w:id="440" w:name="_Toc84625"/>
      <w:bookmarkStart w:id="441" w:name="_Toc6634583"/>
      <w:bookmarkStart w:id="442" w:name="_Toc6637165"/>
      <w:r w:rsidRPr="00075492">
        <w:t>Sammanfattning</w:t>
      </w:r>
      <w:bookmarkEnd w:id="438"/>
      <w:bookmarkEnd w:id="439"/>
      <w:bookmarkEnd w:id="440"/>
      <w:bookmarkEnd w:id="441"/>
      <w:bookmarkEnd w:id="442"/>
    </w:p>
    <w:p w:rsidR="00547E7E" w:rsidRPr="00075492" w:rsidRDefault="00547E7E">
      <w:pPr>
        <w:numPr>
          <w:ilvl w:val="0"/>
          <w:numId w:val="199"/>
        </w:numPr>
      </w:pPr>
      <w:r w:rsidRPr="00075492">
        <w:t>Verksamhet och resurser</w:t>
      </w:r>
    </w:p>
    <w:p w:rsidR="00547E7E" w:rsidRPr="00075492" w:rsidRDefault="00547E7E">
      <w:r w:rsidRPr="00075492">
        <w:t>Länsstyrelserna avsätter totalt 6 årsarbetskrafter för arbete med livsm</w:t>
      </w:r>
      <w:r w:rsidRPr="00075492">
        <w:t>e</w:t>
      </w:r>
      <w:r w:rsidRPr="00075492">
        <w:t xml:space="preserve">delstillsyn. Länsstyrelsernas uppgifter enligt livsmedelslagen är att ”svara för den närmare tillsynen inom länet”. Närmare precisering saknas. </w:t>
      </w:r>
    </w:p>
    <w:p w:rsidR="00547E7E" w:rsidRPr="00075492" w:rsidRDefault="00547E7E">
      <w:pPr>
        <w:pStyle w:val="Normaltindrag"/>
      </w:pPr>
      <w:r w:rsidRPr="00075492">
        <w:t xml:space="preserve">Regeringen har i regleringsbrev till länsstyrelserna betonat länsstyrelsernas uppgifter med uppföljning av den kommunala tillsynen. Länsstyrelserna återrapporterar årligen till regeringen om tillståndet i respektive län. Det saknas dock en samlad redovisning om vilka åtgärder länsstyrelserna har vidtagit med anledning av dessa brister. </w:t>
      </w:r>
    </w:p>
    <w:p w:rsidR="00547E7E" w:rsidRPr="00075492" w:rsidRDefault="00547E7E">
      <w:pPr>
        <w:pStyle w:val="Normaltindrag"/>
      </w:pPr>
      <w:r w:rsidRPr="00075492">
        <w:t>Länsstyrelserna har inte fått någon återföring av regeringen med anledning av lämnade rapporter om den kommunala livsmedel</w:t>
      </w:r>
      <w:r w:rsidRPr="00075492">
        <w:t>s</w:t>
      </w:r>
      <w:r w:rsidRPr="00075492">
        <w:t>tillsynen.</w:t>
      </w:r>
    </w:p>
    <w:p w:rsidR="00547E7E" w:rsidRPr="00075492" w:rsidRDefault="00547E7E">
      <w:pPr>
        <w:pStyle w:val="Rubrik1"/>
      </w:pPr>
      <w:r w:rsidRPr="00075492">
        <w:br w:type="page"/>
      </w:r>
      <w:bookmarkStart w:id="443" w:name="_Toc532284512"/>
      <w:bookmarkStart w:id="444" w:name="_Toc532292079"/>
      <w:bookmarkStart w:id="445" w:name="_Toc84626"/>
      <w:bookmarkStart w:id="446" w:name="_Toc6634584"/>
      <w:bookmarkStart w:id="447" w:name="_Toc6637166"/>
      <w:r w:rsidRPr="00075492">
        <w:t>Kommunernas livsmedelstillsyn</w:t>
      </w:r>
      <w:bookmarkEnd w:id="443"/>
      <w:bookmarkEnd w:id="444"/>
      <w:bookmarkEnd w:id="445"/>
      <w:bookmarkEnd w:id="446"/>
      <w:bookmarkEnd w:id="447"/>
    </w:p>
    <w:p w:rsidR="00547E7E" w:rsidRPr="00075492" w:rsidRDefault="00547E7E">
      <w:pPr>
        <w:pStyle w:val="Rubrik2"/>
      </w:pPr>
      <w:bookmarkStart w:id="448" w:name="_Toc532284513"/>
      <w:bookmarkStart w:id="449" w:name="_Toc532292080"/>
      <w:bookmarkStart w:id="450" w:name="_Toc84627"/>
      <w:bookmarkStart w:id="451" w:name="_Toc6634585"/>
      <w:bookmarkStart w:id="452" w:name="_Toc6637167"/>
      <w:r w:rsidRPr="00075492">
        <w:t>Inledning</w:t>
      </w:r>
      <w:bookmarkEnd w:id="448"/>
      <w:bookmarkEnd w:id="449"/>
      <w:bookmarkEnd w:id="450"/>
      <w:bookmarkEnd w:id="451"/>
      <w:bookmarkEnd w:id="452"/>
    </w:p>
    <w:p w:rsidR="00547E7E" w:rsidRPr="00075492" w:rsidRDefault="00547E7E">
      <w:r w:rsidRPr="00075492">
        <w:t xml:space="preserve">I detta kapitel beskrivs kommunernas tillsynsansvar, resurser och resultat vad gäller livsmedelstillsynen. </w:t>
      </w:r>
    </w:p>
    <w:p w:rsidR="00547E7E" w:rsidRPr="00075492" w:rsidRDefault="00547E7E">
      <w:pPr>
        <w:pStyle w:val="Rubrik2"/>
      </w:pPr>
      <w:bookmarkStart w:id="453" w:name="_Toc532284514"/>
      <w:bookmarkStart w:id="454" w:name="_Toc532292081"/>
      <w:bookmarkStart w:id="455" w:name="_Toc84628"/>
      <w:bookmarkStart w:id="456" w:name="_Toc6634586"/>
      <w:bookmarkStart w:id="457" w:name="_Toc6637168"/>
      <w:r w:rsidRPr="00075492">
        <w:t>Tillsynsansvarets innebörd</w:t>
      </w:r>
      <w:bookmarkEnd w:id="453"/>
      <w:bookmarkEnd w:id="454"/>
      <w:bookmarkEnd w:id="455"/>
      <w:bookmarkEnd w:id="456"/>
      <w:bookmarkEnd w:id="457"/>
    </w:p>
    <w:p w:rsidR="00547E7E" w:rsidRPr="00075492" w:rsidRDefault="00547E7E">
      <w:r w:rsidRPr="00075492">
        <w:t xml:space="preserve">Kommunernas tillsynsansvar inom livsmedelstillsynen innebär framför allt myndighetsutövning. Därutöver genomförs insatser vad gäller information, utbildning och rådgivning till företagen. </w:t>
      </w:r>
    </w:p>
    <w:p w:rsidR="00547E7E" w:rsidRPr="00075492" w:rsidRDefault="00547E7E">
      <w:pPr>
        <w:pStyle w:val="Normaltindrag"/>
      </w:pPr>
      <w:r w:rsidRPr="00075492">
        <w:t>Kommunernas myndighetsutövning inom livsmedelstillsynen är: godkä</w:t>
      </w:r>
      <w:r w:rsidRPr="00075492">
        <w:t>n</w:t>
      </w:r>
      <w:r w:rsidRPr="00075492">
        <w:t>nande av livsmedelslokal, godkännande av livsmedelshantering utanför godkänd livsmedelslokal, s.k. paragraf § 16 – tillstånd, fastställande av ege</w:t>
      </w:r>
      <w:r w:rsidRPr="00075492">
        <w:t>n</w:t>
      </w:r>
      <w:r w:rsidRPr="00075492">
        <w:t>kontrollprogram, inspektion samt provtagning och uppföljning av åtgärder. Myndighetsutövning omfattar också användningen av sanktioner. Denna fråga behan</w:t>
      </w:r>
      <w:r w:rsidRPr="00075492">
        <w:t>d</w:t>
      </w:r>
      <w:r w:rsidRPr="00075492">
        <w:t xml:space="preserve">las i kap. 11. </w:t>
      </w:r>
    </w:p>
    <w:p w:rsidR="00547E7E" w:rsidRPr="00075492" w:rsidRDefault="00547E7E">
      <w:pPr>
        <w:pStyle w:val="Normaltindrag"/>
      </w:pPr>
      <w:r w:rsidRPr="00075492">
        <w:t>Den offentliga livsmedelstillsynen ska omfatta ett eller flera av följande moment</w:t>
      </w:r>
      <w:r w:rsidRPr="00075492">
        <w:rPr>
          <w:rStyle w:val="Fotnotsreferens"/>
        </w:rPr>
        <w:footnoteReference w:id="33"/>
      </w:r>
      <w:r w:rsidRPr="00075492">
        <w:t xml:space="preserve">: </w:t>
      </w:r>
    </w:p>
    <w:p w:rsidR="00547E7E" w:rsidRPr="00075492" w:rsidRDefault="00547E7E">
      <w:pPr>
        <w:numPr>
          <w:ilvl w:val="0"/>
          <w:numId w:val="160"/>
        </w:numPr>
        <w:ind w:left="357" w:hanging="357"/>
      </w:pPr>
      <w:r w:rsidRPr="00075492">
        <w:t>inspektion,</w:t>
      </w:r>
    </w:p>
    <w:p w:rsidR="00547E7E" w:rsidRPr="00075492" w:rsidRDefault="00547E7E">
      <w:pPr>
        <w:numPr>
          <w:ilvl w:val="0"/>
          <w:numId w:val="161"/>
        </w:numPr>
        <w:ind w:left="357" w:hanging="357"/>
      </w:pPr>
      <w:r w:rsidRPr="00075492">
        <w:t>provtagning och analys,</w:t>
      </w:r>
    </w:p>
    <w:p w:rsidR="00547E7E" w:rsidRPr="00075492" w:rsidRDefault="00547E7E">
      <w:pPr>
        <w:numPr>
          <w:ilvl w:val="0"/>
          <w:numId w:val="162"/>
        </w:numPr>
        <w:ind w:left="357" w:hanging="357"/>
      </w:pPr>
      <w:r w:rsidRPr="00075492">
        <w:t>kontroll av personalhygien,</w:t>
      </w:r>
    </w:p>
    <w:p w:rsidR="00547E7E" w:rsidRPr="00075492" w:rsidRDefault="00547E7E">
      <w:pPr>
        <w:numPr>
          <w:ilvl w:val="0"/>
          <w:numId w:val="163"/>
        </w:numPr>
        <w:ind w:left="357" w:hanging="357"/>
      </w:pPr>
      <w:r w:rsidRPr="00075492">
        <w:t>kontroll av förpackningsmaterial och beredningsutrustning samt</w:t>
      </w:r>
    </w:p>
    <w:p w:rsidR="00547E7E" w:rsidRPr="00075492" w:rsidRDefault="00547E7E">
      <w:pPr>
        <w:numPr>
          <w:ilvl w:val="0"/>
          <w:numId w:val="163"/>
        </w:numPr>
        <w:ind w:left="357" w:hanging="357"/>
      </w:pPr>
      <w:r w:rsidRPr="00075492">
        <w:t>genomgång av egenkontrollprogram, resultat från egentillsyn och annan dokumentation i verksamheten.</w:t>
      </w:r>
    </w:p>
    <w:p w:rsidR="00547E7E" w:rsidRPr="00075492" w:rsidRDefault="00547E7E">
      <w:r w:rsidRPr="00075492">
        <w:t>Tillsynen ska omfatta samtliga led av hanteringen. Även andra moment kan ingå i offentlig tillsyn. Tillsynsmyndigheten ska i varje enskilt fall välja det led där en undersökning är mest motiv</w:t>
      </w:r>
      <w:r w:rsidRPr="00075492">
        <w:t>e</w:t>
      </w:r>
      <w:r w:rsidRPr="00075492">
        <w:t>rad.</w:t>
      </w:r>
    </w:p>
    <w:p w:rsidR="00547E7E" w:rsidRPr="00075492" w:rsidRDefault="00547E7E">
      <w:pPr>
        <w:pStyle w:val="Rubrik2"/>
      </w:pPr>
      <w:bookmarkStart w:id="458" w:name="_Toc532284515"/>
      <w:bookmarkStart w:id="459" w:name="_Toc532292082"/>
      <w:bookmarkStart w:id="460" w:name="_Toc84629"/>
      <w:bookmarkStart w:id="461" w:name="_Toc6634587"/>
      <w:bookmarkStart w:id="462" w:name="_Toc6637169"/>
      <w:r w:rsidRPr="00075492">
        <w:t>Tillsynsansvar, resurser och organisation</w:t>
      </w:r>
      <w:bookmarkEnd w:id="458"/>
      <w:bookmarkEnd w:id="459"/>
      <w:bookmarkEnd w:id="460"/>
      <w:bookmarkEnd w:id="461"/>
      <w:bookmarkEnd w:id="462"/>
      <w:r w:rsidRPr="00075492">
        <w:t xml:space="preserve"> </w:t>
      </w:r>
    </w:p>
    <w:p w:rsidR="00547E7E" w:rsidRPr="00075492" w:rsidRDefault="00547E7E">
      <w:pPr>
        <w:pStyle w:val="Rubrik3"/>
      </w:pPr>
      <w:bookmarkStart w:id="463" w:name="_Toc532284516"/>
      <w:bookmarkStart w:id="464" w:name="_Toc532292083"/>
      <w:bookmarkStart w:id="465" w:name="_Toc84630"/>
      <w:bookmarkStart w:id="466" w:name="_Toc6634588"/>
      <w:bookmarkStart w:id="467" w:name="_Toc6637170"/>
      <w:r w:rsidRPr="00075492">
        <w:t>Tillsynsansvar och resurser</w:t>
      </w:r>
      <w:bookmarkEnd w:id="463"/>
      <w:bookmarkEnd w:id="464"/>
      <w:bookmarkEnd w:id="465"/>
      <w:bookmarkEnd w:id="466"/>
      <w:bookmarkEnd w:id="467"/>
    </w:p>
    <w:p w:rsidR="00547E7E" w:rsidRPr="00075492" w:rsidRDefault="00547E7E">
      <w:r w:rsidRPr="00075492">
        <w:t>Inom kommunen utförs livsmedelstillsyn av den eller de kommunala näm</w:t>
      </w:r>
      <w:r w:rsidRPr="00075492">
        <w:t>n</w:t>
      </w:r>
      <w:r w:rsidRPr="00075492">
        <w:t>der som fullgör uppgifter inom miljö- och hälsoskyddsområdet, om inte regeringen har föreskrivit att tillsynen ska utövas av Livsmedelsverket (LL 24 §). Livsmedelsverket har också rätt att överlåta tillsynsansvar till komm</w:t>
      </w:r>
      <w:r w:rsidRPr="00075492">
        <w:t>u</w:t>
      </w:r>
      <w:r w:rsidRPr="00075492">
        <w:t>nerna för anläggningar (LF 46 §).</w:t>
      </w:r>
    </w:p>
    <w:p w:rsidR="00547E7E" w:rsidRPr="00075492" w:rsidRDefault="00547E7E">
      <w:pPr>
        <w:pStyle w:val="Normaltindrag"/>
      </w:pPr>
      <w:r w:rsidRPr="00075492">
        <w:t>Kommunerna har i dag tillsyn över merparten (nästan 99 %) av alla liv</w:t>
      </w:r>
      <w:r w:rsidRPr="00075492">
        <w:t>s</w:t>
      </w:r>
      <w:r w:rsidRPr="00075492">
        <w:t>medelsanläggningar inklusive vattenverk. Av Sveriges 52 000 anläggningar är ca 80 % mindre anläggningar som sysselsätter mindre än 4 årsarbetskra</w:t>
      </w:r>
      <w:r w:rsidRPr="00075492">
        <w:t>f</w:t>
      </w:r>
      <w:r w:rsidRPr="00075492">
        <w:t>ter.</w:t>
      </w:r>
    </w:p>
    <w:p w:rsidR="00547E7E" w:rsidRPr="00075492" w:rsidRDefault="00547E7E">
      <w:pPr>
        <w:pStyle w:val="Normaltindrag"/>
      </w:pPr>
      <w:r w:rsidRPr="00075492">
        <w:t>Antalet anläggningar som står under kommunal tillsyn har ökat över tiden. År 1993 uppgick antalet anläggningar till 46 500. Motsvarande uppgift för år 1999 är 52 400 anläggningar</w:t>
      </w:r>
      <w:r w:rsidRPr="00075492">
        <w:rPr>
          <w:rStyle w:val="Fotnotsreferens"/>
        </w:rPr>
        <w:footnoteReference w:id="34"/>
      </w:r>
      <w:r w:rsidRPr="00075492">
        <w:t>.</w:t>
      </w:r>
    </w:p>
    <w:p w:rsidR="00547E7E" w:rsidRPr="00075492" w:rsidRDefault="00547E7E">
      <w:pPr>
        <w:pStyle w:val="Normaltindrag"/>
      </w:pPr>
      <w:r w:rsidRPr="00075492">
        <w:t>Anläggningarna klassificeras i grupper enligt följande: storhushåll inklus</w:t>
      </w:r>
      <w:r w:rsidRPr="00075492">
        <w:t>i</w:t>
      </w:r>
      <w:r w:rsidRPr="00075492">
        <w:t>ve restauranger, vattenverk, industrier och butiker. För år 1999 var förde</w:t>
      </w:r>
      <w:r w:rsidRPr="00075492">
        <w:t>l</w:t>
      </w:r>
      <w:r w:rsidRPr="00075492">
        <w:t xml:space="preserve">ningen av det totala antalet objekt: 64 % storhushåll, 27,5 % butiker, 5 % industrier och 3,5 % vattenverk. </w:t>
      </w:r>
    </w:p>
    <w:p w:rsidR="00547E7E" w:rsidRPr="00075492" w:rsidRDefault="00547E7E">
      <w:pPr>
        <w:pStyle w:val="Normaltindrag"/>
      </w:pPr>
      <w:r w:rsidRPr="00075492">
        <w:t>Det är framför allt inom gruppen storhushåll som det har skett en ökning av antalet anläggningar. År 1997 ökade även antalet industrier, vilket antogs bero på att Livsmedelsverket överlämnade tillsynsansvaret för vissa anläg</w:t>
      </w:r>
      <w:r w:rsidRPr="00075492">
        <w:t>g</w:t>
      </w:r>
      <w:r w:rsidRPr="00075492">
        <w:t>ningar till komm</w:t>
      </w:r>
      <w:r w:rsidRPr="00075492">
        <w:t>u</w:t>
      </w:r>
      <w:r w:rsidRPr="00075492">
        <w:t>nerna</w:t>
      </w:r>
      <w:r w:rsidRPr="00075492">
        <w:rPr>
          <w:rStyle w:val="Fotnotsreferens"/>
        </w:rPr>
        <w:footnoteReference w:id="35"/>
      </w:r>
      <w:r w:rsidRPr="00075492">
        <w:t>.</w:t>
      </w:r>
    </w:p>
    <w:p w:rsidR="00547E7E" w:rsidRPr="00075492" w:rsidRDefault="00547E7E">
      <w:pPr>
        <w:pStyle w:val="Normaltindrag"/>
      </w:pPr>
      <w:r w:rsidRPr="00075492">
        <w:t>Kommunernas uppgifter om kostnader för tillsynsverksamheten är bris</w:t>
      </w:r>
      <w:r w:rsidRPr="00075492">
        <w:t>t</w:t>
      </w:r>
      <w:r w:rsidRPr="00075492">
        <w:t xml:space="preserve">fälliga (se kap. 9). Kommunernas resurser för verksamheten illustreras av utvecklingen av antalet årsarbetskrafter för livsmedelstillsyn och antalet tillsynsobjekt per årsarbetskraft. </w:t>
      </w:r>
    </w:p>
    <w:p w:rsidR="00547E7E" w:rsidRPr="00075492" w:rsidRDefault="00547E7E">
      <w:pPr>
        <w:pStyle w:val="Beskrivning"/>
      </w:pPr>
      <w:r w:rsidRPr="00075492">
        <w:t xml:space="preserve">Tabell </w:t>
      </w:r>
      <w:r w:rsidRPr="00075492">
        <w:t>8</w:t>
      </w:r>
      <w:r w:rsidRPr="00075492">
        <w:t xml:space="preserve"> Kommunernas livsmedelstillsyn: antal årsarbetskrafter och antal anläggningar per årsarbet</w:t>
      </w:r>
      <w:r w:rsidRPr="00075492">
        <w:t>s</w:t>
      </w:r>
      <w:r w:rsidRPr="00075492">
        <w:t>kraft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680"/>
        <w:gridCol w:w="680"/>
        <w:gridCol w:w="680"/>
        <w:gridCol w:w="680"/>
        <w:gridCol w:w="680"/>
        <w:gridCol w:w="680"/>
      </w:tblGrid>
      <w:tr w:rsidR="00000000" w:rsidRPr="00075492">
        <w:tblPrEx>
          <w:tblCellMar>
            <w:top w:w="0" w:type="dxa"/>
            <w:bottom w:w="0" w:type="dxa"/>
          </w:tblCellMar>
        </w:tblPrEx>
        <w:tc>
          <w:tcPr>
            <w:tcW w:w="1191" w:type="dxa"/>
            <w:shd w:val="pct20" w:color="auto" w:fill="FFFFFF"/>
          </w:tcPr>
          <w:p w:rsidR="00547E7E" w:rsidRPr="00075492" w:rsidRDefault="00547E7E">
            <w:pPr>
              <w:pStyle w:val="Normaltindrag"/>
              <w:ind w:firstLine="0"/>
              <w:rPr>
                <w:b/>
                <w:sz w:val="16"/>
              </w:rPr>
            </w:pPr>
          </w:p>
        </w:tc>
        <w:tc>
          <w:tcPr>
            <w:tcW w:w="680" w:type="dxa"/>
            <w:shd w:val="pct20" w:color="auto" w:fill="FFFFFF"/>
          </w:tcPr>
          <w:p w:rsidR="00547E7E" w:rsidRPr="00075492" w:rsidRDefault="00547E7E">
            <w:pPr>
              <w:pStyle w:val="Normaltindrag"/>
              <w:ind w:firstLine="0"/>
              <w:rPr>
                <w:b/>
                <w:sz w:val="16"/>
              </w:rPr>
            </w:pPr>
            <w:r w:rsidRPr="00075492">
              <w:rPr>
                <w:b/>
                <w:sz w:val="16"/>
              </w:rPr>
              <w:t>1994</w:t>
            </w:r>
          </w:p>
        </w:tc>
        <w:tc>
          <w:tcPr>
            <w:tcW w:w="680" w:type="dxa"/>
            <w:shd w:val="pct20" w:color="auto" w:fill="FFFFFF"/>
          </w:tcPr>
          <w:p w:rsidR="00547E7E" w:rsidRPr="00075492" w:rsidRDefault="00547E7E">
            <w:pPr>
              <w:pStyle w:val="Normaltindrag"/>
              <w:ind w:firstLine="0"/>
              <w:rPr>
                <w:b/>
                <w:sz w:val="16"/>
              </w:rPr>
            </w:pPr>
            <w:r w:rsidRPr="00075492">
              <w:rPr>
                <w:b/>
                <w:sz w:val="16"/>
              </w:rPr>
              <w:t>1995</w:t>
            </w:r>
          </w:p>
        </w:tc>
        <w:tc>
          <w:tcPr>
            <w:tcW w:w="680" w:type="dxa"/>
            <w:shd w:val="pct20" w:color="auto" w:fill="FFFFFF"/>
          </w:tcPr>
          <w:p w:rsidR="00547E7E" w:rsidRPr="00075492" w:rsidRDefault="00547E7E">
            <w:pPr>
              <w:pStyle w:val="Normaltindrag"/>
              <w:ind w:firstLine="0"/>
              <w:rPr>
                <w:b/>
                <w:sz w:val="16"/>
              </w:rPr>
            </w:pPr>
            <w:r w:rsidRPr="00075492">
              <w:rPr>
                <w:b/>
                <w:sz w:val="16"/>
              </w:rPr>
              <w:t>1996</w:t>
            </w:r>
          </w:p>
        </w:tc>
        <w:tc>
          <w:tcPr>
            <w:tcW w:w="680" w:type="dxa"/>
            <w:shd w:val="pct20" w:color="auto" w:fill="FFFFFF"/>
          </w:tcPr>
          <w:p w:rsidR="00547E7E" w:rsidRPr="00075492" w:rsidRDefault="00547E7E">
            <w:pPr>
              <w:pStyle w:val="Normaltindrag"/>
              <w:ind w:firstLine="0"/>
              <w:rPr>
                <w:b/>
                <w:sz w:val="16"/>
              </w:rPr>
            </w:pPr>
            <w:r w:rsidRPr="00075492">
              <w:rPr>
                <w:b/>
                <w:sz w:val="16"/>
              </w:rPr>
              <w:t>1997</w:t>
            </w:r>
          </w:p>
        </w:tc>
        <w:tc>
          <w:tcPr>
            <w:tcW w:w="680" w:type="dxa"/>
            <w:shd w:val="pct20" w:color="auto" w:fill="FFFFFF"/>
          </w:tcPr>
          <w:p w:rsidR="00547E7E" w:rsidRPr="00075492" w:rsidRDefault="00547E7E">
            <w:pPr>
              <w:pStyle w:val="Normaltindrag"/>
              <w:ind w:firstLine="0"/>
              <w:rPr>
                <w:b/>
                <w:sz w:val="16"/>
              </w:rPr>
            </w:pPr>
            <w:r w:rsidRPr="00075492">
              <w:rPr>
                <w:b/>
                <w:sz w:val="16"/>
              </w:rPr>
              <w:t>1998</w:t>
            </w:r>
          </w:p>
        </w:tc>
        <w:tc>
          <w:tcPr>
            <w:tcW w:w="680" w:type="dxa"/>
            <w:shd w:val="pct20" w:color="auto" w:fill="FFFFFF"/>
          </w:tcPr>
          <w:p w:rsidR="00547E7E" w:rsidRPr="00075492" w:rsidRDefault="00547E7E">
            <w:pPr>
              <w:pStyle w:val="Normaltindrag"/>
              <w:ind w:firstLine="0"/>
              <w:rPr>
                <w:b/>
                <w:sz w:val="16"/>
              </w:rPr>
            </w:pPr>
            <w:r w:rsidRPr="00075492">
              <w:rPr>
                <w:b/>
                <w:sz w:val="16"/>
              </w:rPr>
              <w:t>1999</w:t>
            </w:r>
          </w:p>
        </w:tc>
      </w:tr>
      <w:tr w:rsidR="00000000" w:rsidRPr="00075492">
        <w:tblPrEx>
          <w:tblCellMar>
            <w:top w:w="0" w:type="dxa"/>
            <w:bottom w:w="0" w:type="dxa"/>
          </w:tblCellMar>
        </w:tblPrEx>
        <w:tc>
          <w:tcPr>
            <w:tcW w:w="1191" w:type="dxa"/>
          </w:tcPr>
          <w:p w:rsidR="00547E7E" w:rsidRPr="00075492" w:rsidRDefault="00547E7E">
            <w:pPr>
              <w:pStyle w:val="Normaltindrag"/>
              <w:ind w:firstLine="0"/>
              <w:rPr>
                <w:sz w:val="16"/>
              </w:rPr>
            </w:pPr>
            <w:r w:rsidRPr="00075492">
              <w:rPr>
                <w:sz w:val="16"/>
              </w:rPr>
              <w:t>Årsarbetskraft</w:t>
            </w:r>
          </w:p>
        </w:tc>
        <w:tc>
          <w:tcPr>
            <w:tcW w:w="680" w:type="dxa"/>
          </w:tcPr>
          <w:p w:rsidR="00547E7E" w:rsidRPr="00075492" w:rsidRDefault="00547E7E">
            <w:pPr>
              <w:pStyle w:val="Normaltindrag"/>
              <w:ind w:firstLine="0"/>
              <w:rPr>
                <w:sz w:val="16"/>
              </w:rPr>
            </w:pPr>
            <w:r w:rsidRPr="00075492">
              <w:rPr>
                <w:sz w:val="16"/>
              </w:rPr>
              <w:t>322</w:t>
            </w:r>
          </w:p>
        </w:tc>
        <w:tc>
          <w:tcPr>
            <w:tcW w:w="680" w:type="dxa"/>
          </w:tcPr>
          <w:p w:rsidR="00547E7E" w:rsidRPr="00075492" w:rsidRDefault="00547E7E">
            <w:pPr>
              <w:pStyle w:val="Normaltindrag"/>
              <w:ind w:firstLine="0"/>
              <w:rPr>
                <w:sz w:val="16"/>
              </w:rPr>
            </w:pPr>
            <w:r w:rsidRPr="00075492">
              <w:rPr>
                <w:sz w:val="16"/>
              </w:rPr>
              <w:t>332</w:t>
            </w:r>
          </w:p>
        </w:tc>
        <w:tc>
          <w:tcPr>
            <w:tcW w:w="680" w:type="dxa"/>
          </w:tcPr>
          <w:p w:rsidR="00547E7E" w:rsidRPr="00075492" w:rsidRDefault="00547E7E">
            <w:pPr>
              <w:pStyle w:val="Normaltindrag"/>
              <w:ind w:firstLine="0"/>
              <w:rPr>
                <w:sz w:val="16"/>
              </w:rPr>
            </w:pPr>
            <w:r w:rsidRPr="00075492">
              <w:rPr>
                <w:sz w:val="16"/>
              </w:rPr>
              <w:t>338</w:t>
            </w:r>
          </w:p>
        </w:tc>
        <w:tc>
          <w:tcPr>
            <w:tcW w:w="680" w:type="dxa"/>
          </w:tcPr>
          <w:p w:rsidR="00547E7E" w:rsidRPr="00075492" w:rsidRDefault="00547E7E">
            <w:pPr>
              <w:pStyle w:val="Normaltindrag"/>
              <w:ind w:firstLine="0"/>
              <w:rPr>
                <w:sz w:val="16"/>
              </w:rPr>
            </w:pPr>
            <w:r w:rsidRPr="00075492">
              <w:rPr>
                <w:sz w:val="16"/>
              </w:rPr>
              <w:t>343</w:t>
            </w:r>
          </w:p>
        </w:tc>
        <w:tc>
          <w:tcPr>
            <w:tcW w:w="680" w:type="dxa"/>
          </w:tcPr>
          <w:p w:rsidR="00547E7E" w:rsidRPr="00075492" w:rsidRDefault="00547E7E">
            <w:pPr>
              <w:pStyle w:val="Normaltindrag"/>
              <w:ind w:firstLine="0"/>
              <w:rPr>
                <w:sz w:val="16"/>
              </w:rPr>
            </w:pPr>
            <w:r w:rsidRPr="00075492">
              <w:rPr>
                <w:sz w:val="16"/>
              </w:rPr>
              <w:t>340 *</w:t>
            </w:r>
          </w:p>
        </w:tc>
        <w:tc>
          <w:tcPr>
            <w:tcW w:w="680" w:type="dxa"/>
          </w:tcPr>
          <w:p w:rsidR="00547E7E" w:rsidRPr="00075492" w:rsidRDefault="00547E7E">
            <w:pPr>
              <w:pStyle w:val="Normaltindrag"/>
              <w:ind w:firstLine="0"/>
              <w:rPr>
                <w:sz w:val="16"/>
              </w:rPr>
            </w:pPr>
            <w:r w:rsidRPr="00075492">
              <w:rPr>
                <w:sz w:val="16"/>
              </w:rPr>
              <w:t>337 **</w:t>
            </w:r>
          </w:p>
        </w:tc>
      </w:tr>
      <w:tr w:rsidR="00000000" w:rsidRPr="00075492">
        <w:tblPrEx>
          <w:tblCellMar>
            <w:top w:w="0" w:type="dxa"/>
            <w:bottom w:w="0" w:type="dxa"/>
          </w:tblCellMar>
        </w:tblPrEx>
        <w:tc>
          <w:tcPr>
            <w:tcW w:w="1191" w:type="dxa"/>
          </w:tcPr>
          <w:p w:rsidR="00547E7E" w:rsidRPr="00075492" w:rsidRDefault="00547E7E">
            <w:pPr>
              <w:pStyle w:val="Normaltindrag"/>
              <w:ind w:firstLine="0"/>
              <w:rPr>
                <w:sz w:val="16"/>
              </w:rPr>
            </w:pPr>
            <w:r w:rsidRPr="00075492">
              <w:rPr>
                <w:sz w:val="16"/>
              </w:rPr>
              <w:t>Anläggningar per åa</w:t>
            </w:r>
          </w:p>
        </w:tc>
        <w:tc>
          <w:tcPr>
            <w:tcW w:w="680" w:type="dxa"/>
          </w:tcPr>
          <w:p w:rsidR="00547E7E" w:rsidRPr="00075492" w:rsidRDefault="00547E7E">
            <w:pPr>
              <w:pStyle w:val="Normaltindrag"/>
              <w:ind w:firstLine="0"/>
              <w:rPr>
                <w:sz w:val="16"/>
              </w:rPr>
            </w:pPr>
          </w:p>
          <w:p w:rsidR="00547E7E" w:rsidRPr="00075492" w:rsidRDefault="00547E7E">
            <w:pPr>
              <w:pStyle w:val="Normaltindrag"/>
              <w:ind w:firstLine="0"/>
              <w:rPr>
                <w:sz w:val="16"/>
              </w:rPr>
            </w:pPr>
            <w:r w:rsidRPr="00075492">
              <w:rPr>
                <w:sz w:val="16"/>
              </w:rPr>
              <w:t>143</w:t>
            </w:r>
          </w:p>
        </w:tc>
        <w:tc>
          <w:tcPr>
            <w:tcW w:w="680" w:type="dxa"/>
          </w:tcPr>
          <w:p w:rsidR="00547E7E" w:rsidRPr="00075492" w:rsidRDefault="00547E7E">
            <w:pPr>
              <w:pStyle w:val="Normaltindrag"/>
              <w:ind w:firstLine="0"/>
              <w:rPr>
                <w:sz w:val="16"/>
              </w:rPr>
            </w:pPr>
          </w:p>
          <w:p w:rsidR="00547E7E" w:rsidRPr="00075492" w:rsidRDefault="00547E7E">
            <w:pPr>
              <w:pStyle w:val="Normaltindrag"/>
              <w:ind w:firstLine="0"/>
              <w:rPr>
                <w:sz w:val="16"/>
              </w:rPr>
            </w:pPr>
            <w:r w:rsidRPr="00075492">
              <w:rPr>
                <w:sz w:val="16"/>
              </w:rPr>
              <w:t>148</w:t>
            </w:r>
          </w:p>
        </w:tc>
        <w:tc>
          <w:tcPr>
            <w:tcW w:w="680" w:type="dxa"/>
          </w:tcPr>
          <w:p w:rsidR="00547E7E" w:rsidRPr="00075492" w:rsidRDefault="00547E7E">
            <w:pPr>
              <w:pStyle w:val="Normaltindrag"/>
              <w:ind w:firstLine="0"/>
              <w:rPr>
                <w:sz w:val="16"/>
              </w:rPr>
            </w:pPr>
          </w:p>
          <w:p w:rsidR="00547E7E" w:rsidRPr="00075492" w:rsidRDefault="00547E7E">
            <w:pPr>
              <w:pStyle w:val="Normaltindrag"/>
              <w:ind w:firstLine="0"/>
              <w:rPr>
                <w:sz w:val="16"/>
              </w:rPr>
            </w:pPr>
            <w:r w:rsidRPr="00075492">
              <w:rPr>
                <w:sz w:val="16"/>
              </w:rPr>
              <w:t>148</w:t>
            </w:r>
          </w:p>
        </w:tc>
        <w:tc>
          <w:tcPr>
            <w:tcW w:w="680" w:type="dxa"/>
          </w:tcPr>
          <w:p w:rsidR="00547E7E" w:rsidRPr="00075492" w:rsidRDefault="00547E7E">
            <w:pPr>
              <w:pStyle w:val="Normaltindrag"/>
              <w:ind w:firstLine="0"/>
              <w:rPr>
                <w:sz w:val="16"/>
              </w:rPr>
            </w:pPr>
          </w:p>
          <w:p w:rsidR="00547E7E" w:rsidRPr="00075492" w:rsidRDefault="00547E7E">
            <w:pPr>
              <w:pStyle w:val="Normaltindrag"/>
              <w:ind w:firstLine="0"/>
              <w:rPr>
                <w:sz w:val="16"/>
              </w:rPr>
            </w:pPr>
            <w:r w:rsidRPr="00075492">
              <w:rPr>
                <w:sz w:val="16"/>
              </w:rPr>
              <w:t>151</w:t>
            </w:r>
          </w:p>
        </w:tc>
        <w:tc>
          <w:tcPr>
            <w:tcW w:w="680" w:type="dxa"/>
          </w:tcPr>
          <w:p w:rsidR="00547E7E" w:rsidRPr="00075492" w:rsidRDefault="00547E7E">
            <w:pPr>
              <w:pStyle w:val="Normaltindrag"/>
              <w:ind w:firstLine="0"/>
              <w:rPr>
                <w:sz w:val="16"/>
              </w:rPr>
            </w:pPr>
          </w:p>
          <w:p w:rsidR="00547E7E" w:rsidRPr="00075492" w:rsidRDefault="00547E7E">
            <w:pPr>
              <w:pStyle w:val="Normaltindrag"/>
              <w:ind w:firstLine="0"/>
              <w:rPr>
                <w:sz w:val="16"/>
              </w:rPr>
            </w:pPr>
            <w:r w:rsidRPr="00075492">
              <w:rPr>
                <w:sz w:val="16"/>
              </w:rPr>
              <w:t>152</w:t>
            </w:r>
          </w:p>
        </w:tc>
        <w:tc>
          <w:tcPr>
            <w:tcW w:w="680" w:type="dxa"/>
          </w:tcPr>
          <w:p w:rsidR="00547E7E" w:rsidRPr="00075492" w:rsidRDefault="00547E7E">
            <w:pPr>
              <w:pStyle w:val="Normaltindrag"/>
              <w:ind w:firstLine="0"/>
              <w:rPr>
                <w:sz w:val="16"/>
              </w:rPr>
            </w:pPr>
          </w:p>
          <w:p w:rsidR="00547E7E" w:rsidRPr="00075492" w:rsidRDefault="00547E7E">
            <w:pPr>
              <w:pStyle w:val="Normaltindrag"/>
              <w:ind w:firstLine="0"/>
              <w:rPr>
                <w:sz w:val="16"/>
              </w:rPr>
            </w:pPr>
            <w:r w:rsidRPr="00075492">
              <w:rPr>
                <w:sz w:val="16"/>
              </w:rPr>
              <w:t>155</w:t>
            </w:r>
          </w:p>
        </w:tc>
      </w:tr>
    </w:tbl>
    <w:p w:rsidR="00547E7E" w:rsidRPr="00075492" w:rsidRDefault="00547E7E">
      <w:pPr>
        <w:pStyle w:val="Tabell"/>
      </w:pPr>
      <w:r w:rsidRPr="00075492">
        <w:t xml:space="preserve">*  15 kommuner har inte redovisat antalet årsarbetskrafter </w:t>
      </w:r>
    </w:p>
    <w:p w:rsidR="00547E7E" w:rsidRPr="00075492" w:rsidRDefault="00547E7E">
      <w:pPr>
        <w:pStyle w:val="Tabell"/>
      </w:pPr>
      <w:r w:rsidRPr="00075492">
        <w:t>** 6 kommuner har inte redovisat antalet årsarbetskrafter</w:t>
      </w:r>
    </w:p>
    <w:p w:rsidR="00547E7E" w:rsidRPr="00075492" w:rsidRDefault="00547E7E">
      <w:pPr>
        <w:pStyle w:val="Tabell"/>
      </w:pPr>
      <w:r w:rsidRPr="00075492">
        <w:t xml:space="preserve">Källa: SLV rapporter åren 1995–2000, Rapportering om livsmedelstillsynen. </w:t>
      </w:r>
    </w:p>
    <w:p w:rsidR="00547E7E" w:rsidRPr="00075492" w:rsidRDefault="00547E7E">
      <w:r w:rsidRPr="00075492">
        <w:t xml:space="preserve">Av kommunernas årliga rapportering framgår att antalet årsarbetskrafter har ökat, med undantag för de två senaste åren. Det är svårt att dra några helt säkra slutsatser av redovisningen på grund av svarsbortfall de senaste två åren. </w:t>
      </w:r>
    </w:p>
    <w:p w:rsidR="00547E7E" w:rsidRPr="00075492" w:rsidRDefault="00547E7E">
      <w:pPr>
        <w:pStyle w:val="Normaltindrag"/>
      </w:pPr>
      <w:r w:rsidRPr="00075492">
        <w:t>Vid en intervju med företrädare för kommuner och Svenska Kommunfö</w:t>
      </w:r>
      <w:r w:rsidRPr="00075492">
        <w:t>r</w:t>
      </w:r>
      <w:r w:rsidRPr="00075492">
        <w:t>bundet anges att livsmedelstillsynen har klarat sig bra i kommunernas totala resursfördelning. Tillgänglig statistik b</w:t>
      </w:r>
      <w:r w:rsidRPr="00075492">
        <w:t>e</w:t>
      </w:r>
      <w:r w:rsidRPr="00075492">
        <w:t>kräftar denna bild.</w:t>
      </w:r>
    </w:p>
    <w:p w:rsidR="00547E7E" w:rsidRPr="00075492" w:rsidRDefault="00547E7E">
      <w:pPr>
        <w:pStyle w:val="Rubrik3"/>
      </w:pPr>
      <w:bookmarkStart w:id="468" w:name="_Toc532284517"/>
      <w:bookmarkStart w:id="469" w:name="_Toc532292084"/>
      <w:bookmarkStart w:id="470" w:name="_Toc84631"/>
      <w:bookmarkStart w:id="471" w:name="_Toc6634589"/>
      <w:bookmarkStart w:id="472" w:name="_Toc6637171"/>
      <w:r w:rsidRPr="00075492">
        <w:t>Organisation</w:t>
      </w:r>
      <w:bookmarkEnd w:id="468"/>
      <w:bookmarkEnd w:id="469"/>
      <w:bookmarkEnd w:id="470"/>
      <w:bookmarkEnd w:id="471"/>
      <w:bookmarkEnd w:id="472"/>
    </w:p>
    <w:p w:rsidR="00547E7E" w:rsidRPr="00075492" w:rsidRDefault="00547E7E">
      <w:r w:rsidRPr="00075492">
        <w:t>Under senare delen av 1980-talet och under 1990-talet har organisationen av miljö- och hälsoskyddsfrågor förändrats på så sätt att nämnder med flera verksamhetsområden har blivit allt vanligare</w:t>
      </w:r>
      <w:r w:rsidRPr="00075492">
        <w:rPr>
          <w:rStyle w:val="Fotnotsreferens"/>
        </w:rPr>
        <w:footnoteReference w:id="36"/>
      </w:r>
      <w:r w:rsidRPr="00075492">
        <w:t>. Organisationsförändringar som avser miljö- och hälsoskydd</w:t>
      </w:r>
      <w:r w:rsidRPr="00075492">
        <w:t>s</w:t>
      </w:r>
      <w:r w:rsidRPr="00075492">
        <w:t>nämnderna framgår av nedanstående tabell.</w:t>
      </w:r>
    </w:p>
    <w:p w:rsidR="00547E7E" w:rsidRPr="00075492" w:rsidRDefault="00547E7E">
      <w:pPr>
        <w:pStyle w:val="Beskrivning"/>
      </w:pPr>
      <w:r w:rsidRPr="00075492">
        <w:t xml:space="preserve">Tabell </w:t>
      </w:r>
      <w:r w:rsidRPr="00075492">
        <w:t>9</w:t>
      </w:r>
      <w:r w:rsidRPr="00075492">
        <w:t xml:space="preserve"> Kommunernas nämndorganisation för miljö- och hälsoskydd</w:t>
      </w:r>
      <w:r w:rsidRPr="00075492">
        <w:t>s</w:t>
      </w:r>
      <w:r w:rsidRPr="00075492">
        <w:t>frågor åren 1992–1999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652"/>
        <w:gridCol w:w="652"/>
        <w:gridCol w:w="652"/>
      </w:tblGrid>
      <w:tr w:rsidR="00000000" w:rsidRPr="00075492">
        <w:tblPrEx>
          <w:tblCellMar>
            <w:top w:w="0" w:type="dxa"/>
            <w:bottom w:w="0" w:type="dxa"/>
          </w:tblCellMar>
        </w:tblPrEx>
        <w:tc>
          <w:tcPr>
            <w:tcW w:w="3799" w:type="dxa"/>
            <w:shd w:val="pct20" w:color="auto" w:fill="FFFFFF"/>
          </w:tcPr>
          <w:p w:rsidR="00547E7E" w:rsidRPr="00075492" w:rsidRDefault="00547E7E">
            <w:pPr>
              <w:pStyle w:val="Normaltindrag"/>
              <w:ind w:firstLine="0"/>
              <w:jc w:val="left"/>
              <w:rPr>
                <w:b/>
              </w:rPr>
            </w:pPr>
            <w:r w:rsidRPr="00075492">
              <w:rPr>
                <w:b/>
              </w:rPr>
              <w:t>Nämnd</w:t>
            </w:r>
          </w:p>
        </w:tc>
        <w:tc>
          <w:tcPr>
            <w:tcW w:w="652" w:type="dxa"/>
            <w:shd w:val="pct20" w:color="auto" w:fill="FFFFFF"/>
          </w:tcPr>
          <w:p w:rsidR="00547E7E" w:rsidRPr="00075492" w:rsidRDefault="00547E7E">
            <w:pPr>
              <w:pStyle w:val="Normaltindrag"/>
              <w:ind w:firstLine="0"/>
              <w:jc w:val="left"/>
              <w:rPr>
                <w:b/>
              </w:rPr>
            </w:pPr>
            <w:r w:rsidRPr="00075492">
              <w:rPr>
                <w:b/>
              </w:rPr>
              <w:t>1992</w:t>
            </w:r>
          </w:p>
        </w:tc>
        <w:tc>
          <w:tcPr>
            <w:tcW w:w="652" w:type="dxa"/>
            <w:shd w:val="pct20" w:color="auto" w:fill="FFFFFF"/>
          </w:tcPr>
          <w:p w:rsidR="00547E7E" w:rsidRPr="00075492" w:rsidRDefault="00547E7E">
            <w:pPr>
              <w:pStyle w:val="Normaltindrag"/>
              <w:ind w:firstLine="0"/>
              <w:jc w:val="left"/>
              <w:rPr>
                <w:b/>
              </w:rPr>
            </w:pPr>
            <w:r w:rsidRPr="00075492">
              <w:rPr>
                <w:b/>
              </w:rPr>
              <w:t>1995</w:t>
            </w:r>
          </w:p>
        </w:tc>
        <w:tc>
          <w:tcPr>
            <w:tcW w:w="652" w:type="dxa"/>
            <w:shd w:val="pct20" w:color="auto" w:fill="FFFFFF"/>
          </w:tcPr>
          <w:p w:rsidR="00547E7E" w:rsidRPr="00075492" w:rsidRDefault="00547E7E">
            <w:pPr>
              <w:pStyle w:val="Normaltindrag"/>
              <w:ind w:firstLine="0"/>
              <w:jc w:val="left"/>
              <w:rPr>
                <w:b/>
              </w:rPr>
            </w:pPr>
            <w:r w:rsidRPr="00075492">
              <w:rPr>
                <w:b/>
              </w:rPr>
              <w:t>1999</w:t>
            </w:r>
          </w:p>
        </w:tc>
      </w:tr>
      <w:tr w:rsidR="00000000" w:rsidRPr="00075492">
        <w:tblPrEx>
          <w:tblCellMar>
            <w:top w:w="0" w:type="dxa"/>
            <w:bottom w:w="0" w:type="dxa"/>
          </w:tblCellMar>
        </w:tblPrEx>
        <w:tc>
          <w:tcPr>
            <w:tcW w:w="3799" w:type="dxa"/>
          </w:tcPr>
          <w:p w:rsidR="00547E7E" w:rsidRPr="00075492" w:rsidRDefault="00547E7E">
            <w:pPr>
              <w:pStyle w:val="Normaltindrag"/>
              <w:ind w:firstLine="0"/>
              <w:jc w:val="left"/>
            </w:pPr>
            <w:r w:rsidRPr="00075492">
              <w:t>Miljö- och häls</w:t>
            </w:r>
            <w:r w:rsidRPr="00075492">
              <w:t>o</w:t>
            </w:r>
            <w:r w:rsidRPr="00075492">
              <w:t xml:space="preserve">skyddsnämnd </w:t>
            </w:r>
          </w:p>
        </w:tc>
        <w:tc>
          <w:tcPr>
            <w:tcW w:w="652" w:type="dxa"/>
          </w:tcPr>
          <w:p w:rsidR="00547E7E" w:rsidRPr="00075492" w:rsidRDefault="00547E7E">
            <w:pPr>
              <w:pStyle w:val="Normaltindrag"/>
              <w:ind w:firstLine="0"/>
              <w:jc w:val="center"/>
            </w:pPr>
            <w:r w:rsidRPr="00075492">
              <w:t>229</w:t>
            </w:r>
          </w:p>
        </w:tc>
        <w:tc>
          <w:tcPr>
            <w:tcW w:w="652" w:type="dxa"/>
          </w:tcPr>
          <w:p w:rsidR="00547E7E" w:rsidRPr="00075492" w:rsidRDefault="00547E7E">
            <w:pPr>
              <w:pStyle w:val="Normaltindrag"/>
              <w:ind w:firstLine="0"/>
              <w:jc w:val="center"/>
            </w:pPr>
            <w:r w:rsidRPr="00075492">
              <w:t>174</w:t>
            </w:r>
          </w:p>
        </w:tc>
        <w:tc>
          <w:tcPr>
            <w:tcW w:w="652" w:type="dxa"/>
          </w:tcPr>
          <w:p w:rsidR="00547E7E" w:rsidRPr="00075492" w:rsidRDefault="00547E7E">
            <w:pPr>
              <w:pStyle w:val="Normaltindrag"/>
              <w:ind w:firstLine="0"/>
              <w:jc w:val="center"/>
            </w:pPr>
            <w:r w:rsidRPr="00075492">
              <w:t>98</w:t>
            </w:r>
          </w:p>
        </w:tc>
      </w:tr>
      <w:tr w:rsidR="00000000" w:rsidRPr="00075492">
        <w:tblPrEx>
          <w:tblCellMar>
            <w:top w:w="0" w:type="dxa"/>
            <w:bottom w:w="0" w:type="dxa"/>
          </w:tblCellMar>
        </w:tblPrEx>
        <w:tc>
          <w:tcPr>
            <w:tcW w:w="3799" w:type="dxa"/>
          </w:tcPr>
          <w:p w:rsidR="00547E7E" w:rsidRPr="00075492" w:rsidRDefault="00547E7E">
            <w:pPr>
              <w:pStyle w:val="Normaltindrag"/>
              <w:ind w:firstLine="0"/>
              <w:jc w:val="left"/>
            </w:pPr>
            <w:r w:rsidRPr="00075492">
              <w:t>Bygg- och mi</w:t>
            </w:r>
            <w:r w:rsidRPr="00075492">
              <w:t>l</w:t>
            </w:r>
            <w:r w:rsidRPr="00075492">
              <w:t>jönämnd</w:t>
            </w:r>
          </w:p>
        </w:tc>
        <w:tc>
          <w:tcPr>
            <w:tcW w:w="652" w:type="dxa"/>
          </w:tcPr>
          <w:p w:rsidR="00547E7E" w:rsidRPr="00075492" w:rsidRDefault="00547E7E">
            <w:pPr>
              <w:pStyle w:val="Normaltindrag"/>
              <w:ind w:firstLine="0"/>
              <w:jc w:val="center"/>
            </w:pPr>
            <w:r w:rsidRPr="00075492">
              <w:t>38</w:t>
            </w:r>
          </w:p>
        </w:tc>
        <w:tc>
          <w:tcPr>
            <w:tcW w:w="652" w:type="dxa"/>
          </w:tcPr>
          <w:p w:rsidR="00547E7E" w:rsidRPr="00075492" w:rsidRDefault="00547E7E">
            <w:pPr>
              <w:pStyle w:val="Normaltindrag"/>
              <w:ind w:firstLine="0"/>
              <w:jc w:val="center"/>
            </w:pPr>
            <w:r w:rsidRPr="00075492">
              <w:t>62</w:t>
            </w:r>
          </w:p>
        </w:tc>
        <w:tc>
          <w:tcPr>
            <w:tcW w:w="652" w:type="dxa"/>
          </w:tcPr>
          <w:p w:rsidR="00547E7E" w:rsidRPr="00075492" w:rsidRDefault="00547E7E">
            <w:pPr>
              <w:pStyle w:val="Normaltindrag"/>
              <w:ind w:firstLine="0"/>
              <w:jc w:val="center"/>
            </w:pPr>
            <w:r w:rsidRPr="00075492">
              <w:t>108</w:t>
            </w:r>
          </w:p>
        </w:tc>
      </w:tr>
      <w:tr w:rsidR="00000000" w:rsidRPr="00075492">
        <w:tblPrEx>
          <w:tblCellMar>
            <w:top w:w="0" w:type="dxa"/>
            <w:bottom w:w="0" w:type="dxa"/>
          </w:tblCellMar>
        </w:tblPrEx>
        <w:tc>
          <w:tcPr>
            <w:tcW w:w="3799" w:type="dxa"/>
          </w:tcPr>
          <w:p w:rsidR="00547E7E" w:rsidRPr="00075492" w:rsidRDefault="00547E7E">
            <w:pPr>
              <w:pStyle w:val="Normaltindrag"/>
              <w:ind w:firstLine="0"/>
              <w:jc w:val="left"/>
            </w:pPr>
            <w:r w:rsidRPr="00075492">
              <w:t>Miljö-, bygg- och räddning</w:t>
            </w:r>
            <w:r w:rsidRPr="00075492">
              <w:t>s</w:t>
            </w:r>
            <w:r w:rsidRPr="00075492">
              <w:t>nämnd</w:t>
            </w:r>
          </w:p>
        </w:tc>
        <w:tc>
          <w:tcPr>
            <w:tcW w:w="652" w:type="dxa"/>
          </w:tcPr>
          <w:p w:rsidR="00547E7E" w:rsidRPr="00075492" w:rsidRDefault="00547E7E">
            <w:pPr>
              <w:pStyle w:val="Normaltindrag"/>
              <w:ind w:firstLine="0"/>
              <w:jc w:val="center"/>
            </w:pPr>
            <w:r w:rsidRPr="00075492">
              <w:t>14</w:t>
            </w:r>
          </w:p>
        </w:tc>
        <w:tc>
          <w:tcPr>
            <w:tcW w:w="652" w:type="dxa"/>
          </w:tcPr>
          <w:p w:rsidR="00547E7E" w:rsidRPr="00075492" w:rsidRDefault="00547E7E">
            <w:pPr>
              <w:pStyle w:val="Normaltindrag"/>
              <w:ind w:firstLine="0"/>
              <w:jc w:val="center"/>
            </w:pPr>
            <w:r w:rsidRPr="00075492">
              <w:t>16</w:t>
            </w:r>
          </w:p>
        </w:tc>
        <w:tc>
          <w:tcPr>
            <w:tcW w:w="652" w:type="dxa"/>
          </w:tcPr>
          <w:p w:rsidR="00547E7E" w:rsidRPr="00075492" w:rsidRDefault="00547E7E">
            <w:pPr>
              <w:pStyle w:val="Normaltindrag"/>
              <w:ind w:firstLine="0"/>
              <w:jc w:val="center"/>
            </w:pPr>
            <w:r w:rsidRPr="00075492">
              <w:t>30</w:t>
            </w:r>
          </w:p>
        </w:tc>
      </w:tr>
      <w:tr w:rsidR="00000000" w:rsidRPr="00075492">
        <w:tblPrEx>
          <w:tblCellMar>
            <w:top w:w="0" w:type="dxa"/>
            <w:bottom w:w="0" w:type="dxa"/>
          </w:tblCellMar>
        </w:tblPrEx>
        <w:tc>
          <w:tcPr>
            <w:tcW w:w="3799" w:type="dxa"/>
          </w:tcPr>
          <w:p w:rsidR="00547E7E" w:rsidRPr="00075492" w:rsidRDefault="00547E7E">
            <w:pPr>
              <w:pStyle w:val="Normaltindrag"/>
              <w:ind w:firstLine="0"/>
              <w:jc w:val="left"/>
            </w:pPr>
            <w:r w:rsidRPr="00075492">
              <w:t>Kommunstyre</w:t>
            </w:r>
            <w:r w:rsidRPr="00075492">
              <w:t>l</w:t>
            </w:r>
            <w:r w:rsidRPr="00075492">
              <w:t>sen</w:t>
            </w:r>
          </w:p>
        </w:tc>
        <w:tc>
          <w:tcPr>
            <w:tcW w:w="652" w:type="dxa"/>
          </w:tcPr>
          <w:p w:rsidR="00547E7E" w:rsidRPr="00075492" w:rsidRDefault="00547E7E">
            <w:pPr>
              <w:pStyle w:val="Normaltindrag"/>
              <w:ind w:firstLine="0"/>
              <w:jc w:val="center"/>
            </w:pPr>
          </w:p>
        </w:tc>
        <w:tc>
          <w:tcPr>
            <w:tcW w:w="652" w:type="dxa"/>
          </w:tcPr>
          <w:p w:rsidR="00547E7E" w:rsidRPr="00075492" w:rsidRDefault="00547E7E">
            <w:pPr>
              <w:pStyle w:val="Normaltindrag"/>
              <w:ind w:firstLine="0"/>
              <w:jc w:val="center"/>
            </w:pPr>
          </w:p>
        </w:tc>
        <w:tc>
          <w:tcPr>
            <w:tcW w:w="652" w:type="dxa"/>
          </w:tcPr>
          <w:p w:rsidR="00547E7E" w:rsidRPr="00075492" w:rsidRDefault="00547E7E">
            <w:pPr>
              <w:pStyle w:val="Normaltindrag"/>
              <w:ind w:firstLine="0"/>
              <w:jc w:val="center"/>
            </w:pPr>
            <w:r w:rsidRPr="00075492">
              <w:t>4</w:t>
            </w:r>
          </w:p>
        </w:tc>
      </w:tr>
      <w:tr w:rsidR="00000000" w:rsidRPr="00075492">
        <w:tblPrEx>
          <w:tblCellMar>
            <w:top w:w="0" w:type="dxa"/>
            <w:bottom w:w="0" w:type="dxa"/>
          </w:tblCellMar>
        </w:tblPrEx>
        <w:tc>
          <w:tcPr>
            <w:tcW w:w="3799" w:type="dxa"/>
          </w:tcPr>
          <w:p w:rsidR="00547E7E" w:rsidRPr="00075492" w:rsidRDefault="00547E7E">
            <w:pPr>
              <w:pStyle w:val="Normaltindrag"/>
              <w:ind w:firstLine="0"/>
              <w:jc w:val="left"/>
            </w:pPr>
            <w:r w:rsidRPr="00075492">
              <w:t>Annan nämnd</w:t>
            </w:r>
          </w:p>
        </w:tc>
        <w:tc>
          <w:tcPr>
            <w:tcW w:w="652" w:type="dxa"/>
          </w:tcPr>
          <w:p w:rsidR="00547E7E" w:rsidRPr="00075492" w:rsidRDefault="00547E7E">
            <w:pPr>
              <w:pStyle w:val="Normaltindrag"/>
              <w:ind w:firstLine="0"/>
              <w:jc w:val="center"/>
            </w:pPr>
            <w:r w:rsidRPr="00075492">
              <w:t>5</w:t>
            </w:r>
          </w:p>
        </w:tc>
        <w:tc>
          <w:tcPr>
            <w:tcW w:w="652" w:type="dxa"/>
          </w:tcPr>
          <w:p w:rsidR="00547E7E" w:rsidRPr="00075492" w:rsidRDefault="00547E7E">
            <w:pPr>
              <w:pStyle w:val="Normaltindrag"/>
              <w:ind w:firstLine="0"/>
              <w:jc w:val="center"/>
            </w:pPr>
            <w:r w:rsidRPr="00075492">
              <w:t>7</w:t>
            </w:r>
          </w:p>
        </w:tc>
        <w:tc>
          <w:tcPr>
            <w:tcW w:w="652" w:type="dxa"/>
          </w:tcPr>
          <w:p w:rsidR="00547E7E" w:rsidRPr="00075492" w:rsidRDefault="00547E7E">
            <w:pPr>
              <w:pStyle w:val="Normaltindrag"/>
              <w:ind w:firstLine="0"/>
              <w:jc w:val="center"/>
            </w:pPr>
            <w:r w:rsidRPr="00075492">
              <w:t>30</w:t>
            </w:r>
          </w:p>
        </w:tc>
      </w:tr>
      <w:tr w:rsidR="00000000" w:rsidRPr="00075492">
        <w:tblPrEx>
          <w:tblCellMar>
            <w:top w:w="0" w:type="dxa"/>
            <w:bottom w:w="0" w:type="dxa"/>
          </w:tblCellMar>
        </w:tblPrEx>
        <w:tc>
          <w:tcPr>
            <w:tcW w:w="3799" w:type="dxa"/>
          </w:tcPr>
          <w:p w:rsidR="00547E7E" w:rsidRPr="00075492" w:rsidRDefault="00547E7E">
            <w:pPr>
              <w:pStyle w:val="Normaltindrag"/>
              <w:ind w:firstLine="0"/>
              <w:jc w:val="left"/>
            </w:pPr>
            <w:r w:rsidRPr="00075492">
              <w:t>Bortfall</w:t>
            </w:r>
          </w:p>
        </w:tc>
        <w:tc>
          <w:tcPr>
            <w:tcW w:w="652" w:type="dxa"/>
          </w:tcPr>
          <w:p w:rsidR="00547E7E" w:rsidRPr="00075492" w:rsidRDefault="00547E7E">
            <w:pPr>
              <w:pStyle w:val="Normaltindrag"/>
              <w:ind w:firstLine="0"/>
              <w:jc w:val="center"/>
            </w:pPr>
            <w:r w:rsidRPr="00075492">
              <w:t>0</w:t>
            </w:r>
          </w:p>
        </w:tc>
        <w:tc>
          <w:tcPr>
            <w:tcW w:w="652" w:type="dxa"/>
          </w:tcPr>
          <w:p w:rsidR="00547E7E" w:rsidRPr="00075492" w:rsidRDefault="00547E7E">
            <w:pPr>
              <w:pStyle w:val="Normaltindrag"/>
              <w:ind w:firstLine="0"/>
              <w:jc w:val="center"/>
            </w:pPr>
            <w:r w:rsidRPr="00075492">
              <w:t>26</w:t>
            </w:r>
          </w:p>
        </w:tc>
        <w:tc>
          <w:tcPr>
            <w:tcW w:w="652" w:type="dxa"/>
          </w:tcPr>
          <w:p w:rsidR="00547E7E" w:rsidRPr="00075492" w:rsidRDefault="00547E7E">
            <w:pPr>
              <w:pStyle w:val="Normaltindrag"/>
              <w:ind w:firstLine="0"/>
              <w:jc w:val="center"/>
            </w:pPr>
            <w:r w:rsidRPr="00075492">
              <w:t>19</w:t>
            </w:r>
          </w:p>
        </w:tc>
      </w:tr>
      <w:tr w:rsidR="00000000" w:rsidRPr="00075492">
        <w:tblPrEx>
          <w:tblCellMar>
            <w:top w:w="0" w:type="dxa"/>
            <w:bottom w:w="0" w:type="dxa"/>
          </w:tblCellMar>
        </w:tblPrEx>
        <w:tc>
          <w:tcPr>
            <w:tcW w:w="3799" w:type="dxa"/>
          </w:tcPr>
          <w:p w:rsidR="00547E7E" w:rsidRPr="00075492" w:rsidRDefault="00547E7E">
            <w:pPr>
              <w:pStyle w:val="Normaltindrag"/>
              <w:ind w:firstLine="0"/>
              <w:jc w:val="left"/>
            </w:pPr>
            <w:r w:rsidRPr="00075492">
              <w:t>Totalt antal</w:t>
            </w:r>
          </w:p>
        </w:tc>
        <w:tc>
          <w:tcPr>
            <w:tcW w:w="652" w:type="dxa"/>
          </w:tcPr>
          <w:p w:rsidR="00547E7E" w:rsidRPr="00075492" w:rsidRDefault="00547E7E">
            <w:pPr>
              <w:pStyle w:val="Normaltindrag"/>
              <w:ind w:firstLine="0"/>
              <w:jc w:val="center"/>
            </w:pPr>
            <w:r w:rsidRPr="00075492">
              <w:t>286</w:t>
            </w:r>
          </w:p>
        </w:tc>
        <w:tc>
          <w:tcPr>
            <w:tcW w:w="652" w:type="dxa"/>
          </w:tcPr>
          <w:p w:rsidR="00547E7E" w:rsidRPr="00075492" w:rsidRDefault="00547E7E">
            <w:pPr>
              <w:pStyle w:val="Normaltindrag"/>
              <w:ind w:firstLine="0"/>
              <w:jc w:val="center"/>
            </w:pPr>
            <w:r w:rsidRPr="00075492">
              <w:t>285</w:t>
            </w:r>
          </w:p>
        </w:tc>
        <w:tc>
          <w:tcPr>
            <w:tcW w:w="652" w:type="dxa"/>
          </w:tcPr>
          <w:p w:rsidR="00547E7E" w:rsidRPr="00075492" w:rsidRDefault="00547E7E">
            <w:pPr>
              <w:pStyle w:val="Normaltindrag"/>
              <w:ind w:firstLine="0"/>
              <w:jc w:val="center"/>
            </w:pPr>
            <w:r w:rsidRPr="00075492">
              <w:t>289</w:t>
            </w:r>
          </w:p>
        </w:tc>
      </w:tr>
    </w:tbl>
    <w:p w:rsidR="00547E7E" w:rsidRPr="00075492" w:rsidRDefault="00547E7E">
      <w:pPr>
        <w:pStyle w:val="Tabell"/>
      </w:pPr>
      <w:r w:rsidRPr="00075492">
        <w:t>Källa: Svenska Kommunförbundet, Miljö- och hälsoskydd i kommunerna år 2000 och SOU 1998:61</w:t>
      </w:r>
    </w:p>
    <w:p w:rsidR="00547E7E" w:rsidRPr="00075492" w:rsidRDefault="00547E7E">
      <w:r w:rsidRPr="00075492">
        <w:t>Allt fler kommuner frångår den traditionella organisationen med en miljö- och hälsoskyddsnämnd. Den vanligaste kombinationen är miljö- och byg</w:t>
      </w:r>
      <w:r w:rsidRPr="00075492">
        <w:t>g</w:t>
      </w:r>
      <w:r w:rsidRPr="00075492">
        <w:t xml:space="preserve">nadsnämnd. </w:t>
      </w:r>
    </w:p>
    <w:p w:rsidR="00547E7E" w:rsidRPr="00075492" w:rsidRDefault="00547E7E">
      <w:pPr>
        <w:pStyle w:val="Normaltindrag"/>
      </w:pPr>
      <w:r w:rsidRPr="00075492">
        <w:t>Kommunernas förvaltningsorganisation för miljö- och hälsoskyddsfrågor har förändrats i samma riktning som nämndorganisationen. Alltfler komm</w:t>
      </w:r>
      <w:r w:rsidRPr="00075492">
        <w:t>u</w:t>
      </w:r>
      <w:r w:rsidRPr="00075492">
        <w:t>ner slår samman främst miljö- och byggförvaltningar. Några kommuner har gemensamma förvaltningar för miljö- och hälsoskydd</w:t>
      </w:r>
      <w:r w:rsidRPr="00075492">
        <w:rPr>
          <w:rStyle w:val="Fotnotsreferens"/>
        </w:rPr>
        <w:footnoteReference w:id="37"/>
      </w:r>
      <w:r w:rsidRPr="00075492">
        <w:t xml:space="preserve">. </w:t>
      </w:r>
    </w:p>
    <w:p w:rsidR="00547E7E" w:rsidRPr="00075492" w:rsidRDefault="00547E7E">
      <w:pPr>
        <w:pStyle w:val="Normaltindrag"/>
      </w:pPr>
      <w:r w:rsidRPr="00075492">
        <w:t>Enligt kommunallagen får en nämnd inte utöva tillsyn över verksamhet som nämnden själv bedriver (3 kap. 5 §). Samma nämnd kan därför inte ansvara för tillsyn enligt livsmedelslagen och samtidigt svara för t.ex. drift av ett vatte</w:t>
      </w:r>
      <w:r w:rsidRPr="00075492">
        <w:t>n</w:t>
      </w:r>
      <w:r w:rsidRPr="00075492">
        <w:t>verk.</w:t>
      </w:r>
    </w:p>
    <w:p w:rsidR="00547E7E" w:rsidRPr="00075492" w:rsidRDefault="00547E7E">
      <w:pPr>
        <w:pStyle w:val="Normaltindrag"/>
      </w:pPr>
      <w:r w:rsidRPr="00075492">
        <w:t>Det har riktats en del kritik mot sammanslagningen av olika nämnder. Om drift- och tillsynsfrågor blandas, uppstår risker för jävs och beroendesituati</w:t>
      </w:r>
      <w:r w:rsidRPr="00075492">
        <w:t>o</w:t>
      </w:r>
      <w:r w:rsidRPr="00075492">
        <w:t>ner</w:t>
      </w:r>
      <w:r w:rsidRPr="00075492">
        <w:rPr>
          <w:rStyle w:val="Fotnotsreferens"/>
        </w:rPr>
        <w:footnoteReference w:id="38"/>
      </w:r>
      <w:r w:rsidRPr="00075492">
        <w:t>.</w:t>
      </w:r>
    </w:p>
    <w:p w:rsidR="00547E7E" w:rsidRPr="00075492" w:rsidRDefault="00547E7E">
      <w:pPr>
        <w:pStyle w:val="Normaltindrag"/>
      </w:pPr>
      <w:r w:rsidRPr="00075492">
        <w:t>Naturvårdsverket har tillsammans med Svenska Kommunförbundet g</w:t>
      </w:r>
      <w:r w:rsidRPr="00075492">
        <w:t>e</w:t>
      </w:r>
      <w:r w:rsidRPr="00075492">
        <w:t>nomfört ett regeringsuppdrag avseende kommunernas organisation för tillsyn över miljöfarlig verksamhet</w:t>
      </w:r>
      <w:r w:rsidRPr="00075492">
        <w:rPr>
          <w:rStyle w:val="Fotnotsreferens"/>
        </w:rPr>
        <w:footnoteReference w:id="39"/>
      </w:r>
      <w:r w:rsidRPr="00075492">
        <w:t xml:space="preserve">.  I rapporten föreslås bl.a. en ändring av kap. 25 § KL 6 som innebär ett förtydligande av nuvarande jävsbestämmelser. Inom Regeringskansliet bereds för närvarande förslaget.  </w:t>
      </w:r>
    </w:p>
    <w:p w:rsidR="00547E7E" w:rsidRPr="00075492" w:rsidRDefault="00547E7E">
      <w:pPr>
        <w:pStyle w:val="Normaltindrag"/>
      </w:pPr>
      <w:r w:rsidRPr="00075492">
        <w:t>Livsmedelsverket har också uppmärksammat att jävs- och beroendesitu</w:t>
      </w:r>
      <w:r w:rsidRPr="00075492">
        <w:t>a</w:t>
      </w:r>
      <w:r w:rsidRPr="00075492">
        <w:t xml:space="preserve">tioner kan uppstå för kommunala livsmedelsinspektörer. </w:t>
      </w:r>
    </w:p>
    <w:p w:rsidR="00547E7E" w:rsidRPr="00075492" w:rsidRDefault="00547E7E">
      <w:pPr>
        <w:pStyle w:val="Normaltindrag"/>
      </w:pPr>
      <w:r w:rsidRPr="00075492">
        <w:t>Verket har i samband med revisorernas granskning redovisat några exe</w:t>
      </w:r>
      <w:r w:rsidRPr="00075492">
        <w:t>m</w:t>
      </w:r>
      <w:r w:rsidRPr="00075492">
        <w:t>pel på jävs- och beroendeförhållanden som har kommit till verkets känn</w:t>
      </w:r>
      <w:r w:rsidRPr="00075492">
        <w:t>e</w:t>
      </w:r>
      <w:r w:rsidRPr="00075492">
        <w:t xml:space="preserve">dom, enligt följande: </w:t>
      </w:r>
    </w:p>
    <w:p w:rsidR="00547E7E" w:rsidRPr="00075492" w:rsidRDefault="00547E7E">
      <w:pPr>
        <w:pStyle w:val="Normaltindrag"/>
        <w:numPr>
          <w:ilvl w:val="0"/>
          <w:numId w:val="279"/>
        </w:numPr>
        <w:ind w:left="530"/>
      </w:pPr>
      <w:r w:rsidRPr="00075492">
        <w:t>I en liten inlandskommun i övre Norrland tillät inte nämnden inspekt</w:t>
      </w:r>
      <w:r w:rsidRPr="00075492">
        <w:t>ö</w:t>
      </w:r>
      <w:r w:rsidRPr="00075492">
        <w:t>ren att utöva tillsyn under den årliga marknaden när behovet var som störst, dvs. efter normal arbetstid. När inspektören påtalade att det f</w:t>
      </w:r>
      <w:r w:rsidRPr="00075492">
        <w:t>ö</w:t>
      </w:r>
      <w:r w:rsidRPr="00075492">
        <w:t>rekom olaglig försäljning uppmanades inspektören att låta saken bero.</w:t>
      </w:r>
    </w:p>
    <w:p w:rsidR="00547E7E" w:rsidRPr="00075492" w:rsidRDefault="00547E7E">
      <w:pPr>
        <w:pStyle w:val="Normaltindrag"/>
        <w:ind w:firstLine="0"/>
      </w:pPr>
    </w:p>
    <w:p w:rsidR="00547E7E" w:rsidRPr="00075492" w:rsidRDefault="00547E7E">
      <w:pPr>
        <w:pStyle w:val="Normaltindrag"/>
        <w:numPr>
          <w:ilvl w:val="0"/>
          <w:numId w:val="280"/>
        </w:numPr>
        <w:ind w:left="530"/>
      </w:pPr>
      <w:r w:rsidRPr="00075492">
        <w:t>I en liten kommun i södra Sverige upptäckte den nyanställda inspekt</w:t>
      </w:r>
      <w:r w:rsidRPr="00075492">
        <w:t>ö</w:t>
      </w:r>
      <w:r w:rsidRPr="00075492">
        <w:t>ren att ett storhushåll inom barn- och äldreomsorgen hade lokalgo</w:t>
      </w:r>
      <w:r w:rsidRPr="00075492">
        <w:t>d</w:t>
      </w:r>
      <w:r w:rsidRPr="00075492">
        <w:t>kännande utan att lokalen uppfyllde ställda krav. När inspektören f</w:t>
      </w:r>
      <w:r w:rsidRPr="00075492">
        <w:t>ö</w:t>
      </w:r>
      <w:r w:rsidRPr="00075492">
        <w:t>reslog att åtgärder skulle vidtas a</w:t>
      </w:r>
      <w:r w:rsidRPr="00075492">
        <w:t>v</w:t>
      </w:r>
      <w:r w:rsidRPr="00075492">
        <w:t>styrkte nämnden förslaget.</w:t>
      </w:r>
    </w:p>
    <w:p w:rsidR="00547E7E" w:rsidRPr="00075492" w:rsidRDefault="00547E7E">
      <w:pPr>
        <w:pStyle w:val="Normaltindrag"/>
        <w:ind w:firstLine="0"/>
      </w:pPr>
    </w:p>
    <w:p w:rsidR="00547E7E" w:rsidRPr="00075492" w:rsidRDefault="00547E7E">
      <w:pPr>
        <w:pStyle w:val="Normaltindrag"/>
        <w:numPr>
          <w:ilvl w:val="0"/>
          <w:numId w:val="281"/>
        </w:numPr>
        <w:ind w:left="530"/>
      </w:pPr>
      <w:r w:rsidRPr="00075492">
        <w:t>I en liten kommun i Småland hade länsstyrelsen uppmärksammat stora brister i den offentliga tillsynen av ett mindre vattenverk. I princip hade inga inspektioner genomförts och alltför få prov hade tagits. Kommunen hade inte vidtagit nödvändiga åtgärder trots upprepade klagomål från kons</w:t>
      </w:r>
      <w:r w:rsidRPr="00075492">
        <w:t>u</w:t>
      </w:r>
      <w:r w:rsidRPr="00075492">
        <w:t xml:space="preserve">menter om dåligt dricksvatten. </w:t>
      </w:r>
    </w:p>
    <w:p w:rsidR="00547E7E" w:rsidRPr="00075492" w:rsidRDefault="00547E7E">
      <w:pPr>
        <w:pStyle w:val="Normaltindrag"/>
        <w:numPr>
          <w:ilvl w:val="0"/>
          <w:numId w:val="282"/>
        </w:numPr>
        <w:ind w:left="530"/>
      </w:pPr>
      <w:r w:rsidRPr="00075492">
        <w:t>I en kommun i Södermanland hade upprepade konsumentklagomål på dåligt dricksvatten förekommit. Detta föranledde Livsmedelsverket att genomföra en norme</w:t>
      </w:r>
      <w:r w:rsidRPr="00075492">
        <w:softHyphen/>
        <w:t>rande inspektion vid anläggningen i maj 2000. Vid inspektionen framkom att egenkontroll</w:t>
      </w:r>
      <w:r w:rsidRPr="00075492">
        <w:softHyphen/>
        <w:t>program saknades och att kommunen i stort sett inte bedrivit någon offentlig tillsyn. Ansvaret för produktion och tillsyn åvilade samma förvaltning men olika nämnder. I oktober år 2001 beslutade kommunen att iordningställa en ny drick</w:t>
      </w:r>
      <w:r w:rsidRPr="00075492">
        <w:t>s</w:t>
      </w:r>
      <w:r w:rsidRPr="00075492">
        <w:t xml:space="preserve">vattentäkt. </w:t>
      </w:r>
    </w:p>
    <w:p w:rsidR="00547E7E" w:rsidRPr="00075492" w:rsidRDefault="00547E7E">
      <w:r w:rsidRPr="00075492">
        <w:t>Av Livsmedelsverkets redovisning framgår att verket ibland har tagit upp aktuella fall om beroendeförhållanden i samband med kommunbesök. I ett fall har en normerande inspekti</w:t>
      </w:r>
      <w:r w:rsidRPr="00075492">
        <w:t>on genomförts. Kommunen har i flera fall därefter vidtagit läm</w:t>
      </w:r>
      <w:r w:rsidRPr="00075492">
        <w:t>p</w:t>
      </w:r>
      <w:r w:rsidRPr="00075492">
        <w:t>liga åtgärder.</w:t>
      </w:r>
    </w:p>
    <w:p w:rsidR="00547E7E" w:rsidRPr="00075492" w:rsidRDefault="00547E7E">
      <w:pPr>
        <w:pStyle w:val="Rubrik2"/>
      </w:pPr>
      <w:bookmarkStart w:id="473" w:name="_Toc532284518"/>
      <w:bookmarkStart w:id="474" w:name="_Toc532292085"/>
      <w:bookmarkStart w:id="475" w:name="_Toc84632"/>
      <w:bookmarkStart w:id="476" w:name="_Toc6634590"/>
      <w:bookmarkStart w:id="477" w:name="_Toc6637172"/>
      <w:r w:rsidRPr="00075492">
        <w:t>Tillsynsaktiviteter</w:t>
      </w:r>
      <w:bookmarkEnd w:id="473"/>
      <w:bookmarkEnd w:id="474"/>
      <w:bookmarkEnd w:id="475"/>
      <w:bookmarkEnd w:id="476"/>
      <w:bookmarkEnd w:id="477"/>
    </w:p>
    <w:p w:rsidR="00547E7E" w:rsidRPr="00075492" w:rsidRDefault="00547E7E">
      <w:pPr>
        <w:pStyle w:val="Rubrik3"/>
      </w:pPr>
      <w:bookmarkStart w:id="478" w:name="_Toc532284519"/>
      <w:bookmarkStart w:id="479" w:name="_Toc532292086"/>
      <w:bookmarkStart w:id="480" w:name="_Toc84633"/>
      <w:bookmarkStart w:id="481" w:name="_Toc6634591"/>
      <w:bookmarkStart w:id="482" w:name="_Toc6637173"/>
      <w:r w:rsidRPr="00075492">
        <w:t>Godkännande av lokal</w:t>
      </w:r>
      <w:bookmarkEnd w:id="478"/>
      <w:bookmarkEnd w:id="479"/>
      <w:bookmarkEnd w:id="480"/>
      <w:bookmarkEnd w:id="481"/>
      <w:bookmarkEnd w:id="482"/>
    </w:p>
    <w:p w:rsidR="00547E7E" w:rsidRPr="00075492" w:rsidRDefault="00547E7E">
      <w:r w:rsidRPr="00075492">
        <w:t>Enligt livsmedelslagen ska livsmedel normalt hanteras i livsmedelslokal. Lokalen ska vara godkänd för ändamålet av tillsynsmyndigheten innan ver</w:t>
      </w:r>
      <w:r w:rsidRPr="00075492">
        <w:t>k</w:t>
      </w:r>
      <w:r w:rsidRPr="00075492">
        <w:t>samheten startar. Om väsentliga ändringar av lokalen genomförs ska tidigare godkännande komplett</w:t>
      </w:r>
      <w:r w:rsidRPr="00075492">
        <w:t>e</w:t>
      </w:r>
      <w:r w:rsidRPr="00075492">
        <w:t>ras.</w:t>
      </w:r>
    </w:p>
    <w:p w:rsidR="00547E7E" w:rsidRPr="00075492" w:rsidRDefault="00547E7E">
      <w:pPr>
        <w:pStyle w:val="Normaltindrag"/>
      </w:pPr>
      <w:r w:rsidRPr="00075492">
        <w:t>I praktiken sker arbetet med lokalgodkännande genom att tillsynsmyndi</w:t>
      </w:r>
      <w:r w:rsidRPr="00075492">
        <w:t>g</w:t>
      </w:r>
      <w:r w:rsidRPr="00075492">
        <w:t>heten studerar ritningar och bedömer hur fastställda krav kan tillgodoses. Rådgivning till och diskussion med verksamhetsutövaren är viktiga delar i tillståndsprövningen eftersom detta kan förebygga framtida problem</w:t>
      </w:r>
      <w:r w:rsidRPr="00075492">
        <w:rPr>
          <w:rStyle w:val="Fotnotsreferens"/>
        </w:rPr>
        <w:footnoteReference w:id="40"/>
      </w:r>
      <w:r w:rsidRPr="00075492">
        <w:t>.</w:t>
      </w:r>
    </w:p>
    <w:p w:rsidR="00547E7E" w:rsidRPr="00075492" w:rsidRDefault="00547E7E">
      <w:pPr>
        <w:pStyle w:val="Normaltindrag"/>
      </w:pPr>
      <w:r w:rsidRPr="00075492">
        <w:t>För storskaliga animalieanläggningar, för vilka Livsmedelsverket har öve</w:t>
      </w:r>
      <w:r w:rsidRPr="00075492">
        <w:t>r</w:t>
      </w:r>
      <w:r w:rsidRPr="00075492">
        <w:t>fört tillsynsansvaret till kommunerna, svarar dock Livsmedelsverket för prövning och godkännande av lokal.</w:t>
      </w:r>
    </w:p>
    <w:p w:rsidR="00547E7E" w:rsidRPr="00075492" w:rsidRDefault="00547E7E">
      <w:pPr>
        <w:pStyle w:val="Normaltindrag"/>
      </w:pPr>
      <w:r w:rsidRPr="00075492">
        <w:t>Vid intervjuer med företrädare för Göteborgs kommun har denna ansvar</w:t>
      </w:r>
      <w:r w:rsidRPr="00075492">
        <w:t>s</w:t>
      </w:r>
      <w:r w:rsidRPr="00075492">
        <w:t>fördelning kommenterats. Verksamhetsutövare vänder sig ofta till komm</w:t>
      </w:r>
      <w:r w:rsidRPr="00075492">
        <w:t>u</w:t>
      </w:r>
      <w:r w:rsidRPr="00075492">
        <w:t>nen som har den löpande kontakten med företaget för att ställa frågor och för att påskynda pr</w:t>
      </w:r>
      <w:r w:rsidRPr="00075492">
        <w:t>o</w:t>
      </w:r>
      <w:r w:rsidRPr="00075492">
        <w:t xml:space="preserve">cessen. </w:t>
      </w:r>
    </w:p>
    <w:p w:rsidR="00547E7E" w:rsidRPr="00075492" w:rsidRDefault="00547E7E">
      <w:pPr>
        <w:pStyle w:val="Rubrik3"/>
      </w:pPr>
      <w:bookmarkStart w:id="483" w:name="_Toc532284520"/>
      <w:bookmarkStart w:id="484" w:name="_Toc532292087"/>
      <w:bookmarkStart w:id="485" w:name="_Toc84634"/>
      <w:bookmarkStart w:id="486" w:name="_Toc6634592"/>
      <w:bookmarkStart w:id="487" w:name="_Toc6637174"/>
      <w:r w:rsidRPr="00075492">
        <w:t>Hantering av livsmedel på annat ställe än i livsmedelslokal</w:t>
      </w:r>
      <w:bookmarkEnd w:id="483"/>
      <w:bookmarkEnd w:id="484"/>
      <w:bookmarkEnd w:id="485"/>
      <w:bookmarkEnd w:id="486"/>
      <w:bookmarkEnd w:id="487"/>
    </w:p>
    <w:p w:rsidR="00547E7E" w:rsidRPr="00075492" w:rsidRDefault="00547E7E">
      <w:r w:rsidRPr="00075492">
        <w:t>Tillstånd krävs för att hantera livsmedel på annat ställe än i livsmedelslokal, s.k. § 16 – tillstånd som t.ex. används vid marknader eller festivaler. Til</w:t>
      </w:r>
      <w:r w:rsidRPr="00075492">
        <w:t>l</w:t>
      </w:r>
      <w:r w:rsidRPr="00075492">
        <w:t>stånden omfattar tillfällig restaurangverksamhet samt försäljning av färdi</w:t>
      </w:r>
      <w:r w:rsidRPr="00075492">
        <w:t>g</w:t>
      </w:r>
      <w:r w:rsidRPr="00075492">
        <w:t>förpackade varor och enkel hantering med liten risk, t.ex. kokning och gril</w:t>
      </w:r>
      <w:r w:rsidRPr="00075492">
        <w:t>l</w:t>
      </w:r>
      <w:r w:rsidRPr="00075492">
        <w:t xml:space="preserve">ning av helkonserverad korv eller grillning av förstekta hamburgare. </w:t>
      </w:r>
    </w:p>
    <w:p w:rsidR="00547E7E" w:rsidRPr="00075492" w:rsidRDefault="00547E7E">
      <w:pPr>
        <w:pStyle w:val="Normaltindrag"/>
      </w:pPr>
      <w:r w:rsidRPr="00075492">
        <w:t>Livsmedelsverket har föreslagit vissa förändringar av dessa tillstånd. Mindre känsliga livsmedel ska kunna säljas utan tillstånd. Tillstånd som är utfärdade i en kommun ska också gälla i andra kommuner, s.k. rikstillstånd</w:t>
      </w:r>
      <w:r w:rsidRPr="00075492">
        <w:rPr>
          <w:rStyle w:val="Fotnotsreferens"/>
        </w:rPr>
        <w:footnoteReference w:id="41"/>
      </w:r>
      <w:r w:rsidRPr="00075492">
        <w:t xml:space="preserve">. </w:t>
      </w:r>
    </w:p>
    <w:p w:rsidR="00547E7E" w:rsidRPr="00075492" w:rsidRDefault="00547E7E">
      <w:pPr>
        <w:pStyle w:val="Rubrik3"/>
      </w:pPr>
      <w:bookmarkStart w:id="488" w:name="_Toc532284521"/>
      <w:bookmarkStart w:id="489" w:name="_Toc532292088"/>
      <w:bookmarkStart w:id="490" w:name="_Toc84635"/>
      <w:bookmarkStart w:id="491" w:name="_Toc6634593"/>
      <w:bookmarkStart w:id="492" w:name="_Toc6637175"/>
      <w:r w:rsidRPr="00075492">
        <w:t>Fastställande av egenkontrollprogram</w:t>
      </w:r>
      <w:bookmarkEnd w:id="488"/>
      <w:bookmarkEnd w:id="489"/>
      <w:bookmarkEnd w:id="490"/>
      <w:bookmarkEnd w:id="491"/>
      <w:bookmarkEnd w:id="492"/>
    </w:p>
    <w:p w:rsidR="00547E7E" w:rsidRPr="00075492" w:rsidRDefault="00547E7E">
      <w:r w:rsidRPr="00075492">
        <w:t>Tillsynsmyndigheten ska enligt riksdagens beslut år 1989 fastställa föret</w:t>
      </w:r>
      <w:r w:rsidRPr="00075492">
        <w:t>a</w:t>
      </w:r>
      <w:r w:rsidRPr="00075492">
        <w:t>gens egenkontrollprogram. Företagens skyldigheter vad gäller egenkontroll och erfarenheter av tillämpning diskuteras i kap. 10.</w:t>
      </w:r>
    </w:p>
    <w:p w:rsidR="00547E7E" w:rsidRPr="00075492" w:rsidRDefault="00547E7E">
      <w:pPr>
        <w:pStyle w:val="Rubrik3"/>
      </w:pPr>
      <w:bookmarkStart w:id="493" w:name="_Toc532284522"/>
      <w:bookmarkStart w:id="494" w:name="_Toc532292089"/>
      <w:bookmarkStart w:id="495" w:name="_Toc84636"/>
      <w:bookmarkStart w:id="496" w:name="_Toc6634594"/>
      <w:bookmarkStart w:id="497" w:name="_Toc6637176"/>
      <w:r w:rsidRPr="00075492">
        <w:t>Inspektioner</w:t>
      </w:r>
      <w:bookmarkEnd w:id="493"/>
      <w:bookmarkEnd w:id="494"/>
      <w:bookmarkEnd w:id="495"/>
      <w:bookmarkEnd w:id="496"/>
      <w:bookmarkEnd w:id="497"/>
    </w:p>
    <w:p w:rsidR="00547E7E" w:rsidRPr="00075492" w:rsidRDefault="00547E7E">
      <w:r w:rsidRPr="00075492">
        <w:t>Företagen är skyldiga att följa de lagar och regler som finns inom livsm</w:t>
      </w:r>
      <w:r w:rsidRPr="00075492">
        <w:t>e</w:t>
      </w:r>
      <w:r w:rsidRPr="00075492">
        <w:t>delsområdet. Tillsynsmyndigheternas uppgift är att kontrollera att så sker och övervaka företagens egenkontrollprogram. Enligt EU:s direktiv ska inspe</w:t>
      </w:r>
      <w:r w:rsidRPr="00075492">
        <w:t>k</w:t>
      </w:r>
      <w:r w:rsidRPr="00075492">
        <w:t xml:space="preserve">tioner genomföras regelbundet och vid misstanke om att gällande regler inte följs. Livsmedelsverket rekommenderar att anläggningar ska inspekteras minst en gång per år och vissa anläggningar ännu oftare. </w:t>
      </w:r>
    </w:p>
    <w:p w:rsidR="00547E7E" w:rsidRPr="00075492" w:rsidRDefault="00547E7E">
      <w:pPr>
        <w:pStyle w:val="Normaltindrag"/>
      </w:pPr>
      <w:r w:rsidRPr="00075492">
        <w:t>Normerande inspektioner används av verket som ett instrument för att i praktiken tydliggöra hur en inspektion bör g</w:t>
      </w:r>
      <w:r w:rsidRPr="00075492">
        <w:t>e</w:t>
      </w:r>
      <w:r w:rsidRPr="00075492">
        <w:t xml:space="preserve">nomföras. </w:t>
      </w:r>
    </w:p>
    <w:p w:rsidR="00547E7E" w:rsidRPr="00075492" w:rsidRDefault="00547E7E">
      <w:pPr>
        <w:pStyle w:val="Normaltindrag"/>
      </w:pPr>
      <w:r w:rsidRPr="00075492">
        <w:t>Det finns olika syften med inspektioner beroende på vad som ska kontrol</w:t>
      </w:r>
      <w:r w:rsidRPr="00075492">
        <w:t>l</w:t>
      </w:r>
      <w:r w:rsidRPr="00075492">
        <w:t xml:space="preserve">eras. Exempel är rutinkontroller, uppföljning av tidigare konstaterade brister, inspektion med anledning av anmälan, revision av egenkontroll och kontroll av en viss fråga inom ramen för ett projekt. </w:t>
      </w:r>
    </w:p>
    <w:p w:rsidR="00547E7E" w:rsidRPr="00075492" w:rsidRDefault="00547E7E">
      <w:pPr>
        <w:pStyle w:val="Normaltindrag"/>
      </w:pPr>
      <w:r w:rsidRPr="00075492">
        <w:t>Vid intervjuer framhålls att en inspektion normalt har flera funktioner, t.ex. rådgivning och information till verksamhetsutövaren. De flesta företagare ser det som en tillgång att inspektören går igenom företaget.</w:t>
      </w:r>
    </w:p>
    <w:p w:rsidR="00547E7E" w:rsidRPr="00075492" w:rsidRDefault="00547E7E">
      <w:pPr>
        <w:pStyle w:val="Normaltindrag"/>
      </w:pPr>
      <w:r w:rsidRPr="00075492">
        <w:t>Av tabell 10 framgår antal utförda inspektioner samt inspektioner per a</w:t>
      </w:r>
      <w:r w:rsidRPr="00075492">
        <w:t>n</w:t>
      </w:r>
      <w:r w:rsidRPr="00075492">
        <w:t xml:space="preserve">läggning och år. </w:t>
      </w:r>
    </w:p>
    <w:p w:rsidR="00547E7E" w:rsidRPr="00075492" w:rsidRDefault="00547E7E">
      <w:pPr>
        <w:pStyle w:val="Normaltindrag"/>
      </w:pPr>
      <w:r w:rsidRPr="00075492">
        <w:br w:type="page"/>
      </w:r>
    </w:p>
    <w:p w:rsidR="00547E7E" w:rsidRPr="00075492" w:rsidRDefault="00547E7E">
      <w:pPr>
        <w:pStyle w:val="Beskrivning"/>
      </w:pPr>
      <w:r w:rsidRPr="00075492">
        <w:t xml:space="preserve">Tabell </w:t>
      </w:r>
      <w:r w:rsidRPr="00075492">
        <w:t>10</w:t>
      </w:r>
      <w:r w:rsidRPr="00075492">
        <w:t xml:space="preserve"> Antal kommunala inspektioner samt inspektioner per anläg</w:t>
      </w:r>
      <w:r w:rsidRPr="00075492">
        <w:t>g</w:t>
      </w:r>
      <w:r w:rsidRPr="00075492">
        <w:t xml:space="preserve">ning och år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680"/>
        <w:gridCol w:w="680"/>
        <w:gridCol w:w="680"/>
        <w:gridCol w:w="680"/>
        <w:gridCol w:w="680"/>
        <w:gridCol w:w="680"/>
        <w:gridCol w:w="680"/>
      </w:tblGrid>
      <w:tr w:rsidR="00000000" w:rsidRPr="00075492">
        <w:tblPrEx>
          <w:tblCellMar>
            <w:top w:w="0" w:type="dxa"/>
            <w:bottom w:w="0" w:type="dxa"/>
          </w:tblCellMar>
        </w:tblPrEx>
        <w:tc>
          <w:tcPr>
            <w:tcW w:w="1134" w:type="dxa"/>
            <w:shd w:val="pct20" w:color="auto" w:fill="FFFFFF"/>
          </w:tcPr>
          <w:p w:rsidR="00547E7E" w:rsidRPr="00075492" w:rsidRDefault="00547E7E">
            <w:pPr>
              <w:pStyle w:val="Normaltindrag"/>
              <w:ind w:firstLine="0"/>
              <w:rPr>
                <w:b/>
                <w:sz w:val="16"/>
              </w:rPr>
            </w:pPr>
          </w:p>
        </w:tc>
        <w:tc>
          <w:tcPr>
            <w:tcW w:w="680" w:type="dxa"/>
            <w:shd w:val="pct20" w:color="auto" w:fill="FFFFFF"/>
          </w:tcPr>
          <w:p w:rsidR="00547E7E" w:rsidRPr="00075492" w:rsidRDefault="00547E7E">
            <w:pPr>
              <w:pStyle w:val="Normaltindrag"/>
              <w:ind w:firstLine="0"/>
              <w:jc w:val="center"/>
              <w:rPr>
                <w:b/>
                <w:sz w:val="16"/>
              </w:rPr>
            </w:pPr>
            <w:r w:rsidRPr="00075492">
              <w:rPr>
                <w:b/>
                <w:sz w:val="16"/>
              </w:rPr>
              <w:t>1993/94</w:t>
            </w:r>
          </w:p>
        </w:tc>
        <w:tc>
          <w:tcPr>
            <w:tcW w:w="680" w:type="dxa"/>
            <w:shd w:val="pct20" w:color="auto" w:fill="FFFFFF"/>
          </w:tcPr>
          <w:p w:rsidR="00547E7E" w:rsidRPr="00075492" w:rsidRDefault="00547E7E">
            <w:pPr>
              <w:pStyle w:val="Normaltindrag"/>
              <w:ind w:firstLine="0"/>
              <w:jc w:val="center"/>
              <w:rPr>
                <w:b/>
                <w:sz w:val="16"/>
              </w:rPr>
            </w:pPr>
            <w:r w:rsidRPr="00075492">
              <w:rPr>
                <w:b/>
                <w:sz w:val="16"/>
              </w:rPr>
              <w:t>1994/95</w:t>
            </w:r>
          </w:p>
        </w:tc>
        <w:tc>
          <w:tcPr>
            <w:tcW w:w="680" w:type="dxa"/>
            <w:shd w:val="pct20" w:color="auto" w:fill="FFFFFF"/>
          </w:tcPr>
          <w:p w:rsidR="00547E7E" w:rsidRPr="00075492" w:rsidRDefault="00547E7E">
            <w:pPr>
              <w:pStyle w:val="Normaltindrag"/>
              <w:ind w:firstLine="0"/>
              <w:jc w:val="center"/>
              <w:rPr>
                <w:b/>
                <w:sz w:val="16"/>
              </w:rPr>
            </w:pPr>
            <w:r w:rsidRPr="00075492">
              <w:rPr>
                <w:b/>
                <w:sz w:val="16"/>
              </w:rPr>
              <w:t>1995</w:t>
            </w:r>
          </w:p>
        </w:tc>
        <w:tc>
          <w:tcPr>
            <w:tcW w:w="680" w:type="dxa"/>
            <w:shd w:val="pct20" w:color="auto" w:fill="FFFFFF"/>
          </w:tcPr>
          <w:p w:rsidR="00547E7E" w:rsidRPr="00075492" w:rsidRDefault="00547E7E">
            <w:pPr>
              <w:pStyle w:val="Normaltindrag"/>
              <w:ind w:firstLine="0"/>
              <w:jc w:val="center"/>
              <w:rPr>
                <w:b/>
                <w:sz w:val="16"/>
              </w:rPr>
            </w:pPr>
            <w:r w:rsidRPr="00075492">
              <w:rPr>
                <w:b/>
                <w:sz w:val="16"/>
              </w:rPr>
              <w:t>1996</w:t>
            </w:r>
          </w:p>
        </w:tc>
        <w:tc>
          <w:tcPr>
            <w:tcW w:w="680" w:type="dxa"/>
            <w:shd w:val="pct20" w:color="auto" w:fill="FFFFFF"/>
          </w:tcPr>
          <w:p w:rsidR="00547E7E" w:rsidRPr="00075492" w:rsidRDefault="00547E7E">
            <w:pPr>
              <w:pStyle w:val="Normaltindrag"/>
              <w:ind w:firstLine="0"/>
              <w:jc w:val="center"/>
              <w:rPr>
                <w:b/>
                <w:sz w:val="16"/>
              </w:rPr>
            </w:pPr>
            <w:r w:rsidRPr="00075492">
              <w:rPr>
                <w:b/>
                <w:sz w:val="16"/>
              </w:rPr>
              <w:t>1997</w:t>
            </w:r>
          </w:p>
        </w:tc>
        <w:tc>
          <w:tcPr>
            <w:tcW w:w="680" w:type="dxa"/>
            <w:shd w:val="pct20" w:color="auto" w:fill="FFFFFF"/>
          </w:tcPr>
          <w:p w:rsidR="00547E7E" w:rsidRPr="00075492" w:rsidRDefault="00547E7E">
            <w:pPr>
              <w:pStyle w:val="Normaltindrag"/>
              <w:ind w:firstLine="0"/>
              <w:jc w:val="center"/>
              <w:rPr>
                <w:b/>
                <w:sz w:val="16"/>
              </w:rPr>
            </w:pPr>
            <w:r w:rsidRPr="00075492">
              <w:rPr>
                <w:b/>
                <w:sz w:val="16"/>
              </w:rPr>
              <w:t>1998</w:t>
            </w:r>
          </w:p>
        </w:tc>
        <w:tc>
          <w:tcPr>
            <w:tcW w:w="680" w:type="dxa"/>
            <w:shd w:val="pct20" w:color="auto" w:fill="FFFFFF"/>
          </w:tcPr>
          <w:p w:rsidR="00547E7E" w:rsidRPr="00075492" w:rsidRDefault="00547E7E">
            <w:pPr>
              <w:pStyle w:val="Normaltindrag"/>
              <w:ind w:firstLine="0"/>
              <w:jc w:val="center"/>
              <w:rPr>
                <w:b/>
                <w:sz w:val="16"/>
              </w:rPr>
            </w:pPr>
            <w:r w:rsidRPr="00075492">
              <w:rPr>
                <w:b/>
                <w:sz w:val="16"/>
              </w:rPr>
              <w:t>1999</w:t>
            </w:r>
          </w:p>
        </w:tc>
      </w:tr>
      <w:tr w:rsidR="00000000" w:rsidRPr="00075492">
        <w:tblPrEx>
          <w:tblCellMar>
            <w:top w:w="0" w:type="dxa"/>
            <w:bottom w:w="0" w:type="dxa"/>
          </w:tblCellMar>
        </w:tblPrEx>
        <w:tc>
          <w:tcPr>
            <w:tcW w:w="1134" w:type="dxa"/>
          </w:tcPr>
          <w:p w:rsidR="00547E7E" w:rsidRPr="00075492" w:rsidRDefault="00547E7E">
            <w:pPr>
              <w:pStyle w:val="Normaltindrag"/>
              <w:ind w:firstLine="0"/>
              <w:rPr>
                <w:sz w:val="16"/>
              </w:rPr>
            </w:pPr>
            <w:r w:rsidRPr="00075492">
              <w:rPr>
                <w:sz w:val="16"/>
              </w:rPr>
              <w:t>Antal</w:t>
            </w:r>
          </w:p>
          <w:p w:rsidR="00547E7E" w:rsidRPr="00075492" w:rsidRDefault="00547E7E">
            <w:pPr>
              <w:pStyle w:val="Normaltindrag"/>
              <w:ind w:firstLine="0"/>
              <w:rPr>
                <w:sz w:val="16"/>
              </w:rPr>
            </w:pPr>
            <w:r w:rsidRPr="00075492">
              <w:rPr>
                <w:sz w:val="16"/>
              </w:rPr>
              <w:t>inspe</w:t>
            </w:r>
            <w:r w:rsidRPr="00075492">
              <w:rPr>
                <w:sz w:val="16"/>
              </w:rPr>
              <w:t>k</w:t>
            </w:r>
            <w:r w:rsidRPr="00075492">
              <w:rPr>
                <w:sz w:val="16"/>
              </w:rPr>
              <w:t>tioner</w:t>
            </w:r>
          </w:p>
        </w:tc>
        <w:tc>
          <w:tcPr>
            <w:tcW w:w="680" w:type="dxa"/>
          </w:tcPr>
          <w:p w:rsidR="00547E7E" w:rsidRPr="00075492" w:rsidRDefault="00547E7E">
            <w:pPr>
              <w:pStyle w:val="Normaltindrag"/>
              <w:ind w:firstLine="0"/>
              <w:jc w:val="center"/>
              <w:rPr>
                <w:sz w:val="16"/>
              </w:rPr>
            </w:pPr>
            <w:r w:rsidRPr="00075492">
              <w:rPr>
                <w:sz w:val="16"/>
              </w:rPr>
              <w:t>63 779</w:t>
            </w:r>
          </w:p>
        </w:tc>
        <w:tc>
          <w:tcPr>
            <w:tcW w:w="680" w:type="dxa"/>
          </w:tcPr>
          <w:p w:rsidR="00547E7E" w:rsidRPr="00075492" w:rsidRDefault="00547E7E">
            <w:pPr>
              <w:pStyle w:val="Normaltindrag"/>
              <w:ind w:firstLine="0"/>
              <w:jc w:val="center"/>
              <w:rPr>
                <w:sz w:val="16"/>
              </w:rPr>
            </w:pPr>
            <w:r w:rsidRPr="00075492">
              <w:rPr>
                <w:sz w:val="16"/>
              </w:rPr>
              <w:t>58 109</w:t>
            </w:r>
          </w:p>
        </w:tc>
        <w:tc>
          <w:tcPr>
            <w:tcW w:w="680" w:type="dxa"/>
          </w:tcPr>
          <w:p w:rsidR="00547E7E" w:rsidRPr="00075492" w:rsidRDefault="00547E7E">
            <w:pPr>
              <w:pStyle w:val="Normaltindrag"/>
              <w:ind w:firstLine="0"/>
              <w:jc w:val="center"/>
              <w:rPr>
                <w:sz w:val="16"/>
              </w:rPr>
            </w:pPr>
            <w:r w:rsidRPr="00075492">
              <w:rPr>
                <w:sz w:val="16"/>
              </w:rPr>
              <w:t>56 600</w:t>
            </w:r>
          </w:p>
        </w:tc>
        <w:tc>
          <w:tcPr>
            <w:tcW w:w="680" w:type="dxa"/>
          </w:tcPr>
          <w:p w:rsidR="00547E7E" w:rsidRPr="00075492" w:rsidRDefault="00547E7E">
            <w:pPr>
              <w:pStyle w:val="Normaltindrag"/>
              <w:ind w:firstLine="0"/>
              <w:jc w:val="center"/>
              <w:rPr>
                <w:sz w:val="16"/>
              </w:rPr>
            </w:pPr>
            <w:r w:rsidRPr="00075492">
              <w:rPr>
                <w:sz w:val="16"/>
              </w:rPr>
              <w:t>54 078</w:t>
            </w:r>
          </w:p>
        </w:tc>
        <w:tc>
          <w:tcPr>
            <w:tcW w:w="680" w:type="dxa"/>
          </w:tcPr>
          <w:p w:rsidR="00547E7E" w:rsidRPr="00075492" w:rsidRDefault="00547E7E">
            <w:pPr>
              <w:pStyle w:val="Normaltindrag"/>
              <w:ind w:firstLine="0"/>
              <w:jc w:val="center"/>
              <w:rPr>
                <w:sz w:val="16"/>
              </w:rPr>
            </w:pPr>
            <w:r w:rsidRPr="00075492">
              <w:rPr>
                <w:sz w:val="16"/>
              </w:rPr>
              <w:t>51 000</w:t>
            </w:r>
          </w:p>
        </w:tc>
        <w:tc>
          <w:tcPr>
            <w:tcW w:w="680" w:type="dxa"/>
          </w:tcPr>
          <w:p w:rsidR="00547E7E" w:rsidRPr="00075492" w:rsidRDefault="00547E7E">
            <w:pPr>
              <w:pStyle w:val="Normaltindrag"/>
              <w:ind w:firstLine="0"/>
              <w:jc w:val="center"/>
              <w:rPr>
                <w:sz w:val="16"/>
              </w:rPr>
            </w:pPr>
            <w:r w:rsidRPr="00075492">
              <w:rPr>
                <w:sz w:val="16"/>
              </w:rPr>
              <w:t>46 205</w:t>
            </w:r>
          </w:p>
        </w:tc>
        <w:tc>
          <w:tcPr>
            <w:tcW w:w="680" w:type="dxa"/>
          </w:tcPr>
          <w:p w:rsidR="00547E7E" w:rsidRPr="00075492" w:rsidRDefault="00547E7E">
            <w:pPr>
              <w:pStyle w:val="Normaltindrag"/>
              <w:ind w:firstLine="0"/>
              <w:jc w:val="center"/>
              <w:rPr>
                <w:sz w:val="16"/>
              </w:rPr>
            </w:pPr>
            <w:r w:rsidRPr="00075492">
              <w:rPr>
                <w:sz w:val="16"/>
              </w:rPr>
              <w:t>46 924</w:t>
            </w:r>
          </w:p>
        </w:tc>
      </w:tr>
      <w:tr w:rsidR="00000000" w:rsidRPr="00075492">
        <w:tblPrEx>
          <w:tblCellMar>
            <w:top w:w="0" w:type="dxa"/>
            <w:bottom w:w="0" w:type="dxa"/>
          </w:tblCellMar>
        </w:tblPrEx>
        <w:tc>
          <w:tcPr>
            <w:tcW w:w="1134" w:type="dxa"/>
          </w:tcPr>
          <w:p w:rsidR="00547E7E" w:rsidRPr="00075492" w:rsidRDefault="00547E7E">
            <w:pPr>
              <w:pStyle w:val="Normaltindrag"/>
              <w:ind w:firstLine="0"/>
              <w:rPr>
                <w:sz w:val="16"/>
              </w:rPr>
            </w:pPr>
            <w:r w:rsidRPr="00075492">
              <w:rPr>
                <w:sz w:val="16"/>
              </w:rPr>
              <w:t>Inspektioner per anläg</w:t>
            </w:r>
            <w:r w:rsidRPr="00075492">
              <w:rPr>
                <w:sz w:val="16"/>
              </w:rPr>
              <w:t>g</w:t>
            </w:r>
            <w:r w:rsidRPr="00075492">
              <w:rPr>
                <w:sz w:val="16"/>
              </w:rPr>
              <w:t>ning</w:t>
            </w:r>
          </w:p>
        </w:tc>
        <w:tc>
          <w:tcPr>
            <w:tcW w:w="680" w:type="dxa"/>
          </w:tcPr>
          <w:p w:rsidR="00547E7E" w:rsidRPr="00075492" w:rsidRDefault="00547E7E">
            <w:pPr>
              <w:pStyle w:val="Normaltindrag"/>
              <w:ind w:firstLine="0"/>
              <w:jc w:val="center"/>
              <w:rPr>
                <w:sz w:val="16"/>
              </w:rPr>
            </w:pPr>
          </w:p>
          <w:p w:rsidR="00547E7E" w:rsidRPr="00075492" w:rsidRDefault="00547E7E">
            <w:pPr>
              <w:pStyle w:val="Normaltindrag"/>
              <w:ind w:firstLine="0"/>
              <w:jc w:val="center"/>
              <w:rPr>
                <w:sz w:val="16"/>
              </w:rPr>
            </w:pPr>
            <w:r w:rsidRPr="00075492">
              <w:rPr>
                <w:sz w:val="16"/>
              </w:rPr>
              <w:t>1,4</w:t>
            </w:r>
          </w:p>
        </w:tc>
        <w:tc>
          <w:tcPr>
            <w:tcW w:w="680" w:type="dxa"/>
          </w:tcPr>
          <w:p w:rsidR="00547E7E" w:rsidRPr="00075492" w:rsidRDefault="00547E7E">
            <w:pPr>
              <w:pStyle w:val="Normaltindrag"/>
              <w:ind w:firstLine="0"/>
              <w:jc w:val="center"/>
              <w:rPr>
                <w:sz w:val="16"/>
              </w:rPr>
            </w:pPr>
          </w:p>
          <w:p w:rsidR="00547E7E" w:rsidRPr="00075492" w:rsidRDefault="00547E7E">
            <w:pPr>
              <w:pStyle w:val="Normaltindrag"/>
              <w:ind w:firstLine="0"/>
              <w:jc w:val="center"/>
              <w:rPr>
                <w:sz w:val="16"/>
              </w:rPr>
            </w:pPr>
            <w:r w:rsidRPr="00075492">
              <w:rPr>
                <w:sz w:val="16"/>
              </w:rPr>
              <w:t>1,22</w:t>
            </w:r>
          </w:p>
          <w:p w:rsidR="00547E7E" w:rsidRPr="00075492" w:rsidRDefault="00547E7E">
            <w:pPr>
              <w:pStyle w:val="Normaltindrag"/>
              <w:ind w:firstLine="0"/>
              <w:jc w:val="center"/>
              <w:rPr>
                <w:sz w:val="16"/>
              </w:rPr>
            </w:pPr>
          </w:p>
        </w:tc>
        <w:tc>
          <w:tcPr>
            <w:tcW w:w="680" w:type="dxa"/>
          </w:tcPr>
          <w:p w:rsidR="00547E7E" w:rsidRPr="00075492" w:rsidRDefault="00547E7E">
            <w:pPr>
              <w:pStyle w:val="Normaltindrag"/>
              <w:ind w:firstLine="0"/>
              <w:jc w:val="center"/>
              <w:rPr>
                <w:sz w:val="16"/>
              </w:rPr>
            </w:pPr>
          </w:p>
          <w:p w:rsidR="00547E7E" w:rsidRPr="00075492" w:rsidRDefault="00547E7E">
            <w:pPr>
              <w:pStyle w:val="Normaltindrag"/>
              <w:ind w:firstLine="0"/>
              <w:jc w:val="center"/>
              <w:rPr>
                <w:sz w:val="16"/>
              </w:rPr>
            </w:pPr>
            <w:r w:rsidRPr="00075492">
              <w:rPr>
                <w:sz w:val="16"/>
              </w:rPr>
              <w:t>1,13</w:t>
            </w:r>
          </w:p>
        </w:tc>
        <w:tc>
          <w:tcPr>
            <w:tcW w:w="680" w:type="dxa"/>
          </w:tcPr>
          <w:p w:rsidR="00547E7E" w:rsidRPr="00075492" w:rsidRDefault="00547E7E">
            <w:pPr>
              <w:pStyle w:val="Normaltindrag"/>
              <w:ind w:firstLine="0"/>
              <w:jc w:val="center"/>
              <w:rPr>
                <w:sz w:val="16"/>
              </w:rPr>
            </w:pPr>
          </w:p>
          <w:p w:rsidR="00547E7E" w:rsidRPr="00075492" w:rsidRDefault="00547E7E">
            <w:pPr>
              <w:pStyle w:val="Normaltindrag"/>
              <w:ind w:firstLine="0"/>
              <w:jc w:val="center"/>
              <w:rPr>
                <w:sz w:val="16"/>
              </w:rPr>
            </w:pPr>
            <w:r w:rsidRPr="00075492">
              <w:rPr>
                <w:sz w:val="16"/>
              </w:rPr>
              <w:t>1,07</w:t>
            </w:r>
          </w:p>
        </w:tc>
        <w:tc>
          <w:tcPr>
            <w:tcW w:w="680" w:type="dxa"/>
          </w:tcPr>
          <w:p w:rsidR="00547E7E" w:rsidRPr="00075492" w:rsidRDefault="00547E7E">
            <w:pPr>
              <w:pStyle w:val="Normaltindrag"/>
              <w:ind w:firstLine="0"/>
              <w:jc w:val="center"/>
              <w:rPr>
                <w:sz w:val="16"/>
              </w:rPr>
            </w:pPr>
          </w:p>
          <w:p w:rsidR="00547E7E" w:rsidRPr="00075492" w:rsidRDefault="00547E7E">
            <w:pPr>
              <w:pStyle w:val="Normaltindrag"/>
              <w:ind w:firstLine="0"/>
              <w:jc w:val="center"/>
              <w:rPr>
                <w:sz w:val="16"/>
              </w:rPr>
            </w:pPr>
            <w:r w:rsidRPr="00075492">
              <w:rPr>
                <w:sz w:val="16"/>
              </w:rPr>
              <w:t>0,98</w:t>
            </w:r>
          </w:p>
        </w:tc>
        <w:tc>
          <w:tcPr>
            <w:tcW w:w="680" w:type="dxa"/>
          </w:tcPr>
          <w:p w:rsidR="00547E7E" w:rsidRPr="00075492" w:rsidRDefault="00547E7E">
            <w:pPr>
              <w:pStyle w:val="Normaltindrag"/>
              <w:ind w:firstLine="0"/>
              <w:jc w:val="center"/>
              <w:rPr>
                <w:sz w:val="16"/>
              </w:rPr>
            </w:pPr>
          </w:p>
          <w:p w:rsidR="00547E7E" w:rsidRPr="00075492" w:rsidRDefault="00547E7E">
            <w:pPr>
              <w:pStyle w:val="Normaltindrag"/>
              <w:ind w:firstLine="0"/>
              <w:jc w:val="center"/>
              <w:rPr>
                <w:sz w:val="16"/>
              </w:rPr>
            </w:pPr>
            <w:r w:rsidRPr="00075492">
              <w:rPr>
                <w:sz w:val="16"/>
              </w:rPr>
              <w:t>0,89</w:t>
            </w:r>
          </w:p>
        </w:tc>
        <w:tc>
          <w:tcPr>
            <w:tcW w:w="680" w:type="dxa"/>
          </w:tcPr>
          <w:p w:rsidR="00547E7E" w:rsidRPr="00075492" w:rsidRDefault="00547E7E">
            <w:pPr>
              <w:pStyle w:val="Normaltindrag"/>
              <w:ind w:firstLine="0"/>
              <w:jc w:val="center"/>
              <w:rPr>
                <w:sz w:val="16"/>
              </w:rPr>
            </w:pPr>
          </w:p>
          <w:p w:rsidR="00547E7E" w:rsidRPr="00075492" w:rsidRDefault="00547E7E">
            <w:pPr>
              <w:pStyle w:val="Normaltindrag"/>
              <w:ind w:firstLine="0"/>
              <w:jc w:val="center"/>
              <w:rPr>
                <w:sz w:val="16"/>
              </w:rPr>
            </w:pPr>
            <w:r w:rsidRPr="00075492">
              <w:rPr>
                <w:sz w:val="16"/>
              </w:rPr>
              <w:t>0,9</w:t>
            </w:r>
          </w:p>
        </w:tc>
      </w:tr>
    </w:tbl>
    <w:p w:rsidR="00547E7E" w:rsidRPr="00075492" w:rsidRDefault="00547E7E">
      <w:pPr>
        <w:pStyle w:val="Tabell"/>
      </w:pPr>
    </w:p>
    <w:p w:rsidR="00547E7E" w:rsidRPr="00075492" w:rsidRDefault="00547E7E">
      <w:pPr>
        <w:pStyle w:val="Tabell"/>
      </w:pPr>
      <w:r w:rsidRPr="00075492">
        <w:t>Källa: Livsmedelsverkets rapporter, Rapportering om livsmedelstillsynen åren 1995–2000</w:t>
      </w:r>
    </w:p>
    <w:p w:rsidR="00547E7E" w:rsidRPr="00075492" w:rsidRDefault="00547E7E">
      <w:r w:rsidRPr="00075492">
        <w:t>Tabellen visar att antalet inspektioner har sjunkit i kommunerna under peri</w:t>
      </w:r>
      <w:r w:rsidRPr="00075492">
        <w:t>o</w:t>
      </w:r>
      <w:r w:rsidRPr="00075492">
        <w:t>den. Av rapporteringen framgår också att det finns en betydande variation mellan kommunerna beträffande antalet i</w:t>
      </w:r>
      <w:r w:rsidRPr="00075492">
        <w:t>n</w:t>
      </w:r>
      <w:r w:rsidRPr="00075492">
        <w:t xml:space="preserve">spektioner. </w:t>
      </w:r>
    </w:p>
    <w:p w:rsidR="00547E7E" w:rsidRPr="00075492" w:rsidRDefault="00547E7E">
      <w:pPr>
        <w:pStyle w:val="Normaltindrag"/>
      </w:pPr>
      <w:r w:rsidRPr="00075492">
        <w:t>I Livsmedelsverkets rapporter (21/95, 21/96, 20/98 och 16/99) uppges att ”Livsmedelsverket vet inte säkert varför inspektionsverksamheten minskar”. Kommunernas satsning på egenkontrollverksamheten uppges som en trolig anledning till minskningen. I rapport 31/97 anges att ”eftersom inspektion</w:t>
      </w:r>
      <w:r w:rsidRPr="00075492">
        <w:t>s</w:t>
      </w:r>
      <w:r w:rsidRPr="00075492">
        <w:t>verksamheten minskat stadigt under de tre senaste åren kan man inte utesluta att det rör sig om en reell minskning av kommunernas tillsynsresurser. Alla företag har inte fått lika mycket tillsyn beroende på att vissa anläggningar som kräver mer tillsyn har tagit mer av tillsynsresurse</w:t>
      </w:r>
      <w:r w:rsidRPr="00075492">
        <w:t>r</w:t>
      </w:r>
      <w:r w:rsidRPr="00075492">
        <w:t xml:space="preserve">na.” </w:t>
      </w:r>
    </w:p>
    <w:p w:rsidR="00547E7E" w:rsidRPr="00075492" w:rsidRDefault="00547E7E">
      <w:pPr>
        <w:pStyle w:val="Normaltindrag"/>
      </w:pPr>
      <w:r w:rsidRPr="00075492">
        <w:t>Företrädare för Göteborgs kommun anser att en anledning till att antalet inspektioner minskar är att inspektioner vanligtvis tar längre tid i dag än vad de gjorde för några år sedan. Fler moment ska kontrolleras. Inspek</w:t>
      </w:r>
      <w:r w:rsidRPr="00075492">
        <w:t>törerna är numera mer noggranna med dokumentation och kommunikation med föret</w:t>
      </w:r>
      <w:r w:rsidRPr="00075492">
        <w:t>a</w:t>
      </w:r>
      <w:r w:rsidRPr="00075492">
        <w:t>gen</w:t>
      </w:r>
      <w:r w:rsidRPr="00075492">
        <w:rPr>
          <w:rStyle w:val="Fotnotsreferens"/>
        </w:rPr>
        <w:footnoteReference w:id="42"/>
      </w:r>
      <w:r w:rsidRPr="00075492">
        <w:t xml:space="preserve">.  </w:t>
      </w:r>
    </w:p>
    <w:p w:rsidR="00547E7E" w:rsidRPr="00075492" w:rsidRDefault="00547E7E">
      <w:pPr>
        <w:pStyle w:val="Normaltindrag"/>
      </w:pPr>
      <w:r w:rsidRPr="00075492">
        <w:t>Inspektioner per anläggning för olika typer av anläggningar redovisas i t</w:t>
      </w:r>
      <w:r w:rsidRPr="00075492">
        <w:t>a</w:t>
      </w:r>
      <w:r w:rsidRPr="00075492">
        <w:t xml:space="preserve">bell 11. </w:t>
      </w:r>
    </w:p>
    <w:p w:rsidR="00547E7E" w:rsidRPr="00075492" w:rsidRDefault="00547E7E">
      <w:pPr>
        <w:pStyle w:val="Beskrivning"/>
      </w:pPr>
      <w:r w:rsidRPr="00075492">
        <w:t xml:space="preserve">Tabell </w:t>
      </w:r>
      <w:r w:rsidRPr="00075492">
        <w:t>11</w:t>
      </w:r>
      <w:r w:rsidRPr="00075492">
        <w:t xml:space="preserve">  Antalet inspektioner för olika typer av anläggningar och år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
        <w:gridCol w:w="827"/>
        <w:gridCol w:w="1101"/>
        <w:gridCol w:w="805"/>
        <w:gridCol w:w="1080"/>
      </w:tblGrid>
      <w:tr w:rsidR="00000000" w:rsidRPr="00075492">
        <w:tblPrEx>
          <w:tblCellMar>
            <w:top w:w="0" w:type="dxa"/>
            <w:bottom w:w="0" w:type="dxa"/>
          </w:tblCellMar>
        </w:tblPrEx>
        <w:tc>
          <w:tcPr>
            <w:tcW w:w="615" w:type="dxa"/>
            <w:shd w:val="pct20" w:color="auto" w:fill="FFFFFF"/>
          </w:tcPr>
          <w:p w:rsidR="00547E7E" w:rsidRPr="00075492" w:rsidRDefault="00547E7E">
            <w:pPr>
              <w:pStyle w:val="Beskrivning"/>
              <w:rPr>
                <w:sz w:val="16"/>
              </w:rPr>
            </w:pPr>
          </w:p>
        </w:tc>
        <w:tc>
          <w:tcPr>
            <w:tcW w:w="827" w:type="dxa"/>
            <w:shd w:val="pct20" w:color="auto" w:fill="FFFFFF"/>
          </w:tcPr>
          <w:p w:rsidR="00547E7E" w:rsidRPr="00075492" w:rsidRDefault="00547E7E">
            <w:pPr>
              <w:pStyle w:val="Beskrivning"/>
              <w:rPr>
                <w:sz w:val="16"/>
              </w:rPr>
            </w:pPr>
            <w:r w:rsidRPr="00075492">
              <w:rPr>
                <w:sz w:val="16"/>
              </w:rPr>
              <w:t>Industri</w:t>
            </w:r>
          </w:p>
        </w:tc>
        <w:tc>
          <w:tcPr>
            <w:tcW w:w="1101" w:type="dxa"/>
            <w:shd w:val="pct20" w:color="auto" w:fill="FFFFFF"/>
          </w:tcPr>
          <w:p w:rsidR="00547E7E" w:rsidRPr="00075492" w:rsidRDefault="00547E7E">
            <w:pPr>
              <w:pStyle w:val="Beskrivning"/>
              <w:rPr>
                <w:sz w:val="16"/>
              </w:rPr>
            </w:pPr>
            <w:r w:rsidRPr="00075492">
              <w:rPr>
                <w:sz w:val="16"/>
              </w:rPr>
              <w:t xml:space="preserve">Storhushåll </w:t>
            </w:r>
          </w:p>
        </w:tc>
        <w:tc>
          <w:tcPr>
            <w:tcW w:w="805" w:type="dxa"/>
            <w:shd w:val="pct20" w:color="auto" w:fill="FFFFFF"/>
          </w:tcPr>
          <w:p w:rsidR="00547E7E" w:rsidRPr="00075492" w:rsidRDefault="00547E7E">
            <w:pPr>
              <w:pStyle w:val="Beskrivning"/>
              <w:rPr>
                <w:sz w:val="16"/>
              </w:rPr>
            </w:pPr>
            <w:r w:rsidRPr="00075492">
              <w:rPr>
                <w:sz w:val="16"/>
              </w:rPr>
              <w:t>Butiker</w:t>
            </w:r>
          </w:p>
        </w:tc>
        <w:tc>
          <w:tcPr>
            <w:tcW w:w="1080" w:type="dxa"/>
            <w:shd w:val="pct20" w:color="auto" w:fill="FFFFFF"/>
          </w:tcPr>
          <w:p w:rsidR="00547E7E" w:rsidRPr="00075492" w:rsidRDefault="00547E7E">
            <w:pPr>
              <w:pStyle w:val="Beskrivning"/>
              <w:rPr>
                <w:sz w:val="16"/>
              </w:rPr>
            </w:pPr>
            <w:r w:rsidRPr="00075492">
              <w:rPr>
                <w:sz w:val="16"/>
              </w:rPr>
              <w:t>Vattenverk</w:t>
            </w:r>
          </w:p>
        </w:tc>
      </w:tr>
      <w:tr w:rsidR="00000000" w:rsidRPr="00075492">
        <w:tblPrEx>
          <w:tblCellMar>
            <w:top w:w="0" w:type="dxa"/>
            <w:bottom w:w="0" w:type="dxa"/>
          </w:tblCellMar>
        </w:tblPrEx>
        <w:tc>
          <w:tcPr>
            <w:tcW w:w="615" w:type="dxa"/>
            <w:shd w:val="pct20" w:color="auto" w:fill="FFFFFF"/>
          </w:tcPr>
          <w:p w:rsidR="00547E7E" w:rsidRPr="00075492" w:rsidRDefault="00547E7E">
            <w:pPr>
              <w:pStyle w:val="Beskrivning"/>
              <w:rPr>
                <w:sz w:val="16"/>
              </w:rPr>
            </w:pPr>
            <w:r w:rsidRPr="00075492">
              <w:rPr>
                <w:sz w:val="16"/>
              </w:rPr>
              <w:t>1996</w:t>
            </w:r>
          </w:p>
        </w:tc>
        <w:tc>
          <w:tcPr>
            <w:tcW w:w="827" w:type="dxa"/>
          </w:tcPr>
          <w:p w:rsidR="00547E7E" w:rsidRPr="00075492" w:rsidRDefault="00547E7E">
            <w:pPr>
              <w:pStyle w:val="Beskrivning"/>
              <w:jc w:val="center"/>
              <w:rPr>
                <w:b w:val="0"/>
                <w:sz w:val="16"/>
              </w:rPr>
            </w:pPr>
            <w:r w:rsidRPr="00075492">
              <w:rPr>
                <w:b w:val="0"/>
                <w:sz w:val="16"/>
              </w:rPr>
              <w:t>1,34</w:t>
            </w:r>
          </w:p>
        </w:tc>
        <w:tc>
          <w:tcPr>
            <w:tcW w:w="1101" w:type="dxa"/>
          </w:tcPr>
          <w:p w:rsidR="00547E7E" w:rsidRPr="00075492" w:rsidRDefault="00547E7E">
            <w:pPr>
              <w:pStyle w:val="Beskrivning"/>
              <w:jc w:val="center"/>
              <w:rPr>
                <w:b w:val="0"/>
                <w:sz w:val="16"/>
              </w:rPr>
            </w:pPr>
            <w:r w:rsidRPr="00075492">
              <w:rPr>
                <w:b w:val="0"/>
                <w:sz w:val="16"/>
              </w:rPr>
              <w:t>0,96</w:t>
            </w:r>
          </w:p>
        </w:tc>
        <w:tc>
          <w:tcPr>
            <w:tcW w:w="805" w:type="dxa"/>
          </w:tcPr>
          <w:p w:rsidR="00547E7E" w:rsidRPr="00075492" w:rsidRDefault="00547E7E">
            <w:pPr>
              <w:pStyle w:val="Beskrivning"/>
              <w:jc w:val="center"/>
              <w:rPr>
                <w:b w:val="0"/>
                <w:sz w:val="16"/>
              </w:rPr>
            </w:pPr>
            <w:r w:rsidRPr="00075492">
              <w:rPr>
                <w:b w:val="0"/>
                <w:sz w:val="16"/>
              </w:rPr>
              <w:t>0,98</w:t>
            </w:r>
          </w:p>
        </w:tc>
        <w:tc>
          <w:tcPr>
            <w:tcW w:w="1080" w:type="dxa"/>
          </w:tcPr>
          <w:p w:rsidR="00547E7E" w:rsidRPr="00075492" w:rsidRDefault="00547E7E">
            <w:pPr>
              <w:pStyle w:val="Beskrivning"/>
              <w:jc w:val="center"/>
              <w:rPr>
                <w:b w:val="0"/>
                <w:sz w:val="16"/>
              </w:rPr>
            </w:pPr>
            <w:r w:rsidRPr="00075492">
              <w:rPr>
                <w:b w:val="0"/>
                <w:sz w:val="16"/>
              </w:rPr>
              <w:t>0,7</w:t>
            </w:r>
          </w:p>
        </w:tc>
      </w:tr>
      <w:tr w:rsidR="00000000" w:rsidRPr="00075492">
        <w:tblPrEx>
          <w:tblCellMar>
            <w:top w:w="0" w:type="dxa"/>
            <w:bottom w:w="0" w:type="dxa"/>
          </w:tblCellMar>
        </w:tblPrEx>
        <w:tc>
          <w:tcPr>
            <w:tcW w:w="615" w:type="dxa"/>
            <w:shd w:val="pct20" w:color="auto" w:fill="FFFFFF"/>
          </w:tcPr>
          <w:p w:rsidR="00547E7E" w:rsidRPr="00075492" w:rsidRDefault="00547E7E">
            <w:pPr>
              <w:pStyle w:val="Beskrivning"/>
              <w:rPr>
                <w:sz w:val="16"/>
              </w:rPr>
            </w:pPr>
            <w:r w:rsidRPr="00075492">
              <w:rPr>
                <w:sz w:val="16"/>
              </w:rPr>
              <w:t>1997</w:t>
            </w:r>
          </w:p>
        </w:tc>
        <w:tc>
          <w:tcPr>
            <w:tcW w:w="827" w:type="dxa"/>
          </w:tcPr>
          <w:p w:rsidR="00547E7E" w:rsidRPr="00075492" w:rsidRDefault="00547E7E">
            <w:pPr>
              <w:pStyle w:val="Beskrivning"/>
              <w:jc w:val="center"/>
              <w:rPr>
                <w:b w:val="0"/>
                <w:sz w:val="16"/>
              </w:rPr>
            </w:pPr>
            <w:r w:rsidRPr="00075492">
              <w:rPr>
                <w:b w:val="0"/>
                <w:sz w:val="16"/>
              </w:rPr>
              <w:t>1,9</w:t>
            </w:r>
          </w:p>
        </w:tc>
        <w:tc>
          <w:tcPr>
            <w:tcW w:w="1101" w:type="dxa"/>
          </w:tcPr>
          <w:p w:rsidR="00547E7E" w:rsidRPr="00075492" w:rsidRDefault="00547E7E">
            <w:pPr>
              <w:pStyle w:val="Beskrivning"/>
              <w:jc w:val="center"/>
              <w:rPr>
                <w:b w:val="0"/>
                <w:sz w:val="16"/>
              </w:rPr>
            </w:pPr>
            <w:r w:rsidRPr="00075492">
              <w:rPr>
                <w:b w:val="0"/>
                <w:sz w:val="16"/>
              </w:rPr>
              <w:t>0,78</w:t>
            </w:r>
          </w:p>
        </w:tc>
        <w:tc>
          <w:tcPr>
            <w:tcW w:w="805" w:type="dxa"/>
          </w:tcPr>
          <w:p w:rsidR="00547E7E" w:rsidRPr="00075492" w:rsidRDefault="00547E7E">
            <w:pPr>
              <w:pStyle w:val="Beskrivning"/>
              <w:jc w:val="center"/>
              <w:rPr>
                <w:b w:val="0"/>
                <w:sz w:val="16"/>
              </w:rPr>
            </w:pPr>
            <w:r w:rsidRPr="00075492">
              <w:rPr>
                <w:b w:val="0"/>
                <w:sz w:val="16"/>
              </w:rPr>
              <w:t>0,89</w:t>
            </w:r>
          </w:p>
        </w:tc>
        <w:tc>
          <w:tcPr>
            <w:tcW w:w="1080" w:type="dxa"/>
          </w:tcPr>
          <w:p w:rsidR="00547E7E" w:rsidRPr="00075492" w:rsidRDefault="00547E7E">
            <w:pPr>
              <w:pStyle w:val="Beskrivning"/>
              <w:jc w:val="center"/>
              <w:rPr>
                <w:b w:val="0"/>
                <w:sz w:val="16"/>
              </w:rPr>
            </w:pPr>
            <w:r w:rsidRPr="00075492">
              <w:rPr>
                <w:b w:val="0"/>
                <w:sz w:val="16"/>
              </w:rPr>
              <w:t>0,58</w:t>
            </w:r>
          </w:p>
        </w:tc>
      </w:tr>
      <w:tr w:rsidR="00000000" w:rsidRPr="00075492">
        <w:tblPrEx>
          <w:tblCellMar>
            <w:top w:w="0" w:type="dxa"/>
            <w:bottom w:w="0" w:type="dxa"/>
          </w:tblCellMar>
        </w:tblPrEx>
        <w:tc>
          <w:tcPr>
            <w:tcW w:w="615" w:type="dxa"/>
            <w:shd w:val="pct20" w:color="auto" w:fill="FFFFFF"/>
          </w:tcPr>
          <w:p w:rsidR="00547E7E" w:rsidRPr="00075492" w:rsidRDefault="00547E7E">
            <w:pPr>
              <w:pStyle w:val="Beskrivning"/>
              <w:rPr>
                <w:sz w:val="16"/>
              </w:rPr>
            </w:pPr>
            <w:r w:rsidRPr="00075492">
              <w:rPr>
                <w:sz w:val="16"/>
              </w:rPr>
              <w:t>1998</w:t>
            </w:r>
          </w:p>
        </w:tc>
        <w:tc>
          <w:tcPr>
            <w:tcW w:w="827" w:type="dxa"/>
          </w:tcPr>
          <w:p w:rsidR="00547E7E" w:rsidRPr="00075492" w:rsidRDefault="00547E7E">
            <w:pPr>
              <w:pStyle w:val="Beskrivning"/>
              <w:jc w:val="center"/>
              <w:rPr>
                <w:b w:val="0"/>
                <w:sz w:val="16"/>
              </w:rPr>
            </w:pPr>
            <w:r w:rsidRPr="00075492">
              <w:rPr>
                <w:b w:val="0"/>
                <w:sz w:val="16"/>
              </w:rPr>
              <w:t>1,8</w:t>
            </w:r>
          </w:p>
        </w:tc>
        <w:tc>
          <w:tcPr>
            <w:tcW w:w="1101" w:type="dxa"/>
          </w:tcPr>
          <w:p w:rsidR="00547E7E" w:rsidRPr="00075492" w:rsidRDefault="00547E7E">
            <w:pPr>
              <w:pStyle w:val="Beskrivning"/>
              <w:jc w:val="center"/>
              <w:rPr>
                <w:b w:val="0"/>
                <w:sz w:val="16"/>
              </w:rPr>
            </w:pPr>
            <w:r w:rsidRPr="00075492">
              <w:rPr>
                <w:b w:val="0"/>
                <w:sz w:val="16"/>
              </w:rPr>
              <w:t>0,76</w:t>
            </w:r>
          </w:p>
        </w:tc>
        <w:tc>
          <w:tcPr>
            <w:tcW w:w="805" w:type="dxa"/>
          </w:tcPr>
          <w:p w:rsidR="00547E7E" w:rsidRPr="00075492" w:rsidRDefault="00547E7E">
            <w:pPr>
              <w:pStyle w:val="Beskrivning"/>
              <w:jc w:val="center"/>
              <w:rPr>
                <w:b w:val="0"/>
                <w:sz w:val="16"/>
              </w:rPr>
            </w:pPr>
            <w:r w:rsidRPr="00075492">
              <w:rPr>
                <w:b w:val="0"/>
                <w:sz w:val="16"/>
              </w:rPr>
              <w:t>0,93</w:t>
            </w:r>
          </w:p>
        </w:tc>
        <w:tc>
          <w:tcPr>
            <w:tcW w:w="1080" w:type="dxa"/>
          </w:tcPr>
          <w:p w:rsidR="00547E7E" w:rsidRPr="00075492" w:rsidRDefault="00547E7E">
            <w:pPr>
              <w:pStyle w:val="Beskrivning"/>
              <w:jc w:val="center"/>
              <w:rPr>
                <w:b w:val="0"/>
                <w:sz w:val="16"/>
              </w:rPr>
            </w:pPr>
            <w:r w:rsidRPr="00075492">
              <w:rPr>
                <w:b w:val="0"/>
                <w:sz w:val="16"/>
              </w:rPr>
              <w:t>0,48</w:t>
            </w:r>
          </w:p>
        </w:tc>
      </w:tr>
      <w:tr w:rsidR="00000000" w:rsidRPr="00075492">
        <w:tblPrEx>
          <w:tblCellMar>
            <w:top w:w="0" w:type="dxa"/>
            <w:bottom w:w="0" w:type="dxa"/>
          </w:tblCellMar>
        </w:tblPrEx>
        <w:tc>
          <w:tcPr>
            <w:tcW w:w="615" w:type="dxa"/>
            <w:shd w:val="pct20" w:color="auto" w:fill="FFFFFF"/>
          </w:tcPr>
          <w:p w:rsidR="00547E7E" w:rsidRPr="00075492" w:rsidRDefault="00547E7E">
            <w:pPr>
              <w:pStyle w:val="Beskrivning"/>
              <w:rPr>
                <w:sz w:val="16"/>
              </w:rPr>
            </w:pPr>
            <w:r w:rsidRPr="00075492">
              <w:rPr>
                <w:sz w:val="16"/>
              </w:rPr>
              <w:t>1999</w:t>
            </w:r>
          </w:p>
        </w:tc>
        <w:tc>
          <w:tcPr>
            <w:tcW w:w="827" w:type="dxa"/>
          </w:tcPr>
          <w:p w:rsidR="00547E7E" w:rsidRPr="00075492" w:rsidRDefault="00547E7E">
            <w:pPr>
              <w:pStyle w:val="Beskrivning"/>
              <w:jc w:val="center"/>
              <w:rPr>
                <w:b w:val="0"/>
                <w:sz w:val="16"/>
              </w:rPr>
            </w:pPr>
            <w:r w:rsidRPr="00075492">
              <w:rPr>
                <w:b w:val="0"/>
                <w:sz w:val="16"/>
              </w:rPr>
              <w:t>2,48</w:t>
            </w:r>
          </w:p>
        </w:tc>
        <w:tc>
          <w:tcPr>
            <w:tcW w:w="1101" w:type="dxa"/>
          </w:tcPr>
          <w:p w:rsidR="00547E7E" w:rsidRPr="00075492" w:rsidRDefault="00547E7E">
            <w:pPr>
              <w:pStyle w:val="Beskrivning"/>
              <w:jc w:val="center"/>
              <w:rPr>
                <w:b w:val="0"/>
                <w:sz w:val="16"/>
              </w:rPr>
            </w:pPr>
            <w:r w:rsidRPr="00075492">
              <w:rPr>
                <w:b w:val="0"/>
                <w:sz w:val="16"/>
              </w:rPr>
              <w:t>0,73</w:t>
            </w:r>
          </w:p>
        </w:tc>
        <w:tc>
          <w:tcPr>
            <w:tcW w:w="805" w:type="dxa"/>
          </w:tcPr>
          <w:p w:rsidR="00547E7E" w:rsidRPr="00075492" w:rsidRDefault="00547E7E">
            <w:pPr>
              <w:pStyle w:val="Beskrivning"/>
              <w:jc w:val="center"/>
              <w:rPr>
                <w:b w:val="0"/>
                <w:sz w:val="16"/>
              </w:rPr>
            </w:pPr>
            <w:r w:rsidRPr="00075492">
              <w:rPr>
                <w:b w:val="0"/>
                <w:sz w:val="16"/>
              </w:rPr>
              <w:t>0,82</w:t>
            </w:r>
          </w:p>
        </w:tc>
        <w:tc>
          <w:tcPr>
            <w:tcW w:w="1080" w:type="dxa"/>
          </w:tcPr>
          <w:p w:rsidR="00547E7E" w:rsidRPr="00075492" w:rsidRDefault="00547E7E">
            <w:pPr>
              <w:pStyle w:val="Beskrivning"/>
              <w:jc w:val="center"/>
              <w:rPr>
                <w:b w:val="0"/>
                <w:sz w:val="16"/>
              </w:rPr>
            </w:pPr>
            <w:r w:rsidRPr="00075492">
              <w:rPr>
                <w:b w:val="0"/>
                <w:sz w:val="16"/>
              </w:rPr>
              <w:t>0,5</w:t>
            </w:r>
          </w:p>
        </w:tc>
      </w:tr>
    </w:tbl>
    <w:p w:rsidR="00547E7E" w:rsidRPr="00075492" w:rsidRDefault="00547E7E">
      <w:pPr>
        <w:pStyle w:val="Tabell"/>
      </w:pPr>
    </w:p>
    <w:p w:rsidR="00547E7E" w:rsidRPr="00075492" w:rsidRDefault="00547E7E">
      <w:pPr>
        <w:pStyle w:val="Tabell"/>
      </w:pPr>
      <w:r w:rsidRPr="00075492">
        <w:t xml:space="preserve">Källa: Livsmedelsverket, Rapportering om livsmedelstillsynen åren 1996–99 </w:t>
      </w:r>
    </w:p>
    <w:p w:rsidR="00547E7E" w:rsidRPr="00075492" w:rsidRDefault="00547E7E">
      <w:r w:rsidRPr="00075492">
        <w:t>Av tabellen framgår att den kommunala tillsynen har minskat vad gäller storhushåll inklusive restauranger, butiker och vattenverk. Tillsynen vid industriföretag har däremot ökat.</w:t>
      </w:r>
    </w:p>
    <w:p w:rsidR="00547E7E" w:rsidRPr="00075492" w:rsidRDefault="00547E7E">
      <w:pPr>
        <w:pStyle w:val="Normaltindrag"/>
      </w:pPr>
      <w:r w:rsidRPr="00075492">
        <w:t>Någon förklaring till variationerna i tillsyn mellan olika typer av anläg</w:t>
      </w:r>
      <w:r w:rsidRPr="00075492">
        <w:t>g</w:t>
      </w:r>
      <w:r w:rsidRPr="00075492">
        <w:t xml:space="preserve">ningar redovisas inte i Livsmedelsverkets rapporter. Vid intervju har verket dock framfört ett par tänkbara förklaringar till resultatet. En möjlig förklaring till ökningen av tillsynen vid industrianläggningar är den nya EG-anpassade lagstiftningen inom animalieområdet. En tänkbar förklaring till den relativt låga tillsynsfrekvensen för vattenverk är att tillsynsmyndigheten förlitar sig alltför mycket till huvudmannens egentillsyn. </w:t>
      </w:r>
    </w:p>
    <w:p w:rsidR="00547E7E" w:rsidRPr="00075492" w:rsidRDefault="00547E7E">
      <w:pPr>
        <w:pStyle w:val="Rubrik3"/>
      </w:pPr>
      <w:bookmarkStart w:id="498" w:name="_Toc532284523"/>
      <w:bookmarkStart w:id="499" w:name="_Toc532292090"/>
      <w:bookmarkStart w:id="500" w:name="_Toc84637"/>
      <w:bookmarkStart w:id="501" w:name="_Toc6634595"/>
      <w:bookmarkStart w:id="502" w:name="_Toc6637177"/>
      <w:r w:rsidRPr="00075492">
        <w:t>Provtagning</w:t>
      </w:r>
      <w:bookmarkEnd w:id="498"/>
      <w:bookmarkEnd w:id="499"/>
      <w:bookmarkEnd w:id="500"/>
      <w:bookmarkEnd w:id="501"/>
      <w:bookmarkEnd w:id="502"/>
      <w:r w:rsidRPr="00075492">
        <w:t xml:space="preserve"> </w:t>
      </w:r>
    </w:p>
    <w:p w:rsidR="00547E7E" w:rsidRPr="00075492" w:rsidRDefault="00547E7E">
      <w:r w:rsidRPr="00075492">
        <w:t>Provtagning kompletterar inspektionerna. Provtagning används dels för att kontrollera de utpekade kritiska styrpunkterna i företagens egenkontrollpr</w:t>
      </w:r>
      <w:r w:rsidRPr="00075492">
        <w:t>o</w:t>
      </w:r>
      <w:r w:rsidRPr="00075492">
        <w:t>gram, dels som underlag för vidare tillsynsåtgärder. En sådan åtgärd sker vid projektinriktade kontroller, s.k. PIK-projekt. Dessa innebär att en viss fråga eller ett särskilt område kontrolleras vid ett större antal tillsynsobjekt inom en eller flera kommuner. Provtagning sker också vid utredning av misstänkt matförgiftning.</w:t>
      </w:r>
    </w:p>
    <w:p w:rsidR="00547E7E" w:rsidRPr="00075492" w:rsidRDefault="00547E7E">
      <w:pPr>
        <w:pStyle w:val="Normaltindrag"/>
      </w:pPr>
      <w:r w:rsidRPr="00075492">
        <w:t>Prov som tas ska undersökas i ett ackrediterat laboratorium.</w:t>
      </w:r>
    </w:p>
    <w:p w:rsidR="00547E7E" w:rsidRPr="00075492" w:rsidRDefault="00547E7E">
      <w:pPr>
        <w:pStyle w:val="Normaltindrag"/>
      </w:pPr>
      <w:r w:rsidRPr="00075492">
        <w:t>Antalet prov som har tagits har minskat över tiden. År 1995 var antalet prov 0,9 per anläggning. Motsvarande uppgift för år 1999 var 0,74 prov per anläggning. Det är framför allt antalet kemiska prover som minskar. Antalet mikrobiologiska prov är relativt ofö</w:t>
      </w:r>
      <w:r w:rsidRPr="00075492">
        <w:t>r</w:t>
      </w:r>
      <w:r w:rsidRPr="00075492">
        <w:t>ändrat.</w:t>
      </w:r>
    </w:p>
    <w:p w:rsidR="00547E7E" w:rsidRPr="00075492" w:rsidRDefault="00547E7E">
      <w:pPr>
        <w:pStyle w:val="Normaltindrag"/>
      </w:pPr>
      <w:r w:rsidRPr="00075492">
        <w:t>Vid intervjuer med både företrädare för Livsmedelsverket och vissa ko</w:t>
      </w:r>
      <w:r w:rsidRPr="00075492">
        <w:t>m</w:t>
      </w:r>
      <w:r w:rsidRPr="00075492">
        <w:t>muner uppges att tillsynsmetodiken har förändrats. Detta är också ett skäl till att prov inte längre tas i samma omfattning. Enligt Livsmedelsverkets up</w:t>
      </w:r>
      <w:r w:rsidRPr="00075492">
        <w:t>p</w:t>
      </w:r>
      <w:r w:rsidRPr="00075492">
        <w:t xml:space="preserve">fattning är det bättre att flertalet prov tas i samband med olika projekt än vid enskilda inspektioner.    </w:t>
      </w:r>
    </w:p>
    <w:p w:rsidR="00547E7E" w:rsidRPr="00075492" w:rsidRDefault="00547E7E">
      <w:pPr>
        <w:pStyle w:val="Rubrik3"/>
      </w:pPr>
      <w:bookmarkStart w:id="503" w:name="_Toc532284524"/>
      <w:bookmarkStart w:id="504" w:name="_Toc532292091"/>
      <w:bookmarkStart w:id="505" w:name="_Toc84638"/>
      <w:bookmarkStart w:id="506" w:name="_Toc6634596"/>
      <w:bookmarkStart w:id="507" w:name="_Toc6637178"/>
      <w:r w:rsidRPr="00075492">
        <w:t>Uppföljande åtgärd</w:t>
      </w:r>
      <w:bookmarkEnd w:id="503"/>
      <w:bookmarkEnd w:id="504"/>
      <w:bookmarkEnd w:id="505"/>
      <w:bookmarkEnd w:id="506"/>
      <w:bookmarkEnd w:id="507"/>
    </w:p>
    <w:p w:rsidR="00547E7E" w:rsidRPr="00075492" w:rsidRDefault="00547E7E">
      <w:r w:rsidRPr="00075492">
        <w:t>Inspektioner och andra tillsynsaktiviteter ska dokumenteras i protokoll. A</w:t>
      </w:r>
      <w:r w:rsidRPr="00075492">
        <w:t>n</w:t>
      </w:r>
      <w:r w:rsidRPr="00075492">
        <w:t>märkningar som konstateras vid inspektioner ska åtgärdas av verksamhetsu</w:t>
      </w:r>
      <w:r w:rsidRPr="00075492">
        <w:t>t</w:t>
      </w:r>
      <w:r w:rsidRPr="00075492">
        <w:t xml:space="preserve">övaren och följas upp av tillsynsmyndigheten. Vid intervjuer påpekas att det är ovanligt att anmärkningar saknas. Om bristen/bristerna är allvarliga sker uppföljning kort efter genomförd inspektion. </w:t>
      </w:r>
    </w:p>
    <w:p w:rsidR="00547E7E" w:rsidRPr="00075492" w:rsidRDefault="00547E7E">
      <w:pPr>
        <w:pStyle w:val="Rubrik2"/>
      </w:pPr>
      <w:bookmarkStart w:id="508" w:name="_Toc532284525"/>
      <w:bookmarkStart w:id="509" w:name="_Toc532292092"/>
      <w:bookmarkStart w:id="510" w:name="_Toc84639"/>
      <w:bookmarkStart w:id="511" w:name="_Toc6634597"/>
      <w:bookmarkStart w:id="512" w:name="_Toc6637179"/>
      <w:r w:rsidRPr="00075492">
        <w:t>Kommunal samverkan</w:t>
      </w:r>
      <w:bookmarkEnd w:id="508"/>
      <w:bookmarkEnd w:id="509"/>
      <w:bookmarkEnd w:id="510"/>
      <w:bookmarkEnd w:id="511"/>
      <w:bookmarkEnd w:id="512"/>
      <w:r w:rsidRPr="00075492">
        <w:t xml:space="preserve"> </w:t>
      </w:r>
    </w:p>
    <w:p w:rsidR="00547E7E" w:rsidRPr="00075492" w:rsidRDefault="00547E7E">
      <w:pPr>
        <w:pStyle w:val="Rubrik3"/>
      </w:pPr>
      <w:bookmarkStart w:id="513" w:name="_Toc532284526"/>
      <w:bookmarkStart w:id="514" w:name="_Toc532292093"/>
      <w:bookmarkStart w:id="515" w:name="_Toc84640"/>
      <w:bookmarkStart w:id="516" w:name="_Toc6634598"/>
      <w:bookmarkStart w:id="517" w:name="_Toc6637180"/>
      <w:r w:rsidRPr="00075492">
        <w:t>Inom kommunerna</w:t>
      </w:r>
      <w:bookmarkEnd w:id="513"/>
      <w:bookmarkEnd w:id="514"/>
      <w:bookmarkEnd w:id="515"/>
      <w:bookmarkEnd w:id="516"/>
      <w:bookmarkEnd w:id="517"/>
    </w:p>
    <w:p w:rsidR="00547E7E" w:rsidRPr="00075492" w:rsidRDefault="00547E7E">
      <w:r w:rsidRPr="00075492">
        <w:t>Livsmedelstillsynen anses delvis vara integrerad med andra delar inom kommunen. Det är framför allt miljö- och hälsoskydd som anses vara inte</w:t>
      </w:r>
      <w:r w:rsidRPr="00075492">
        <w:t>g</w:t>
      </w:r>
      <w:r w:rsidRPr="00075492">
        <w:t xml:space="preserve">rerade delar. </w:t>
      </w:r>
    </w:p>
    <w:p w:rsidR="00547E7E" w:rsidRPr="00075492" w:rsidRDefault="00547E7E">
      <w:pPr>
        <w:pStyle w:val="Normaltindrag"/>
      </w:pPr>
      <w:r w:rsidRPr="00075492">
        <w:t>Vid intervjuer framhölls betydelsen av ett bra samarbete mellan livsm</w:t>
      </w:r>
      <w:r w:rsidRPr="00075492">
        <w:t>e</w:t>
      </w:r>
      <w:r w:rsidRPr="00075492">
        <w:t>delsinspektörerna och plan- och byggavdelningen beroende på uppgiften med tillståndsprövningen för lokaler. De kommuner, Boden och Pajala, som har en gemensam nämnd för plan och miljö framhöll fördelarna med att planfrågor och livsmedelstillsyn fanns inom samma förvaltning. Samor</w:t>
      </w:r>
      <w:r w:rsidRPr="00075492">
        <w:t>d</w:t>
      </w:r>
      <w:r w:rsidRPr="00075492">
        <w:t>ningen underlättades, och processen med tillståndsprövning förkortades. I dessa kommuner ansåg man att det var en fördel att livsmedelsinspektörerna också arbetade inom övriga områden t.ex. hälsoskydd. Därigenom kan sa</w:t>
      </w:r>
      <w:r w:rsidRPr="00075492">
        <w:t>m</w:t>
      </w:r>
      <w:r w:rsidRPr="00075492">
        <w:t>ordningsvin</w:t>
      </w:r>
      <w:r w:rsidRPr="00075492">
        <w:t>ster tillvaratas t.ex. vad gäller resor i samband med inspektioner med olika syften.</w:t>
      </w:r>
    </w:p>
    <w:p w:rsidR="00547E7E" w:rsidRPr="00075492" w:rsidRDefault="00547E7E">
      <w:pPr>
        <w:pStyle w:val="Rubrik3"/>
      </w:pPr>
      <w:bookmarkStart w:id="518" w:name="_Toc532284527"/>
      <w:bookmarkStart w:id="519" w:name="_Toc532292094"/>
      <w:bookmarkStart w:id="520" w:name="_Toc84641"/>
      <w:bookmarkStart w:id="521" w:name="_Toc6634599"/>
      <w:bookmarkStart w:id="522" w:name="_Toc6637181"/>
      <w:r w:rsidRPr="00075492">
        <w:t>Mellan kommunerna</w:t>
      </w:r>
      <w:bookmarkEnd w:id="518"/>
      <w:bookmarkEnd w:id="519"/>
      <w:bookmarkEnd w:id="520"/>
      <w:bookmarkEnd w:id="521"/>
      <w:bookmarkEnd w:id="522"/>
    </w:p>
    <w:p w:rsidR="00547E7E" w:rsidRPr="00075492" w:rsidRDefault="00547E7E">
      <w:r w:rsidRPr="00075492">
        <w:t>I utredningen om livsmedelstillsynen i Sverige (SOU 1998:98) framförs ett förslag om att livsmedelslagen bör ändras för att underlätta för kommunerna att samverka med varandra vad gäller livsmedelstillsyn.</w:t>
      </w:r>
    </w:p>
    <w:p w:rsidR="00547E7E" w:rsidRPr="00075492" w:rsidRDefault="00547E7E">
      <w:pPr>
        <w:pStyle w:val="Normaltindrag"/>
      </w:pPr>
      <w:r w:rsidRPr="00075492">
        <w:t xml:space="preserve">Enligt förslaget skulle det finnas möjligheter för en kommun att avtala med en annan kommun om att utföra sådana uppgifter som inte innebar beslut i ärenden eller att uppdra åt anställd i en annan kommun att fatta beslut i vissa ärenden. </w:t>
      </w:r>
    </w:p>
    <w:p w:rsidR="00547E7E" w:rsidRPr="00075492" w:rsidRDefault="00547E7E">
      <w:pPr>
        <w:pStyle w:val="Normaltindrag"/>
      </w:pPr>
      <w:r w:rsidRPr="00075492">
        <w:t>Livsmedelsverket har i rapporten 9 – 2000 kommenterat förslaget. Svåri</w:t>
      </w:r>
      <w:r w:rsidRPr="00075492">
        <w:t>g</w:t>
      </w:r>
      <w:r w:rsidRPr="00075492">
        <w:t>heter som framhålls är:</w:t>
      </w:r>
    </w:p>
    <w:p w:rsidR="00547E7E" w:rsidRPr="00075492" w:rsidRDefault="00547E7E">
      <w:pPr>
        <w:numPr>
          <w:ilvl w:val="0"/>
          <w:numId w:val="140"/>
        </w:numPr>
      </w:pPr>
      <w:r w:rsidRPr="00075492">
        <w:t>om arbetet blir mer specialiserat förloras den breda kompete</w:t>
      </w:r>
      <w:r w:rsidRPr="00075492">
        <w:t>n</w:t>
      </w:r>
      <w:r w:rsidRPr="00075492">
        <w:t>sen,</w:t>
      </w:r>
    </w:p>
    <w:p w:rsidR="00547E7E" w:rsidRPr="00075492" w:rsidRDefault="00547E7E">
      <w:pPr>
        <w:numPr>
          <w:ilvl w:val="0"/>
          <w:numId w:val="142"/>
        </w:numPr>
      </w:pPr>
      <w:r w:rsidRPr="00075492">
        <w:t>det finns sällan resurser över som kan köpas av någon intilliggande kommun samt</w:t>
      </w:r>
    </w:p>
    <w:p w:rsidR="00547E7E" w:rsidRPr="00075492" w:rsidRDefault="00547E7E">
      <w:pPr>
        <w:numPr>
          <w:ilvl w:val="0"/>
          <w:numId w:val="141"/>
        </w:numPr>
      </w:pPr>
      <w:r w:rsidRPr="00075492">
        <w:t>att en samverkan mellan kommunala nämnder kräver att nämndorgan</w:t>
      </w:r>
      <w:r w:rsidRPr="00075492">
        <w:t>i</w:t>
      </w:r>
      <w:r w:rsidRPr="00075492">
        <w:t>sationen överensstämmer i de berörda komm</w:t>
      </w:r>
      <w:r w:rsidRPr="00075492">
        <w:t>u</w:t>
      </w:r>
      <w:r w:rsidRPr="00075492">
        <w:t>nerna.</w:t>
      </w:r>
    </w:p>
    <w:p w:rsidR="00547E7E" w:rsidRPr="00075492" w:rsidRDefault="00547E7E">
      <w:r w:rsidRPr="00075492">
        <w:t>Livsmedelsverket menar dock att om tillsynen fortsättningsvis ska bedrivas på kommunal nivå måste små kommuner samverka för att åstadkomma li</w:t>
      </w:r>
      <w:r w:rsidRPr="00075492">
        <w:t>k</w:t>
      </w:r>
      <w:r w:rsidRPr="00075492">
        <w:t>värdighet och acceptabel nivå på tillsynen. Samtidigt konstateras att eftersom det inte går att tvinga kommunerna att samverka måste incitamenten att vilja bedriva effektiv tillsyn överväga. ”Verket har mot bakgrund av tidigare erfarenheter inga större förhoppningar om en sådan utveckling” (Livsm</w:t>
      </w:r>
      <w:r w:rsidRPr="00075492">
        <w:t>e</w:t>
      </w:r>
      <w:r w:rsidRPr="00075492">
        <w:t xml:space="preserve">delsverkets rapport nr 9 – 2000 s. 87). </w:t>
      </w:r>
    </w:p>
    <w:p w:rsidR="00547E7E" w:rsidRPr="00075492" w:rsidRDefault="00547E7E">
      <w:pPr>
        <w:pStyle w:val="Normaltindrag"/>
      </w:pPr>
      <w:r w:rsidRPr="00075492">
        <w:t>Både i underlag från Livsmedelsverket och vid intervjuer med företrädare för länsstyrelser och kommuner har situationen för små kommuner med ensamarbetande inspektörer uppm</w:t>
      </w:r>
      <w:r w:rsidRPr="00075492">
        <w:t>ärksammats. Denna situation anses vara ett problem eftersom sårbarheten är stor. Ofta är livsmedelstillsynen i dessa kommuner eftersatt.</w:t>
      </w:r>
    </w:p>
    <w:p w:rsidR="00547E7E" w:rsidRPr="00075492" w:rsidRDefault="00547E7E">
      <w:pPr>
        <w:pStyle w:val="Normaltindrag"/>
      </w:pPr>
      <w:r w:rsidRPr="00075492">
        <w:t>Frågan om ökad samverkan mellan kommunerna har också uppmärksa</w:t>
      </w:r>
      <w:r w:rsidRPr="00075492">
        <w:t>m</w:t>
      </w:r>
      <w:r w:rsidRPr="00075492">
        <w:t>mats av Naturvårdsverket</w:t>
      </w:r>
      <w:r w:rsidRPr="00075492">
        <w:rPr>
          <w:rStyle w:val="Fotnotsreferens"/>
        </w:rPr>
        <w:footnoteReference w:id="43"/>
      </w:r>
      <w:r w:rsidRPr="00075492">
        <w:t>. I rapporten Kommunernas organisation och tillsyn över miljöfarlig verksamhet konstateras att drygt en tredjedel av kommunerna samverkar med grannkommunen i någon form. Det är enligt rapporten lika vanligt med samverkan inom miljö- och hälsoskydds- och livsmedelsområdena som inom övriga områden.</w:t>
      </w:r>
    </w:p>
    <w:p w:rsidR="00547E7E" w:rsidRPr="00075492" w:rsidRDefault="00547E7E">
      <w:pPr>
        <w:pStyle w:val="Normaltindrag"/>
      </w:pPr>
      <w:r w:rsidRPr="00075492">
        <w:t>En ökad satsning på gemensamma miljö- samt hälsoskydd</w:t>
      </w:r>
      <w:r w:rsidRPr="00075492">
        <w:t>s</w:t>
      </w:r>
      <w:r w:rsidRPr="00075492">
        <w:t>nämnder och -förvaltningar över kommungränserna skulle, enligt rapporten, vara gynnsam för tillsynsarbetet framför allt i små och resurssvaga kommuner.</w:t>
      </w:r>
    </w:p>
    <w:p w:rsidR="00547E7E" w:rsidRPr="00075492" w:rsidRDefault="00547E7E">
      <w:pPr>
        <w:pStyle w:val="Normaltindrag"/>
      </w:pPr>
      <w:r w:rsidRPr="00075492">
        <w:t>I de besökta kommunerna finns redan olika forum för erfarenhetsutbyte och informell samverkan mellan kommunerna vad gäller livsmedelstillsynen. Både i Pajala och Boden framhölls att nuvarande samverkan kan utvecklas ytterligare så att kommuner kan bistå varandra i tillsynsarbete om behov finns. Detta sker delvis inom ramen för PIK-projekt, som bygger på att</w:t>
      </w:r>
      <w:r w:rsidRPr="00075492">
        <w:t xml:space="preserve"> kommunerna samverkar inom ett gemensamt projekt. Större kommuner med mer resurser kan åta sig mer uppgifter än vad som är möjligt för mindre kommuner. </w:t>
      </w:r>
    </w:p>
    <w:p w:rsidR="00547E7E" w:rsidRPr="00075492" w:rsidRDefault="00547E7E">
      <w:pPr>
        <w:pStyle w:val="Normaltindrag"/>
      </w:pPr>
      <w:r w:rsidRPr="00075492">
        <w:t>Göteborgs kommun ingår i samarbetskommittén för rikets 25 större ko</w:t>
      </w:r>
      <w:r w:rsidRPr="00075492">
        <w:t>m</w:t>
      </w:r>
      <w:r w:rsidRPr="00075492">
        <w:t>muner. Kommittén har i brev till jordbruksministern framhållit att om liv</w:t>
      </w:r>
      <w:r w:rsidRPr="00075492">
        <w:t>s</w:t>
      </w:r>
      <w:r w:rsidRPr="00075492">
        <w:t>medelstillsynen ska kunna bedrivas på ett tillfredsställande sätt måste til</w:t>
      </w:r>
      <w:r w:rsidRPr="00075492">
        <w:t>l</w:t>
      </w:r>
      <w:r w:rsidRPr="00075492">
        <w:t>räckliga resurser och kompetens finnas att tillgå. Vidare framhålls att när det gäller mindre kommuner som saknar tillräckliga resurser bör detta kunna lösas genom samverkan mellan kommunerna, i enlighet vad som föreslogs i utredningen om livsm</w:t>
      </w:r>
      <w:r w:rsidRPr="00075492">
        <w:t>e</w:t>
      </w:r>
      <w:r w:rsidRPr="00075492">
        <w:t>delstillsynen i Sverige.</w:t>
      </w:r>
    </w:p>
    <w:p w:rsidR="00547E7E" w:rsidRPr="00075492" w:rsidRDefault="00547E7E">
      <w:pPr>
        <w:pStyle w:val="Rubrik2"/>
      </w:pPr>
      <w:bookmarkStart w:id="523" w:name="_Toc532284528"/>
      <w:bookmarkStart w:id="524" w:name="_Toc532292095"/>
      <w:bookmarkStart w:id="525" w:name="_Toc84642"/>
      <w:bookmarkStart w:id="526" w:name="_Toc6634600"/>
      <w:bookmarkStart w:id="527" w:name="_Toc6637182"/>
      <w:r w:rsidRPr="00075492">
        <w:t>Sammanfattning</w:t>
      </w:r>
      <w:bookmarkEnd w:id="523"/>
      <w:bookmarkEnd w:id="524"/>
      <w:bookmarkEnd w:id="525"/>
      <w:bookmarkEnd w:id="526"/>
      <w:bookmarkEnd w:id="527"/>
    </w:p>
    <w:p w:rsidR="00547E7E" w:rsidRPr="00075492" w:rsidRDefault="00547E7E">
      <w:pPr>
        <w:keepNext/>
        <w:keepLines/>
      </w:pPr>
      <w:r w:rsidRPr="00075492">
        <w:t>Kommunerna har i dag tillsyn över merparten (nästan 99 %) av alla livsm</w:t>
      </w:r>
      <w:r w:rsidRPr="00075492">
        <w:t>e</w:t>
      </w:r>
      <w:r w:rsidRPr="00075492">
        <w:t>delsanläggningar inklusive vattenverk. Av Sveriges 52 000 anläggningar är ca 80 % mindre anläggningar som sysselsätter mindre än 4 årsarbetskra</w:t>
      </w:r>
      <w:r w:rsidRPr="00075492">
        <w:t>f</w:t>
      </w:r>
      <w:r w:rsidRPr="00075492">
        <w:t>ter.</w:t>
      </w:r>
    </w:p>
    <w:p w:rsidR="00547E7E" w:rsidRPr="00075492" w:rsidRDefault="00547E7E">
      <w:pPr>
        <w:pStyle w:val="Normaltindrag"/>
      </w:pPr>
      <w:r w:rsidRPr="00075492">
        <w:t>Den kommunala livsmedelstillsynen hade år 1999 totalt 337 årsarbet</w:t>
      </w:r>
      <w:r w:rsidRPr="00075492">
        <w:t>s</w:t>
      </w:r>
      <w:r w:rsidRPr="00075492">
        <w:t>krafter. Antalet årsarbetskrafter i kommunerna har ökat något, med undantag av de senaste åren. Ett antal kommuner har dock inte lämnat uppgifter om hur många årsarbetskrafter som avsätts för livsmedelstillsyn.</w:t>
      </w:r>
    </w:p>
    <w:p w:rsidR="00547E7E" w:rsidRPr="00075492" w:rsidRDefault="00547E7E">
      <w:pPr>
        <w:pStyle w:val="Normaltindrag"/>
      </w:pPr>
      <w:r w:rsidRPr="00075492">
        <w:t>På grundval av befintlig statistik kan sägas att kommunernas tillsynsfr</w:t>
      </w:r>
      <w:r w:rsidRPr="00075492">
        <w:t>e</w:t>
      </w:r>
      <w:r w:rsidRPr="00075492">
        <w:t>kvens vid olika typer av anläggningar varierar. Tillsynsfrekvensen har min</w:t>
      </w:r>
      <w:r w:rsidRPr="00075492">
        <w:t>s</w:t>
      </w:r>
      <w:r w:rsidRPr="00075492">
        <w:t>kat för storhushåll inklusive restauranger, butiker och vattenverk. Tillsynen över industrianläggningar har ökat. Livsmedelsverket har inte närmare anal</w:t>
      </w:r>
      <w:r w:rsidRPr="00075492">
        <w:t>y</w:t>
      </w:r>
      <w:r w:rsidRPr="00075492">
        <w:t xml:space="preserve">serat orsakerna till detta. </w:t>
      </w:r>
    </w:p>
    <w:p w:rsidR="00547E7E" w:rsidRPr="00075492" w:rsidRDefault="00547E7E">
      <w:pPr>
        <w:pStyle w:val="Normaltindrag"/>
      </w:pPr>
      <w:r w:rsidRPr="00075492">
        <w:t xml:space="preserve">Livsmedelsverket har uppmärksammat att jäv och beroendeförhållanden kan uppstå i den kommunala tillsynsverksamheten. Beroendeförhållanden kan uppstå när kommunen själv är huvudman för en verksamhet som den kommunala tillsynsmyndigheten ska utöva tillsyn </w:t>
      </w:r>
      <w:r w:rsidRPr="00075492">
        <w:t>över. Verket redovisar några exempel där den kommunala tillsynsmyndigheten inte har vidtagit åtgärder vid konstaterade brister eller att åtgärderna har vidtagits först efter påpeka</w:t>
      </w:r>
      <w:r w:rsidRPr="00075492">
        <w:t>n</w:t>
      </w:r>
      <w:r w:rsidRPr="00075492">
        <w:t xml:space="preserve">de från länsstyrelsen eller Livsmedelsverket. </w:t>
      </w:r>
    </w:p>
    <w:p w:rsidR="00547E7E" w:rsidRPr="00075492" w:rsidRDefault="00547E7E">
      <w:pPr>
        <w:pStyle w:val="Normaltindrag"/>
      </w:pPr>
      <w:r w:rsidRPr="00075492">
        <w:t>Frågan om kommunernas möjligheter att samverka med varandra har uppmärksammats. I utredningen om livsmedelstillsynen i Sverige föreslogs att livsmedelslagen skulle ändras för att underlätta för kommunerna att sa</w:t>
      </w:r>
      <w:r w:rsidRPr="00075492">
        <w:t>m</w:t>
      </w:r>
      <w:r w:rsidRPr="00075492">
        <w:t>verka med varandra. En ökad samverkan över kommungränserna bedöms vara av betydelse för att utöva tillsyn, särskilt för små och resurssvaga ko</w:t>
      </w:r>
      <w:r w:rsidRPr="00075492">
        <w:t>m</w:t>
      </w:r>
      <w:r w:rsidRPr="00075492">
        <w:t>muner.</w:t>
      </w:r>
    </w:p>
    <w:p w:rsidR="00547E7E" w:rsidRPr="00075492" w:rsidRDefault="00547E7E">
      <w:pPr>
        <w:pStyle w:val="Rubrik1"/>
      </w:pPr>
      <w:bookmarkStart w:id="528" w:name="_Toc532284529"/>
      <w:r w:rsidRPr="00075492">
        <w:br w:type="page"/>
      </w:r>
      <w:bookmarkStart w:id="529" w:name="_Toc532292096"/>
      <w:bookmarkStart w:id="530" w:name="_Toc84643"/>
      <w:bookmarkStart w:id="531" w:name="_Toc6634601"/>
      <w:bookmarkStart w:id="532" w:name="_Toc6637183"/>
      <w:r w:rsidRPr="00075492">
        <w:t>Finansieringssystem</w:t>
      </w:r>
      <w:bookmarkEnd w:id="528"/>
      <w:bookmarkEnd w:id="529"/>
      <w:bookmarkEnd w:id="530"/>
      <w:bookmarkEnd w:id="531"/>
      <w:bookmarkEnd w:id="532"/>
    </w:p>
    <w:p w:rsidR="00547E7E" w:rsidRPr="00075492" w:rsidRDefault="00547E7E">
      <w:pPr>
        <w:pStyle w:val="Rubrik2"/>
      </w:pPr>
      <w:bookmarkStart w:id="533" w:name="_Toc532284530"/>
      <w:bookmarkStart w:id="534" w:name="_Toc532292097"/>
      <w:bookmarkStart w:id="535" w:name="_Toc84644"/>
      <w:bookmarkStart w:id="536" w:name="_Toc6634602"/>
      <w:bookmarkStart w:id="537" w:name="_Toc6637184"/>
      <w:r w:rsidRPr="00075492">
        <w:t>Inledning</w:t>
      </w:r>
      <w:bookmarkEnd w:id="533"/>
      <w:bookmarkEnd w:id="534"/>
      <w:bookmarkEnd w:id="535"/>
      <w:bookmarkEnd w:id="536"/>
      <w:bookmarkEnd w:id="537"/>
    </w:p>
    <w:p w:rsidR="00547E7E" w:rsidRPr="00075492" w:rsidRDefault="00547E7E">
      <w:r w:rsidRPr="00075492">
        <w:t>Detta kapitel syftar till att beskriva och belysa i vilken mån nuvarande fina</w:t>
      </w:r>
      <w:r w:rsidRPr="00075492">
        <w:t>n</w:t>
      </w:r>
      <w:r w:rsidRPr="00075492">
        <w:t>sieringssystem inom livsmedelstillsynen är ett verksamt medel för att styra omfattning och inriktning av tillsynsver</w:t>
      </w:r>
      <w:r w:rsidRPr="00075492">
        <w:t>k</w:t>
      </w:r>
      <w:r w:rsidRPr="00075492">
        <w:t xml:space="preserve">samheten. </w:t>
      </w:r>
    </w:p>
    <w:p w:rsidR="00547E7E" w:rsidRPr="00075492" w:rsidRDefault="00547E7E">
      <w:pPr>
        <w:pStyle w:val="Normaltindrag"/>
      </w:pPr>
      <w:r w:rsidRPr="00075492">
        <w:t>Livsmedelstillsynen finansieras dels genom skatt, dels genom avgifter. Avgiftssystemet består av en blandning av fasta och rörliga avgifter med vari</w:t>
      </w:r>
      <w:r w:rsidRPr="00075492">
        <w:t>e</w:t>
      </w:r>
      <w:r w:rsidRPr="00075492">
        <w:t xml:space="preserve">rande avgiftsuttag för olika verksamheter. </w:t>
      </w:r>
    </w:p>
    <w:p w:rsidR="00547E7E" w:rsidRPr="00075492" w:rsidRDefault="00547E7E">
      <w:pPr>
        <w:pStyle w:val="Rubrik2"/>
      </w:pPr>
      <w:bookmarkStart w:id="538" w:name="_Toc532284531"/>
      <w:bookmarkStart w:id="539" w:name="_Toc532292098"/>
      <w:bookmarkStart w:id="540" w:name="_Toc84645"/>
      <w:bookmarkStart w:id="541" w:name="_Toc6634603"/>
      <w:bookmarkStart w:id="542" w:name="_Toc6637185"/>
      <w:r w:rsidRPr="00075492">
        <w:t>Riksdagens beslut år 1989 om finansiering</w:t>
      </w:r>
      <w:bookmarkEnd w:id="538"/>
      <w:bookmarkEnd w:id="539"/>
      <w:bookmarkEnd w:id="540"/>
      <w:bookmarkEnd w:id="541"/>
      <w:bookmarkEnd w:id="542"/>
      <w:r w:rsidRPr="00075492">
        <w:t xml:space="preserve"> </w:t>
      </w:r>
    </w:p>
    <w:p w:rsidR="00547E7E" w:rsidRPr="00075492" w:rsidRDefault="00547E7E">
      <w:r w:rsidRPr="00075492">
        <w:t xml:space="preserve">Behovet av en skärpt livsmedelskontroll som utförs på ett likartat sätt över hela landet var ett viktigt motiv för beslutet om nuvarande avgiftssystem som infördes år 1990. </w:t>
      </w:r>
    </w:p>
    <w:p w:rsidR="00547E7E" w:rsidRPr="00075492" w:rsidRDefault="00547E7E">
      <w:pPr>
        <w:pStyle w:val="Normaltindrag"/>
      </w:pPr>
      <w:r w:rsidRPr="00075492">
        <w:t>I regeringens proposition</w:t>
      </w:r>
      <w:r w:rsidRPr="00075492">
        <w:rPr>
          <w:rStyle w:val="Fotnotsreferens"/>
        </w:rPr>
        <w:footnoteReference w:id="44"/>
      </w:r>
      <w:r w:rsidRPr="00075492">
        <w:t xml:space="preserve"> föreslogs förändringar i avgiftssystemet för att bättre anpassa avgiften efter kontrollbehovet och undersökningskostnaderna. Mer avgifter skulle tas ut för att intensifiera redlighetskontrollen genom fler kemiska analyser.</w:t>
      </w:r>
    </w:p>
    <w:p w:rsidR="00547E7E" w:rsidRPr="00075492" w:rsidRDefault="00547E7E">
      <w:pPr>
        <w:pStyle w:val="Normaltindrag"/>
      </w:pPr>
      <w:r w:rsidRPr="00075492">
        <w:t>Enligt riksdagsbeslutet skulle 15 % av kommunernas avgiftsintäkter öve</w:t>
      </w:r>
      <w:r w:rsidRPr="00075492">
        <w:t>r</w:t>
      </w:r>
      <w:r w:rsidRPr="00075492">
        <w:t>föras till Livsmedelsverket. Som motiv till detta framhöll regeringen att en överföring av resurser från kommunerna till Livsmedelsverket borde ske för att finansiera ytterligare livsmedelstekniker vid verket, samt för att täcka ”vissa kostnader för bl.a. Livsmedelsverkets rådgivning till kommunerna och samordning av den offentliga livsmedelskontrollen, centrala laboratorieup</w:t>
      </w:r>
      <w:r w:rsidRPr="00075492">
        <w:t>p</w:t>
      </w:r>
      <w:r w:rsidRPr="00075492">
        <w:t>gifter och metodutveckling. Kostnaderna är hänförliga till insatser som utgör underlag för avgiftsbeläggningen.</w:t>
      </w:r>
      <w:r w:rsidRPr="00075492">
        <w:rPr>
          <w:rStyle w:val="Fotnotsreferens"/>
        </w:rPr>
        <w:footnoteReference w:id="45"/>
      </w:r>
      <w:r w:rsidRPr="00075492">
        <w:t>” Av propositionen framgår även att avgiftsintäkterna skulle täcka kostnaderna för att utveckla ett nytt rapport</w:t>
      </w:r>
      <w:r w:rsidRPr="00075492">
        <w:t>e</w:t>
      </w:r>
      <w:r w:rsidRPr="00075492">
        <w:t xml:space="preserve">ringssystem. </w:t>
      </w:r>
    </w:p>
    <w:p w:rsidR="00547E7E" w:rsidRPr="00075492" w:rsidRDefault="00547E7E">
      <w:pPr>
        <w:pStyle w:val="Normaltindrag"/>
      </w:pPr>
      <w:r w:rsidRPr="00075492">
        <w:t>Riksdagens beslut innebar att livsmedelslagen ändrades och att riksdagen lämnade ett bemyndigande till regeringen eller den myndighet som regerin</w:t>
      </w:r>
      <w:r w:rsidRPr="00075492">
        <w:t>g</w:t>
      </w:r>
      <w:r w:rsidRPr="00075492">
        <w:t>en bestämmer att besluta om avgifter. Dessutom beslutades att regeringen får föreskriva att kommuner ska ombesörja uppbörden av avgifter för den statl</w:t>
      </w:r>
      <w:r w:rsidRPr="00075492">
        <w:t>i</w:t>
      </w:r>
      <w:r w:rsidRPr="00075492">
        <w:t>ga tillsynen.</w:t>
      </w:r>
      <w:r w:rsidRPr="00075492">
        <w:rPr>
          <w:i/>
        </w:rPr>
        <w:t xml:space="preserve"> </w:t>
      </w:r>
    </w:p>
    <w:p w:rsidR="00547E7E" w:rsidRPr="00075492" w:rsidRDefault="00547E7E">
      <w:pPr>
        <w:pStyle w:val="Normaltindrag"/>
      </w:pPr>
      <w:r w:rsidRPr="00075492">
        <w:t>Vid utskottsbehandlingen hade utskottet ingen erinran mot grundprincipen att den offentliga livsmedelskontrollen till viss del skulle finansieras via avgifter från livsmedelsföretagen. Samtidigt ansåg utskottet att det var ang</w:t>
      </w:r>
      <w:r w:rsidRPr="00075492">
        <w:t>e</w:t>
      </w:r>
      <w:r w:rsidRPr="00075492">
        <w:t>läget att riksdagen dels erhåller närmare information om avgiftssystemets utformning och effekter, dels bereds tillfälle att anlägga synpunkter på ett mer utarbetat och detaljerat förslag än det som förelåg.</w:t>
      </w:r>
    </w:p>
    <w:p w:rsidR="00547E7E" w:rsidRPr="00075492" w:rsidRDefault="00547E7E">
      <w:pPr>
        <w:pStyle w:val="Normaltindrag"/>
      </w:pPr>
      <w:r w:rsidRPr="00075492">
        <w:t>Riksdagen begärde också en särskild redovisning av regeringen om den närmare utformnin</w:t>
      </w:r>
      <w:r w:rsidRPr="00075492">
        <w:t>g</w:t>
      </w:r>
      <w:r w:rsidRPr="00075492">
        <w:t xml:space="preserve">en av avgiftssystemet. </w:t>
      </w:r>
    </w:p>
    <w:p w:rsidR="00547E7E" w:rsidRPr="00075492" w:rsidRDefault="00547E7E">
      <w:pPr>
        <w:pStyle w:val="Normaltindrag"/>
      </w:pPr>
      <w:r w:rsidRPr="00075492">
        <w:t>Regeringen gav Livsmedelsverket i uppdrag att, i samråd med RRV, u</w:t>
      </w:r>
      <w:r w:rsidRPr="00075492">
        <w:t>t</w:t>
      </w:r>
      <w:r w:rsidRPr="00075492">
        <w:t xml:space="preserve">forma avgiftssystemet med sikte på att 60 miljoner kronor skulle tas ut i avgifter. </w:t>
      </w:r>
    </w:p>
    <w:p w:rsidR="00547E7E" w:rsidRPr="00075492" w:rsidRDefault="00547E7E">
      <w:pPr>
        <w:pStyle w:val="Normaltindrag"/>
      </w:pPr>
      <w:r w:rsidRPr="00075492">
        <w:t>Regeringen återkom till riksdagen med en redovisning av den närmare u</w:t>
      </w:r>
      <w:r w:rsidRPr="00075492">
        <w:t>t</w:t>
      </w:r>
      <w:r w:rsidRPr="00075492">
        <w:t>formningen av avgiftssystemet</w:t>
      </w:r>
      <w:r w:rsidRPr="00075492">
        <w:rPr>
          <w:rStyle w:val="Fotnotsreferens"/>
        </w:rPr>
        <w:footnoteReference w:id="46"/>
      </w:r>
      <w:r w:rsidRPr="00075492">
        <w:t>. I skrivelsen redovisades bl.a. principerna för det nya avgiftssystemet, avgiftsuttag och bedömningar av effekter avs</w:t>
      </w:r>
      <w:r w:rsidRPr="00075492">
        <w:t>e</w:t>
      </w:r>
      <w:r w:rsidRPr="00075492">
        <w:t>ende storleken på avgiftsuttaget och fördelningen av kontrollobjekt. Exe</w:t>
      </w:r>
      <w:r w:rsidRPr="00075492">
        <w:t>m</w:t>
      </w:r>
      <w:r w:rsidRPr="00075492">
        <w:t>pelvis bedömdes att 90 % av alla livsmedelsföretag skulle erlägga den lägsta avgiften 1 500 kronor.</w:t>
      </w:r>
    </w:p>
    <w:p w:rsidR="00547E7E" w:rsidRPr="00075492" w:rsidRDefault="00547E7E">
      <w:pPr>
        <w:pStyle w:val="Normaltindrag"/>
      </w:pPr>
      <w:r w:rsidRPr="00075492">
        <w:t>RRV redovisade i en särskild skrivelse till Livsmedelsverket sina sy</w:t>
      </w:r>
      <w:r w:rsidRPr="00075492">
        <w:t>n</w:t>
      </w:r>
      <w:r w:rsidRPr="00075492">
        <w:t>punkter på förslaget. RRV ansåg bl.a. att det ökade avgiftsuttaget innebar en form av beskattning. Vidare framhölls att det var en brist att avgiftssystemet inte utgjorde ett styrmedel för omfattningen av livsmedelskontrollen. Enligt verket borde lämpligheten av att låta avgiftsuttaget i högre grad motsvara gjorda arbetsinsatser diskuteras. RRV ansåg också att uppföljning och utvä</w:t>
      </w:r>
      <w:r w:rsidRPr="00075492">
        <w:t>r</w:t>
      </w:r>
      <w:r w:rsidRPr="00075492">
        <w:t>deringen av det nya systemet borde göras så snart tillräckliga erfarenheter vunnits.</w:t>
      </w:r>
    </w:p>
    <w:p w:rsidR="00547E7E" w:rsidRPr="00075492" w:rsidRDefault="00547E7E">
      <w:pPr>
        <w:pStyle w:val="Normaltindrag"/>
      </w:pPr>
      <w:r w:rsidRPr="00075492">
        <w:t>Utskottet ställde sig bakom regeringens fö</w:t>
      </w:r>
      <w:r w:rsidRPr="00075492">
        <w:t>rslag. Samtidigt erinrade u</w:t>
      </w:r>
      <w:r w:rsidRPr="00075492">
        <w:t>t</w:t>
      </w:r>
      <w:r w:rsidRPr="00075492">
        <w:t>skottet om att den slutliga utformningen skulle färdigställas med hänsyn till remissinstansernas synpunkter och att löpande revideringar borde göras</w:t>
      </w:r>
      <w:r w:rsidRPr="00075492">
        <w:rPr>
          <w:rStyle w:val="Fotnotsreferens"/>
        </w:rPr>
        <w:footnoteReference w:id="47"/>
      </w:r>
      <w:r w:rsidRPr="00075492">
        <w:t>.</w:t>
      </w:r>
    </w:p>
    <w:p w:rsidR="00547E7E" w:rsidRPr="00075492" w:rsidRDefault="00547E7E">
      <w:pPr>
        <w:pStyle w:val="Normaltindrag"/>
      </w:pPr>
      <w:r w:rsidRPr="00075492">
        <w:t>Riksdagen beslutade i enlighet med utskottets förslag</w:t>
      </w:r>
      <w:r w:rsidRPr="00075492">
        <w:rPr>
          <w:rStyle w:val="Fotnotsreferens"/>
        </w:rPr>
        <w:footnoteReference w:id="48"/>
      </w:r>
      <w:r w:rsidRPr="00075492">
        <w:t>.</w:t>
      </w:r>
    </w:p>
    <w:p w:rsidR="00547E7E" w:rsidRPr="00075492" w:rsidRDefault="00547E7E">
      <w:pPr>
        <w:pStyle w:val="Rubrik2"/>
      </w:pPr>
      <w:bookmarkStart w:id="543" w:name="_Toc532284532"/>
      <w:bookmarkStart w:id="544" w:name="_Toc532292099"/>
      <w:bookmarkStart w:id="545" w:name="_Toc84646"/>
      <w:bookmarkStart w:id="546" w:name="_Toc6634604"/>
      <w:bookmarkStart w:id="547" w:name="_Toc6637186"/>
      <w:r w:rsidRPr="00075492">
        <w:t>Nuvarande finansieringssystem</w:t>
      </w:r>
      <w:bookmarkEnd w:id="543"/>
      <w:bookmarkEnd w:id="544"/>
      <w:bookmarkEnd w:id="545"/>
      <w:bookmarkEnd w:id="546"/>
      <w:bookmarkEnd w:id="547"/>
    </w:p>
    <w:p w:rsidR="00547E7E" w:rsidRPr="00075492" w:rsidRDefault="00547E7E">
      <w:pPr>
        <w:pStyle w:val="Rubrik3"/>
      </w:pPr>
      <w:bookmarkStart w:id="548" w:name="_Toc532284533"/>
      <w:bookmarkStart w:id="549" w:name="_Toc532292100"/>
      <w:bookmarkStart w:id="550" w:name="_Toc84647"/>
      <w:bookmarkStart w:id="551" w:name="_Toc6634605"/>
      <w:bookmarkStart w:id="552" w:name="_Toc6637187"/>
      <w:r w:rsidRPr="00075492">
        <w:t>Skatt</w:t>
      </w:r>
      <w:bookmarkEnd w:id="548"/>
      <w:bookmarkEnd w:id="549"/>
      <w:bookmarkEnd w:id="550"/>
      <w:bookmarkEnd w:id="551"/>
      <w:bookmarkEnd w:id="552"/>
      <w:r w:rsidRPr="00075492">
        <w:t xml:space="preserve"> </w:t>
      </w:r>
    </w:p>
    <w:p w:rsidR="00547E7E" w:rsidRPr="00075492" w:rsidRDefault="00547E7E">
      <w:r w:rsidRPr="00075492">
        <w:t>En stor del av den kommunala tillsynen finansieras med kommunalskatt. Hur stor andel är dock oklart. En begränsad del av Livsmedelsverkets tillsyn finansieras över anslag. I kapitel 9 redovisas vissa uppgifter om kostnader.</w:t>
      </w:r>
    </w:p>
    <w:p w:rsidR="00547E7E" w:rsidRPr="00075492" w:rsidRDefault="00547E7E">
      <w:pPr>
        <w:pStyle w:val="Normaltindrag"/>
      </w:pPr>
      <w:r w:rsidRPr="00075492">
        <w:t>De uppgifter som kommunerna utför och som finansieras med kommuna</w:t>
      </w:r>
      <w:r w:rsidRPr="00075492">
        <w:t>l</w:t>
      </w:r>
      <w:r w:rsidRPr="00075492">
        <w:t xml:space="preserve">skatt är </w:t>
      </w:r>
      <w:r w:rsidRPr="00075492">
        <w:rPr>
          <w:rStyle w:val="Fotnotsreferens"/>
        </w:rPr>
        <w:footnoteReference w:id="49"/>
      </w:r>
      <w:r w:rsidRPr="00075492">
        <w:t>:</w:t>
      </w:r>
    </w:p>
    <w:p w:rsidR="00547E7E" w:rsidRPr="00075492" w:rsidRDefault="00547E7E">
      <w:pPr>
        <w:numPr>
          <w:ilvl w:val="0"/>
          <w:numId w:val="299"/>
        </w:numPr>
      </w:pPr>
      <w:r w:rsidRPr="00075492">
        <w:t>inspektioner som görs på produktionsstället,</w:t>
      </w:r>
    </w:p>
    <w:p w:rsidR="00547E7E" w:rsidRPr="00075492" w:rsidRDefault="00547E7E">
      <w:pPr>
        <w:numPr>
          <w:ilvl w:val="0"/>
          <w:numId w:val="300"/>
        </w:numPr>
      </w:pPr>
      <w:r w:rsidRPr="00075492">
        <w:t xml:space="preserve">dokumentation, </w:t>
      </w:r>
    </w:p>
    <w:p w:rsidR="00547E7E" w:rsidRPr="00075492" w:rsidRDefault="00547E7E">
      <w:pPr>
        <w:numPr>
          <w:ilvl w:val="0"/>
          <w:numId w:val="301"/>
        </w:numPr>
      </w:pPr>
      <w:r w:rsidRPr="00075492">
        <w:t>rättsliga åtgärder vid överträdelse,</w:t>
      </w:r>
    </w:p>
    <w:p w:rsidR="00547E7E" w:rsidRPr="00075492" w:rsidRDefault="00547E7E">
      <w:pPr>
        <w:numPr>
          <w:ilvl w:val="0"/>
          <w:numId w:val="302"/>
        </w:numPr>
      </w:pPr>
      <w:r w:rsidRPr="00075492">
        <w:t>utbildning och information,</w:t>
      </w:r>
    </w:p>
    <w:p w:rsidR="00547E7E" w:rsidRPr="00075492" w:rsidRDefault="00547E7E">
      <w:pPr>
        <w:numPr>
          <w:ilvl w:val="0"/>
          <w:numId w:val="303"/>
        </w:numPr>
      </w:pPr>
      <w:r w:rsidRPr="00075492">
        <w:t>remissärenden,</w:t>
      </w:r>
    </w:p>
    <w:p w:rsidR="00547E7E" w:rsidRPr="00075492" w:rsidRDefault="00547E7E">
      <w:pPr>
        <w:numPr>
          <w:ilvl w:val="0"/>
          <w:numId w:val="304"/>
        </w:numPr>
      </w:pPr>
      <w:r w:rsidRPr="00075492">
        <w:t>rapportering till Livsmedelsverket samt</w:t>
      </w:r>
    </w:p>
    <w:p w:rsidR="00547E7E" w:rsidRPr="00075492" w:rsidRDefault="00547E7E">
      <w:pPr>
        <w:numPr>
          <w:ilvl w:val="0"/>
          <w:numId w:val="305"/>
        </w:numPr>
      </w:pPr>
      <w:r w:rsidRPr="00075492">
        <w:t>arbetet med uppbörd av tillsynsavgifter och överföring av 15 % av dessa avgifter till Livsmedelsverket.</w:t>
      </w:r>
    </w:p>
    <w:p w:rsidR="00547E7E" w:rsidRPr="00075492" w:rsidRDefault="00547E7E"/>
    <w:p w:rsidR="00547E7E" w:rsidRPr="00075492" w:rsidRDefault="00547E7E">
      <w:pPr>
        <w:pStyle w:val="Normaltindrag"/>
        <w:ind w:firstLine="0"/>
      </w:pPr>
      <w:r w:rsidRPr="00075492">
        <w:t>Inga principer för skattefinansiering av tillsynsverksamheten eller vilka uppgifter som skulle skattefinansieras redovisas i förarbetena till livsm</w:t>
      </w:r>
      <w:r w:rsidRPr="00075492">
        <w:t>e</w:t>
      </w:r>
      <w:r w:rsidRPr="00075492">
        <w:t>delslagen eller i regeringens skrivelse om avgifter.</w:t>
      </w:r>
    </w:p>
    <w:p w:rsidR="00547E7E" w:rsidRPr="00075492" w:rsidRDefault="00547E7E">
      <w:pPr>
        <w:pStyle w:val="Rubrik3"/>
      </w:pPr>
      <w:bookmarkStart w:id="553" w:name="_Toc532284534"/>
      <w:bookmarkStart w:id="554" w:name="_Toc532292101"/>
      <w:bookmarkStart w:id="555" w:name="_Toc84648"/>
      <w:bookmarkStart w:id="556" w:name="_Toc6634606"/>
      <w:bookmarkStart w:id="557" w:name="_Toc6637188"/>
      <w:r w:rsidRPr="00075492">
        <w:t>Avgifter</w:t>
      </w:r>
      <w:bookmarkEnd w:id="553"/>
      <w:bookmarkEnd w:id="554"/>
      <w:bookmarkEnd w:id="555"/>
      <w:bookmarkEnd w:id="556"/>
      <w:bookmarkEnd w:id="557"/>
    </w:p>
    <w:p w:rsidR="00547E7E" w:rsidRPr="00075492" w:rsidRDefault="00547E7E">
      <w:r w:rsidRPr="00075492">
        <w:t>I livsmedelslagen anges att avgift för tillsyn får tas ut. Regeringen eller den myndighet som regeringen bestämmer får meddela föreskrifter om avgifter för en myndighets och ett enskilt kontrollorgans kostnader för tillsyn enligt lagen, föreskrifter eller EG-förordningar som har kompletterats av lagen. Sådana avgifter får också avse en myndighets kostnader för prövning enligt lagen, föreskrifterna eller förordningarna (LL 29 a §).</w:t>
      </w:r>
    </w:p>
    <w:p w:rsidR="00547E7E" w:rsidRPr="00075492" w:rsidRDefault="00547E7E">
      <w:pPr>
        <w:pStyle w:val="Normaltindrag"/>
      </w:pPr>
      <w:r w:rsidRPr="00075492">
        <w:t>Regeringens föreskrifter om avgifter finns i totalt tre förordningar och kungörelser</w:t>
      </w:r>
      <w:r w:rsidRPr="00075492">
        <w:rPr>
          <w:rStyle w:val="Fotnotsreferens"/>
        </w:rPr>
        <w:footnoteReference w:id="50"/>
      </w:r>
      <w:r w:rsidRPr="00075492">
        <w:t xml:space="preserve">. </w:t>
      </w:r>
    </w:p>
    <w:p w:rsidR="00547E7E" w:rsidRPr="00075492" w:rsidRDefault="00547E7E">
      <w:pPr>
        <w:pStyle w:val="Normaltindrag"/>
      </w:pPr>
      <w:r w:rsidRPr="00075492">
        <w:t>Livsmedelsverket beslutar om avgifternas storlek. Det finns två undantag till denna ordning. Kommunerna beslutar om avgift ska tas ut för hantering av livsmedel på annat ställe än i livsmedelslokal (§ 16 – tillstånd). Livsm</w:t>
      </w:r>
      <w:r w:rsidRPr="00075492">
        <w:t>e</w:t>
      </w:r>
      <w:r w:rsidRPr="00075492">
        <w:t>delsverket har dock fastställt att denna avgift högst får uppgå till en årlig tillsynsavgift. För vissa animalieanläggningar fastställer kommunerna den timtaxa som ska tas ut.</w:t>
      </w:r>
    </w:p>
    <w:p w:rsidR="00547E7E" w:rsidRPr="00075492" w:rsidRDefault="00547E7E">
      <w:pPr>
        <w:pStyle w:val="Normaltindrag"/>
      </w:pPr>
      <w:r w:rsidRPr="00075492">
        <w:t xml:space="preserve">Tillsynsmyndigheterna bestämmer vilken typ av avgifter som ska tas ut för varje avgiftspliktig verksamhet. </w:t>
      </w:r>
    </w:p>
    <w:p w:rsidR="00547E7E" w:rsidRPr="00075492" w:rsidRDefault="00547E7E">
      <w:pPr>
        <w:pStyle w:val="Normaltindrag"/>
      </w:pPr>
      <w:r w:rsidRPr="00075492">
        <w:t>En kommunal nämnds beslut om avgifter enligt förordningen 1989:1110 får överklagas till länsstyrelsen och därefter till länsrätten som också är första instans för överklagande av Livsm</w:t>
      </w:r>
      <w:r w:rsidRPr="00075492">
        <w:t>e</w:t>
      </w:r>
      <w:r w:rsidRPr="00075492">
        <w:t xml:space="preserve">delsverkets beslut. </w:t>
      </w:r>
    </w:p>
    <w:p w:rsidR="00547E7E" w:rsidRPr="00075492" w:rsidRDefault="00547E7E">
      <w:r w:rsidRPr="00075492">
        <w:t xml:space="preserve">För kontroll av livsmedel finns följande avgifter: </w:t>
      </w:r>
    </w:p>
    <w:p w:rsidR="00547E7E" w:rsidRPr="00075492" w:rsidRDefault="00547E7E">
      <w:pPr>
        <w:numPr>
          <w:ilvl w:val="0"/>
          <w:numId w:val="291"/>
        </w:numPr>
      </w:pPr>
      <w:r w:rsidRPr="00075492">
        <w:t>årlig tillsynsavgift,</w:t>
      </w:r>
    </w:p>
    <w:p w:rsidR="00547E7E" w:rsidRPr="00075492" w:rsidRDefault="00547E7E">
      <w:pPr>
        <w:numPr>
          <w:ilvl w:val="0"/>
          <w:numId w:val="290"/>
        </w:numPr>
      </w:pPr>
      <w:r w:rsidRPr="00075492">
        <w:t>prövning av godkännande av lokal,</w:t>
      </w:r>
    </w:p>
    <w:p w:rsidR="00547E7E" w:rsidRPr="00075492" w:rsidRDefault="00547E7E">
      <w:pPr>
        <w:numPr>
          <w:ilvl w:val="0"/>
          <w:numId w:val="289"/>
        </w:numPr>
      </w:pPr>
      <w:r w:rsidRPr="00075492">
        <w:t>prövning av tillstånd för hanteringen av livsmedel på annat ställe än i livsmedelsl</w:t>
      </w:r>
      <w:r w:rsidRPr="00075492">
        <w:t>o</w:t>
      </w:r>
      <w:r w:rsidRPr="00075492">
        <w:t>kal (§ 16 – tillstånd),</w:t>
      </w:r>
    </w:p>
    <w:p w:rsidR="00547E7E" w:rsidRPr="00075492" w:rsidRDefault="00547E7E">
      <w:pPr>
        <w:numPr>
          <w:ilvl w:val="0"/>
          <w:numId w:val="293"/>
        </w:numPr>
      </w:pPr>
      <w:r w:rsidRPr="00075492">
        <w:t>uppföljning av prov som har lett till anmärkning,</w:t>
      </w:r>
    </w:p>
    <w:p w:rsidR="00547E7E" w:rsidRPr="00075492" w:rsidRDefault="00547E7E">
      <w:pPr>
        <w:numPr>
          <w:ilvl w:val="0"/>
          <w:numId w:val="292"/>
        </w:numPr>
      </w:pPr>
      <w:r w:rsidRPr="00075492">
        <w:br w:type="page"/>
        <w:t>beroende på typ av verksamhet finns fyra olika varianter på avgifter som ska betalas för:</w:t>
      </w:r>
    </w:p>
    <w:p w:rsidR="00547E7E" w:rsidRPr="00075492" w:rsidRDefault="00547E7E">
      <w:pPr>
        <w:pStyle w:val="Normaltindrag"/>
        <w:ind w:firstLine="0"/>
      </w:pPr>
      <w:r w:rsidRPr="00075492">
        <w:tab/>
        <w:t xml:space="preserve">– slakterier, </w:t>
      </w:r>
    </w:p>
    <w:p w:rsidR="00547E7E" w:rsidRPr="00075492" w:rsidRDefault="00547E7E">
      <w:pPr>
        <w:pStyle w:val="Normaltindrag"/>
        <w:ind w:firstLine="0"/>
      </w:pPr>
      <w:r w:rsidRPr="00075492">
        <w:tab/>
        <w:t>– styckningsanläggningar samt kyl- och fryshus,</w:t>
      </w:r>
    </w:p>
    <w:p w:rsidR="00547E7E" w:rsidRPr="00075492" w:rsidRDefault="00547E7E">
      <w:pPr>
        <w:pStyle w:val="Normaltindrag"/>
        <w:ind w:firstLine="0"/>
      </w:pPr>
      <w:r w:rsidRPr="00075492">
        <w:tab/>
        <w:t>– köttprodukter och malet kött anläggningar,</w:t>
      </w:r>
    </w:p>
    <w:p w:rsidR="00547E7E" w:rsidRPr="00075492" w:rsidRDefault="00547E7E">
      <w:pPr>
        <w:pStyle w:val="Normaltindrag"/>
        <w:ind w:firstLine="0"/>
      </w:pPr>
      <w:r w:rsidRPr="00075492">
        <w:tab/>
        <w:t>– anläggningar som hanterar fiskvaror samt</w:t>
      </w:r>
    </w:p>
    <w:p w:rsidR="00547E7E" w:rsidRPr="00075492" w:rsidRDefault="00547E7E">
      <w:pPr>
        <w:pStyle w:val="Normaltindrag"/>
        <w:ind w:firstLine="0"/>
      </w:pPr>
      <w:r w:rsidRPr="00075492">
        <w:tab/>
        <w:t>– mjölkprodukt- och äggproduktanläggningar.</w:t>
      </w:r>
    </w:p>
    <w:p w:rsidR="00547E7E" w:rsidRPr="00075492" w:rsidRDefault="00547E7E">
      <w:pPr>
        <w:numPr>
          <w:ilvl w:val="0"/>
          <w:numId w:val="294"/>
        </w:numPr>
      </w:pPr>
      <w:r w:rsidRPr="00075492">
        <w:t>kontroll av främmande ämnen i animalier,</w:t>
      </w:r>
    </w:p>
    <w:p w:rsidR="00547E7E" w:rsidRPr="00075492" w:rsidRDefault="00547E7E">
      <w:pPr>
        <w:numPr>
          <w:ilvl w:val="0"/>
          <w:numId w:val="295"/>
        </w:numPr>
      </w:pPr>
      <w:r w:rsidRPr="00075492">
        <w:t>kontroll av animaliska livsmedel som importeras från tredje land,</w:t>
      </w:r>
    </w:p>
    <w:p w:rsidR="00547E7E" w:rsidRPr="00075492" w:rsidRDefault="00547E7E">
      <w:pPr>
        <w:numPr>
          <w:ilvl w:val="0"/>
          <w:numId w:val="296"/>
        </w:numPr>
      </w:pPr>
      <w:r w:rsidRPr="00075492">
        <w:t>kontroll av icke animaliska livsmedel som införs från tredje land,</w:t>
      </w:r>
    </w:p>
    <w:p w:rsidR="00547E7E" w:rsidRPr="00075492" w:rsidRDefault="00547E7E">
      <w:pPr>
        <w:numPr>
          <w:ilvl w:val="0"/>
          <w:numId w:val="297"/>
        </w:numPr>
      </w:pPr>
      <w:r w:rsidRPr="00075492">
        <w:t>kontroll av bekämpningsmedelsrester i vegetabilier som importeras från tredje land samt</w:t>
      </w:r>
    </w:p>
    <w:p w:rsidR="00547E7E" w:rsidRPr="00075492" w:rsidRDefault="00547E7E">
      <w:pPr>
        <w:numPr>
          <w:ilvl w:val="0"/>
          <w:numId w:val="298"/>
        </w:numPr>
      </w:pPr>
      <w:r w:rsidRPr="00075492">
        <w:t xml:space="preserve">kontroll av bekämpningsmedelsrester i inhemskt producerat spannmål. </w:t>
      </w:r>
    </w:p>
    <w:p w:rsidR="00547E7E" w:rsidRPr="00075492" w:rsidRDefault="00547E7E">
      <w:pPr>
        <w:pStyle w:val="Rubrik3-Utannumrering"/>
      </w:pPr>
      <w:bookmarkStart w:id="558" w:name="_Toc6634607"/>
      <w:bookmarkStart w:id="559" w:name="_Toc6637189"/>
      <w:r w:rsidRPr="00075492">
        <w:t>Årlig tillsynsavgift</w:t>
      </w:r>
      <w:bookmarkEnd w:id="558"/>
      <w:bookmarkEnd w:id="559"/>
      <w:r w:rsidRPr="00075492">
        <w:t xml:space="preserve"> </w:t>
      </w:r>
    </w:p>
    <w:p w:rsidR="00547E7E" w:rsidRPr="00075492" w:rsidRDefault="00547E7E">
      <w:r w:rsidRPr="00075492">
        <w:t>Enligt förordningen om avgifter för livsmedelshantering (SFS 1989:1110) ska en årlig tillsynsavgift tas ut av tillsynsmyndigheterna (dvs. Livsmedel</w:t>
      </w:r>
      <w:r w:rsidRPr="00075492">
        <w:t>s</w:t>
      </w:r>
      <w:r w:rsidRPr="00075492">
        <w:t>verket och miljö- och hälsoskyddsnämnden) av den som driver verksamhet i en godkänd livsmedelsl</w:t>
      </w:r>
      <w:r w:rsidRPr="00075492">
        <w:t>o</w:t>
      </w:r>
      <w:r w:rsidRPr="00075492">
        <w:t>kal.</w:t>
      </w:r>
    </w:p>
    <w:p w:rsidR="00547E7E" w:rsidRPr="00075492" w:rsidRDefault="00547E7E">
      <w:pPr>
        <w:pStyle w:val="Normaltindrag"/>
      </w:pPr>
      <w:r w:rsidRPr="00075492">
        <w:t>Enligt förordningen ska miljö- och hälsoskyddsnämnden använda avgiften för provtagning och undersökning. För Livsmedelsverket finns inte motsv</w:t>
      </w:r>
      <w:r w:rsidRPr="00075492">
        <w:t>a</w:t>
      </w:r>
      <w:r w:rsidRPr="00075492">
        <w:t>rande begränsning, men verket har hittills tillämpat samma princip.</w:t>
      </w:r>
    </w:p>
    <w:p w:rsidR="00547E7E" w:rsidRPr="00075492" w:rsidRDefault="00547E7E">
      <w:pPr>
        <w:pStyle w:val="Normaltindrag"/>
      </w:pPr>
      <w:r w:rsidRPr="00075492">
        <w:t>Avgiftens storlek beror på årsomsättningen eller antalet årsarbetskrafter. Avgiften varierar mellan 1 500 kronor för detaljhandeln som säljer färdigp</w:t>
      </w:r>
      <w:r w:rsidRPr="00075492">
        <w:t>a</w:t>
      </w:r>
      <w:r w:rsidRPr="00075492">
        <w:t xml:space="preserve">keterade produkter och 36 000 kronor för storskalig tillverkningsindustri. Lägsta avgift för industrier och storhushåll, t.ex. bagerier och restauranger är 1 750 kronor. </w:t>
      </w:r>
    </w:p>
    <w:p w:rsidR="00547E7E" w:rsidRPr="00075492" w:rsidRDefault="00547E7E">
      <w:pPr>
        <w:pStyle w:val="Normaltindrag"/>
      </w:pPr>
      <w:r w:rsidRPr="00075492">
        <w:t>För animalieproducerande anläggningar ska den årliga tillsynsavgiften sättas ned, enligt vad som gäller för motsvarande exportkontollerade anläg</w:t>
      </w:r>
      <w:r w:rsidRPr="00075492">
        <w:t>g</w:t>
      </w:r>
      <w:r w:rsidRPr="00075492">
        <w:t>ningar. Aminalieproducerande anläggningar (kött, mjölk och ägg) får den årliga avgiften nedsatt med  75 %. Övriga anläggningar betalar full avgift.</w:t>
      </w:r>
    </w:p>
    <w:p w:rsidR="00547E7E" w:rsidRPr="00075492" w:rsidRDefault="00547E7E">
      <w:pPr>
        <w:rPr>
          <w:b/>
        </w:rPr>
      </w:pPr>
      <w:r w:rsidRPr="00075492">
        <w:rPr>
          <w:b/>
        </w:rPr>
        <w:t>Prövning av godkännande av lokal</w:t>
      </w:r>
    </w:p>
    <w:p w:rsidR="00547E7E" w:rsidRPr="00075492" w:rsidRDefault="00547E7E">
      <w:r w:rsidRPr="00075492">
        <w:t>Vid prövning av godkännande av lokal</w:t>
      </w:r>
      <w:r w:rsidRPr="00075492">
        <w:rPr>
          <w:b/>
        </w:rPr>
        <w:t xml:space="preserve"> </w:t>
      </w:r>
      <w:r w:rsidRPr="00075492">
        <w:t>ska avgift betalas när tillsynsmyndi</w:t>
      </w:r>
      <w:r w:rsidRPr="00075492">
        <w:t>g</w:t>
      </w:r>
      <w:r w:rsidRPr="00075492">
        <w:t xml:space="preserve">heten prövar dessa frågor. </w:t>
      </w:r>
    </w:p>
    <w:p w:rsidR="00547E7E" w:rsidRPr="00075492" w:rsidRDefault="00547E7E">
      <w:pPr>
        <w:pStyle w:val="Normaltindrag"/>
      </w:pPr>
      <w:r w:rsidRPr="00075492">
        <w:t>Första gången en livsmedelslokal godkänns får en avgift tas ut som mo</w:t>
      </w:r>
      <w:r w:rsidRPr="00075492">
        <w:t>t</w:t>
      </w:r>
      <w:r w:rsidRPr="00075492">
        <w:t>svarar högst en årlig tillsynsavgift i den avgiftsklass som är tillämplig för företaget. När verksamheten eller inredningen ändras väsentligt i en redan godkänd livsmedelslokal ska en förnyad ansökan göras av dess ägare. Avgift för ett förnyat godkänna</w:t>
      </w:r>
      <w:r w:rsidRPr="00075492">
        <w:t>n</w:t>
      </w:r>
      <w:r w:rsidRPr="00075492">
        <w:t xml:space="preserve">de är högst hälften av den årliga tillsynsavgiften. </w:t>
      </w:r>
    </w:p>
    <w:p w:rsidR="00547E7E" w:rsidRPr="00075492" w:rsidRDefault="00547E7E">
      <w:pPr>
        <w:rPr>
          <w:b/>
        </w:rPr>
      </w:pPr>
      <w:r w:rsidRPr="00075492">
        <w:rPr>
          <w:b/>
        </w:rPr>
        <w:br w:type="page"/>
        <w:t xml:space="preserve">Prövning av tillstånd för hantering av livsmedel på annat ställe än i livsmedelslokal, § 16 </w:t>
      </w:r>
      <w:r w:rsidRPr="00075492">
        <w:t xml:space="preserve">– </w:t>
      </w:r>
      <w:r w:rsidRPr="00075492">
        <w:rPr>
          <w:b/>
        </w:rPr>
        <w:t>tillstånd</w:t>
      </w:r>
    </w:p>
    <w:p w:rsidR="00547E7E" w:rsidRPr="00075492" w:rsidRDefault="00547E7E">
      <w:r w:rsidRPr="00075492">
        <w:t>Vid</w:t>
      </w:r>
      <w:r w:rsidRPr="00075492">
        <w:rPr>
          <w:b/>
        </w:rPr>
        <w:t xml:space="preserve"> </w:t>
      </w:r>
      <w:r w:rsidRPr="00075492">
        <w:t>prövning av tillstånd för hantering av livsmedel på annat ställe än i liv</w:t>
      </w:r>
      <w:r w:rsidRPr="00075492">
        <w:t>s</w:t>
      </w:r>
      <w:r w:rsidRPr="00075492">
        <w:t>medelslokal, § 16 – tillstånd,</w:t>
      </w:r>
      <w:r w:rsidRPr="00075492">
        <w:rPr>
          <w:b/>
        </w:rPr>
        <w:t xml:space="preserve"> </w:t>
      </w:r>
      <w:r w:rsidRPr="00075492">
        <w:t>för t.ex. marknader kan varje kommun besluta om administrativ avgift. Avgiften får högst uppgå till en halv årlig tillsyn</w:t>
      </w:r>
      <w:r w:rsidRPr="00075492">
        <w:t>s</w:t>
      </w:r>
      <w:r w:rsidRPr="00075492">
        <w:t>avgift om tillståndet gäller högst en månad och i annat fall en årlig tillsyn</w:t>
      </w:r>
      <w:r w:rsidRPr="00075492">
        <w:t>s</w:t>
      </w:r>
      <w:r w:rsidRPr="00075492">
        <w:t>avgift. Den årliga avgiften är 1 750 kronor.</w:t>
      </w:r>
    </w:p>
    <w:p w:rsidR="00547E7E" w:rsidRPr="00075492" w:rsidRDefault="00547E7E">
      <w:r w:rsidRPr="00075492">
        <w:rPr>
          <w:b/>
        </w:rPr>
        <w:t>Uppföljning av prov som lett till anmärkning</w:t>
      </w:r>
    </w:p>
    <w:p w:rsidR="00547E7E" w:rsidRPr="00075492" w:rsidRDefault="00547E7E">
      <w:r w:rsidRPr="00075492">
        <w:t xml:space="preserve">Tillsynsmyndigheten har rätt till att ta ut avgift för en uppföljning av prov som lett till anmärkning. </w:t>
      </w:r>
    </w:p>
    <w:p w:rsidR="00547E7E" w:rsidRPr="00075492" w:rsidRDefault="00547E7E">
      <w:pPr>
        <w:pStyle w:val="Normaltindrag"/>
      </w:pPr>
      <w:r w:rsidRPr="00075492">
        <w:t>Enligt Livsmedelsverket ska denna avgift motsvara den verkliga analy</w:t>
      </w:r>
      <w:r w:rsidRPr="00075492">
        <w:t>s</w:t>
      </w:r>
      <w:r w:rsidRPr="00075492">
        <w:t>kostnaden och varierar beroende på vilken analys som utförs. I Göteborgs kommun har nämnden beslutat om en avgift om 360 kronor per påbörjad halvtimme för en sådan uppföljning. Även tidigare har avgift för uppföljning av prover med anmär</w:t>
      </w:r>
      <w:r w:rsidRPr="00075492">
        <w:t>k</w:t>
      </w:r>
      <w:r w:rsidRPr="00075492">
        <w:t>ning tagits ut.</w:t>
      </w:r>
    </w:p>
    <w:p w:rsidR="00547E7E" w:rsidRPr="00075492" w:rsidRDefault="00547E7E">
      <w:pPr>
        <w:pStyle w:val="Normaltindrag"/>
      </w:pPr>
      <w:r w:rsidRPr="00075492">
        <w:t>Det är dock få kommuner som utnyttjar denna möjlighet</w:t>
      </w:r>
      <w:r w:rsidRPr="00075492">
        <w:rPr>
          <w:rStyle w:val="Fotnotsreferens"/>
        </w:rPr>
        <w:footnoteReference w:id="51"/>
      </w:r>
      <w:r w:rsidRPr="00075492">
        <w:t xml:space="preserve">. </w:t>
      </w:r>
    </w:p>
    <w:p w:rsidR="00547E7E" w:rsidRPr="00075492" w:rsidRDefault="00547E7E">
      <w:pPr>
        <w:pStyle w:val="Normaltindrag"/>
      </w:pPr>
      <w:r w:rsidRPr="00075492">
        <w:t xml:space="preserve">Avgifter för de olika verksamheterna omfattar: </w:t>
      </w:r>
    </w:p>
    <w:p w:rsidR="00547E7E" w:rsidRPr="00075492" w:rsidRDefault="00547E7E">
      <w:pPr>
        <w:rPr>
          <w:b/>
        </w:rPr>
      </w:pPr>
      <w:r w:rsidRPr="00075492">
        <w:rPr>
          <w:b/>
        </w:rPr>
        <w:t>Slakterier, styckningsanläggningar, kyl- och fryshus, köttprodukter samt m</w:t>
      </w:r>
      <w:r w:rsidRPr="00075492">
        <w:rPr>
          <w:b/>
        </w:rPr>
        <w:t>a</w:t>
      </w:r>
      <w:r w:rsidRPr="00075492">
        <w:rPr>
          <w:b/>
        </w:rPr>
        <w:t xml:space="preserve">let köttanläggningar </w:t>
      </w:r>
    </w:p>
    <w:p w:rsidR="00547E7E" w:rsidRPr="00075492" w:rsidRDefault="00547E7E">
      <w:r w:rsidRPr="00075492">
        <w:t>Avgifterna fastställs enligt Livsmedelsverkets föreskrifter om avgifter för veterinära besiktningar och kontroller vid slakterier, styckningsanläggningar samt kyl- och fryshus (SLV FS 1998:30), vilka baseras på EU-direktiv. Pri</w:t>
      </w:r>
      <w:r w:rsidRPr="00075492">
        <w:t>n</w:t>
      </w:r>
      <w:r w:rsidRPr="00075492">
        <w:t>cipen är att full kostnadstäc</w:t>
      </w:r>
      <w:r w:rsidRPr="00075492">
        <w:t>k</w:t>
      </w:r>
      <w:r w:rsidRPr="00075492">
        <w:t>ning ska ske inom vissa angivna områden.</w:t>
      </w:r>
    </w:p>
    <w:p w:rsidR="00547E7E" w:rsidRPr="00075492" w:rsidRDefault="00547E7E">
      <w:pPr>
        <w:pStyle w:val="Normaltindrag"/>
      </w:pPr>
      <w:r w:rsidRPr="00075492">
        <w:t>I Sverige fastställer tillsynsmyndigheten den tillsynstid som ska åtgå för respektive anläggning. Tillsynstiden ska tillsammans med tillsynsmyndigh</w:t>
      </w:r>
      <w:r w:rsidRPr="00075492">
        <w:t>e</w:t>
      </w:r>
      <w:r w:rsidRPr="00075492">
        <w:t xml:space="preserve">tens fastställda timkostnad ligga till grund för debitering av avgift. Avgiften är lägst 400 kronor. </w:t>
      </w:r>
    </w:p>
    <w:p w:rsidR="00547E7E" w:rsidRPr="00075492" w:rsidRDefault="00547E7E">
      <w:pPr>
        <w:pStyle w:val="Normaltindrag"/>
      </w:pPr>
      <w:r w:rsidRPr="00075492">
        <w:t>Livsmedelsverket har överfört tillsynen av storskaliga anläggningar till vissa kommuner t.ex. Stockholm och Göteborg. Överlag har kommunerna tillsynsansvaret för småskaliga stycknings- och köttproduktanläggningar, småskaliga kyl- och fryshus, småskaliga anläggningar för malet kött, mjölk och mjölkprodukter samt småskaliga fiskanläggningar och fiskgrossista</w:t>
      </w:r>
      <w:r w:rsidRPr="00075492">
        <w:t>n</w:t>
      </w:r>
      <w:r w:rsidRPr="00075492">
        <w:t xml:space="preserve">läggningar. </w:t>
      </w:r>
    </w:p>
    <w:p w:rsidR="00547E7E" w:rsidRPr="00075492" w:rsidRDefault="00547E7E">
      <w:pPr>
        <w:pStyle w:val="Normaltindrag"/>
      </w:pPr>
      <w:r w:rsidRPr="00075492">
        <w:t>Slakt- och köttbesiktning utförs av besiktningsveterinärorgan</w:t>
      </w:r>
      <w:r w:rsidRPr="00075492">
        <w:t>i</w:t>
      </w:r>
      <w:r w:rsidRPr="00075492">
        <w:t xml:space="preserve">sationen. </w:t>
      </w:r>
    </w:p>
    <w:p w:rsidR="00547E7E" w:rsidRPr="00075492" w:rsidRDefault="00547E7E">
      <w:pPr>
        <w:pStyle w:val="Normaltindrag"/>
      </w:pPr>
      <w:r w:rsidRPr="00075492">
        <w:t xml:space="preserve">Avgift för besiktningsmannens arbete beräknas enligt SLVFS 1991:11. Avgiften fastställs av tillsynsmyndigheten och uppgår till minst 400 kronor per timme. Därutöver betalas en grundavgift som varierar mellan 14 040 och 77 040 kronor per år. </w:t>
      </w:r>
    </w:p>
    <w:p w:rsidR="00547E7E" w:rsidRPr="00075492" w:rsidRDefault="00547E7E">
      <w:pPr>
        <w:pStyle w:val="Normaltindrag"/>
      </w:pPr>
      <w:r w:rsidRPr="00075492">
        <w:t>De avgifter som tas ut för hygien- och slaktkontroll baseras på EG-direktiv 93/118/EEG. Enligt direktivet ska avgiften vara ett bestämt belopp per djur och variera med djurslag eller motsvara den faktiska kostnaden för kontro</w:t>
      </w:r>
      <w:r w:rsidRPr="00075492">
        <w:t>l</w:t>
      </w:r>
      <w:r w:rsidRPr="00075492">
        <w:t>lerna. För styckningsanläggningar får man ta ut volymbaserad avgift eller avgift motsvarande full kostnadstäckning. I Sverige tillämpas principen med full kos</w:t>
      </w:r>
      <w:r w:rsidRPr="00075492">
        <w:t>t</w:t>
      </w:r>
      <w:r w:rsidRPr="00075492">
        <w:t xml:space="preserve">nadstäckning. </w:t>
      </w:r>
    </w:p>
    <w:p w:rsidR="00547E7E" w:rsidRPr="00075492" w:rsidRDefault="00547E7E">
      <w:pPr>
        <w:rPr>
          <w:b/>
        </w:rPr>
      </w:pPr>
      <w:r w:rsidRPr="00075492">
        <w:rPr>
          <w:b/>
        </w:rPr>
        <w:t>Anläggningar som hanterar fiskvaror</w:t>
      </w:r>
    </w:p>
    <w:p w:rsidR="00547E7E" w:rsidRPr="00075492" w:rsidRDefault="00547E7E">
      <w:pPr>
        <w:rPr>
          <w:b/>
        </w:rPr>
      </w:pPr>
      <w:r w:rsidRPr="00075492">
        <w:t>Fisk och fiskprodukter omfattas av EG-direktiv och återges i SLVFS 1999:29. Tillsynsavgiften ska vara en euro per ton fiskvara som förs in på en anläggning. Om den avgift som ska betalas inte täcker kostnaderna får til</w:t>
      </w:r>
      <w:r w:rsidRPr="00075492">
        <w:t>l</w:t>
      </w:r>
      <w:r w:rsidRPr="00075492">
        <w:t>synsmyndigheten ta ut de faktiska kostnaderna. Om den avgift som ska b</w:t>
      </w:r>
      <w:r w:rsidRPr="00075492">
        <w:t>e</w:t>
      </w:r>
      <w:r w:rsidRPr="00075492">
        <w:t>talas överstiger de faktiska kostnaderna  ska tillsynsmyndigheten sätta ned avgiften, dock med högst 55 % av den avgift som därvid skulle ha utgått. Livsmedelsverket ansvarar för tillsynen av storskaliga anläggningar men har överfört tillsynsansvaret till vissa kommuner t.ex. Stockholm och Göteborg. I vissa fall förordnar verket kommunalt anställd personal för til</w:t>
      </w:r>
      <w:r w:rsidRPr="00075492">
        <w:t>l</w:t>
      </w:r>
      <w:r w:rsidRPr="00075492">
        <w:t>syn.</w:t>
      </w:r>
    </w:p>
    <w:p w:rsidR="00547E7E" w:rsidRPr="00075492" w:rsidRDefault="00547E7E">
      <w:pPr>
        <w:rPr>
          <w:b/>
        </w:rPr>
      </w:pPr>
      <w:r w:rsidRPr="00075492">
        <w:rPr>
          <w:b/>
        </w:rPr>
        <w:t>Mjölkproduktanläggningar och äggproduktanläggningar</w:t>
      </w:r>
    </w:p>
    <w:p w:rsidR="00547E7E" w:rsidRPr="00075492" w:rsidRDefault="00547E7E">
      <w:r w:rsidRPr="00075492">
        <w:t>Anläggningarna omfattas av EG-direktiv och står under Livsmedelsverkets tillsyn. Avgifterna och avgiftskonstruktionen varierar beroende på typ av anläggning och efter anläggningens exportstatus. Den årliga grundavgiften varierar mellan 8 600 och 13 200 kronor. Timavgift för tillsyn tas ut (SLVFS 1994:26). Livsmedelsverket har fastställt timavgiften till 575 kronor per timme.</w:t>
      </w:r>
    </w:p>
    <w:p w:rsidR="00547E7E" w:rsidRPr="00075492" w:rsidRDefault="00547E7E">
      <w:pPr>
        <w:rPr>
          <w:b/>
        </w:rPr>
      </w:pPr>
      <w:r w:rsidRPr="00075492">
        <w:rPr>
          <w:b/>
        </w:rPr>
        <w:t>Kontroll av främmande ämnen i animalier</w:t>
      </w:r>
    </w:p>
    <w:p w:rsidR="00547E7E" w:rsidRPr="00075492" w:rsidRDefault="00547E7E">
      <w:r w:rsidRPr="00075492">
        <w:t>Kontroll av främmande ämnen i kött, restsubstanskontroll, belastar köttb</w:t>
      </w:r>
      <w:r w:rsidRPr="00075492">
        <w:t>e</w:t>
      </w:r>
      <w:r w:rsidRPr="00075492">
        <w:t>siktningsavgifterna enligt SLVFS 1998:30. Kontrollen utförs på grundval av ett nationellt kontrollprogram som fastställs årligen av EU komissionen. Hur många djur som man tar prov på relateras till den totala mängden. Avgiften för kontroll av kött och andra animalier tas ut per producerat ton. EG-direktiv medger ingen möjlighet till avvikelse från avgiftsprincipen. I Sverige är kostn</w:t>
      </w:r>
      <w:r w:rsidRPr="00075492">
        <w:t>a</w:t>
      </w:r>
      <w:r w:rsidRPr="00075492">
        <w:t xml:space="preserve">derna för verksamheten större än intäkterna. </w:t>
      </w:r>
    </w:p>
    <w:p w:rsidR="00547E7E" w:rsidRPr="00075492" w:rsidRDefault="00547E7E">
      <w:pPr>
        <w:rPr>
          <w:b/>
        </w:rPr>
      </w:pPr>
      <w:r w:rsidRPr="00075492">
        <w:rPr>
          <w:b/>
        </w:rPr>
        <w:t>Kontroll av animaliska livsmedel som importeras från tredje land</w:t>
      </w:r>
    </w:p>
    <w:p w:rsidR="00547E7E" w:rsidRPr="00075492" w:rsidRDefault="00547E7E">
      <w:r w:rsidRPr="00075492">
        <w:t>Kontroll av animaliska livsmedel som importeras från länder utanför EU sker vid gränskontrollstationer. Den 1 januari 2001 övertog Livsmedelsverket ansvaret för kontrollerna. Avgiften bestäms i taxa som fastställs av Livsm</w:t>
      </w:r>
      <w:r w:rsidRPr="00075492">
        <w:t>e</w:t>
      </w:r>
      <w:r w:rsidRPr="00075492">
        <w:t>delsverket (SLVFS 2000:41). Enligt EG-direktiv</w:t>
      </w:r>
      <w:r w:rsidRPr="00075492">
        <w:rPr>
          <w:rStyle w:val="Fotnotsreferens"/>
        </w:rPr>
        <w:footnoteReference w:id="52"/>
      </w:r>
      <w:r w:rsidRPr="00075492">
        <w:t xml:space="preserve"> ska ”alla kostnader” b</w:t>
      </w:r>
      <w:r w:rsidRPr="00075492">
        <w:t>e</w:t>
      </w:r>
      <w:r w:rsidRPr="00075492">
        <w:t>talas av den som för in v</w:t>
      </w:r>
      <w:r w:rsidRPr="00075492">
        <w:t>a</w:t>
      </w:r>
      <w:r w:rsidRPr="00075492">
        <w:t xml:space="preserve">rorna. </w:t>
      </w:r>
    </w:p>
    <w:p w:rsidR="00547E7E" w:rsidRPr="00075492" w:rsidRDefault="00547E7E">
      <w:pPr>
        <w:rPr>
          <w:b/>
        </w:rPr>
      </w:pPr>
      <w:r w:rsidRPr="00075492">
        <w:rPr>
          <w:b/>
        </w:rPr>
        <w:t>Kontroll av icke-animaliska livsmedel som importeras från tredje land</w:t>
      </w:r>
    </w:p>
    <w:p w:rsidR="00547E7E" w:rsidRPr="00075492" w:rsidRDefault="00547E7E">
      <w:r w:rsidRPr="00075492">
        <w:t>Kontroll av icke-animaliska livsmedel som importeras från tredje land avser t.ex. fikon, jordnötter och kokos. Avgifterna grundas på nationella bestä</w:t>
      </w:r>
      <w:r w:rsidRPr="00075492">
        <w:t>m</w:t>
      </w:r>
      <w:r w:rsidRPr="00075492">
        <w:t>melser. I motsats till kontroll av animaliska livsmedel som importeras från tredje land har Livsmedelsverket inte övertagit ansvaret för kontrollen. Det är framför allt de kommuner där införseln sker, t.ex. Stockholm och Göteborg, som svarar för kontrollerna. Livsmedelsverket ansvarar däremot för impor</w:t>
      </w:r>
      <w:r w:rsidRPr="00075492">
        <w:t>t</w:t>
      </w:r>
      <w:r w:rsidRPr="00075492">
        <w:t xml:space="preserve">kontroll av pistagemandlar från Iran och jordnötter från Egypten. Om import av dessa livsmedel sker från något annat land ansvarar kommunerna för kontrollen. </w:t>
      </w:r>
    </w:p>
    <w:p w:rsidR="00547E7E" w:rsidRPr="00075492" w:rsidRDefault="00547E7E">
      <w:pPr>
        <w:rPr>
          <w:b/>
        </w:rPr>
      </w:pPr>
      <w:r w:rsidRPr="00075492">
        <w:rPr>
          <w:b/>
        </w:rPr>
        <w:t>Kontroll av bekämpningsmedelsrester i vegetabili</w:t>
      </w:r>
      <w:r w:rsidRPr="00075492">
        <w:rPr>
          <w:b/>
        </w:rPr>
        <w:t>er</w:t>
      </w:r>
    </w:p>
    <w:p w:rsidR="00547E7E" w:rsidRPr="00075492" w:rsidRDefault="00547E7E">
      <w:r w:rsidRPr="00075492">
        <w:t>Livsmedelsverket ansvarar för kontroll av rester av bekämpningsmedel i inhemska och importerade livsmedel. Provtagningen följer ett provtagning</w:t>
      </w:r>
      <w:r w:rsidRPr="00075492">
        <w:t>s</w:t>
      </w:r>
      <w:r w:rsidRPr="00075492">
        <w:t xml:space="preserve">program och ombesörjs av Jordbruksverkets växtinspektörer. Kontrollen indelas i inhemsk kontroll, kontroll av övriga EU-länder och importkontroll. En rörlig avgift betalas till Livsmedelsverket för importkontrollen. I övrigt är verksamheten anslagsfinansierad. </w:t>
      </w:r>
    </w:p>
    <w:p w:rsidR="00547E7E" w:rsidRPr="00075492" w:rsidRDefault="00547E7E">
      <w:pPr>
        <w:rPr>
          <w:b/>
        </w:rPr>
      </w:pPr>
      <w:r w:rsidRPr="00075492">
        <w:rPr>
          <w:b/>
        </w:rPr>
        <w:t>Kontroll av inhemskt producerad spannmål</w:t>
      </w:r>
    </w:p>
    <w:p w:rsidR="00547E7E" w:rsidRPr="00075492" w:rsidRDefault="00547E7E">
      <w:r w:rsidRPr="00075492">
        <w:t xml:space="preserve">Anläggningar som förmal spannmål för livsmedelsändamål betalar dels en fast, dels en rörlig avgift till Livsmedelsverket. </w:t>
      </w:r>
    </w:p>
    <w:p w:rsidR="00547E7E" w:rsidRPr="00075492" w:rsidRDefault="00547E7E">
      <w:pPr>
        <w:pStyle w:val="Rubrik3"/>
      </w:pPr>
      <w:bookmarkStart w:id="560" w:name="_Toc532284535"/>
      <w:bookmarkStart w:id="561" w:name="_Toc532292102"/>
      <w:bookmarkStart w:id="562" w:name="_Toc84649"/>
      <w:bookmarkStart w:id="563" w:name="_Toc6634608"/>
      <w:bookmarkStart w:id="564" w:name="_Toc6637190"/>
      <w:r w:rsidRPr="00075492">
        <w:t>Förändringar av avgiftssystemet</w:t>
      </w:r>
      <w:bookmarkEnd w:id="560"/>
      <w:bookmarkEnd w:id="561"/>
      <w:bookmarkEnd w:id="562"/>
      <w:bookmarkEnd w:id="563"/>
      <w:bookmarkEnd w:id="564"/>
    </w:p>
    <w:p w:rsidR="00547E7E" w:rsidRPr="00075492" w:rsidRDefault="00547E7E">
      <w:r w:rsidRPr="00075492">
        <w:t>De förändringar som har genomförts av avgiftssystemet sedan riksdagens beslut om livsmedelslagen har främst rört anpassningar till de EG-direktiv som har utfärdats. EG-direktiv medger ofta en valmöjlighet att anpassa det egna landets avgiftsnivåer utifrån olika alte</w:t>
      </w:r>
      <w:r w:rsidRPr="00075492">
        <w:t>r</w:t>
      </w:r>
      <w:r w:rsidRPr="00075492">
        <w:t>nativ.</w:t>
      </w:r>
    </w:p>
    <w:p w:rsidR="00547E7E" w:rsidRPr="00075492" w:rsidRDefault="00547E7E">
      <w:pPr>
        <w:pStyle w:val="Normaltindrag"/>
      </w:pPr>
      <w:r w:rsidRPr="00075492">
        <w:t>I Sverige har anpassningen till EG-direktiven medfört att olika principer tillämpas för olika verksamheter. Direktivet (96/43/EG) omfattar avgifter inom hela området animalieproduktion, men det har inte tillämpats på avgi</w:t>
      </w:r>
      <w:r w:rsidRPr="00075492">
        <w:t>f</w:t>
      </w:r>
      <w:r w:rsidRPr="00075492">
        <w:t>terna för mjölkanläggningar. För mjölkanläggningar används fortfarande de äldre nationella föreskri</w:t>
      </w:r>
      <w:r w:rsidRPr="00075492">
        <w:t>f</w:t>
      </w:r>
      <w:r w:rsidRPr="00075492">
        <w:t xml:space="preserve">terna. </w:t>
      </w:r>
    </w:p>
    <w:p w:rsidR="00547E7E" w:rsidRPr="00075492" w:rsidRDefault="00547E7E">
      <w:pPr>
        <w:pStyle w:val="Normaltindrag"/>
      </w:pPr>
      <w:r w:rsidRPr="00075492">
        <w:t>När det gäller avgifterna för slakt-, styck/frys respektive fiskanläggningar samt kontroll av främmande ämnen i animalier tillämpas direktivet men på olika sätt för de olika verksamh</w:t>
      </w:r>
      <w:r w:rsidRPr="00075492">
        <w:t>e</w:t>
      </w:r>
      <w:r w:rsidRPr="00075492">
        <w:t>terna.</w:t>
      </w:r>
    </w:p>
    <w:p w:rsidR="00547E7E" w:rsidRPr="00075492" w:rsidRDefault="00547E7E">
      <w:pPr>
        <w:pStyle w:val="Normaltindrag"/>
      </w:pPr>
      <w:r w:rsidRPr="00075492">
        <w:t>Ett antal avgifter som inte påverkas av EG-direktiv är t.ex. årlig tillsynsa</w:t>
      </w:r>
      <w:r w:rsidRPr="00075492">
        <w:t>v</w:t>
      </w:r>
      <w:r w:rsidRPr="00075492">
        <w:t>gift, prövning och godkännande av lokal samt uppföljning av prov som har lett till anmärkning. Dessa avgifter har inte varit föremål för några förän</w:t>
      </w:r>
      <w:r w:rsidRPr="00075492">
        <w:t>d</w:t>
      </w:r>
      <w:r w:rsidRPr="00075492">
        <w:t xml:space="preserve">ringar. </w:t>
      </w:r>
    </w:p>
    <w:p w:rsidR="00547E7E" w:rsidRPr="00075492" w:rsidRDefault="00547E7E">
      <w:pPr>
        <w:pStyle w:val="Normaltindrag"/>
      </w:pPr>
      <w:r w:rsidRPr="00075492">
        <w:t>Livsmedelsverket lämnade år 1995 förslag till normer och avgifter för a</w:t>
      </w:r>
      <w:r w:rsidRPr="00075492">
        <w:t>n</w:t>
      </w:r>
      <w:r w:rsidRPr="00075492">
        <w:t>läggningar som producerar livsmedel med animaliskt innehåll. Förslagen hade utarbetats i samarbete med Svenska Kommunförbundet och företrädare för vissa branschorganisationer. Förslagen syftade i enlighet med regeringens uppdrag till ett heltäckande avgiftssystem med full kostnadstäckning för berörda anläg</w:t>
      </w:r>
      <w:r w:rsidRPr="00075492">
        <w:t>g</w:t>
      </w:r>
      <w:r w:rsidRPr="00075492">
        <w:t xml:space="preserve">ningar. </w:t>
      </w:r>
    </w:p>
    <w:p w:rsidR="00547E7E" w:rsidRPr="00075492" w:rsidRDefault="00547E7E">
      <w:pPr>
        <w:pStyle w:val="Normaltindrag"/>
      </w:pPr>
      <w:r w:rsidRPr="00075492">
        <w:t>En bibehållen men utvecklad fördelning av ansvaret mellan Livsmedel</w:t>
      </w:r>
      <w:r w:rsidRPr="00075492">
        <w:t>s</w:t>
      </w:r>
      <w:r w:rsidRPr="00075492">
        <w:t>verket och kommunerna föreslogs. Detta innebar att Livsmedelsverket, efter samråd med berörda kommuner, skulle överföra tillsynsansvaret för de flesta anläggningarna till kommunerna. Livsmedelsverket skulle behålla tillsynsa</w:t>
      </w:r>
      <w:r w:rsidRPr="00075492">
        <w:t>n</w:t>
      </w:r>
      <w:r w:rsidRPr="00075492">
        <w:t>svaret för övriga större anläggningar och slakterier. Slutligen presenterades riktli</w:t>
      </w:r>
      <w:r w:rsidRPr="00075492">
        <w:t>n</w:t>
      </w:r>
      <w:r w:rsidRPr="00075492">
        <w:t>jer för tillsynstid och inspektioner för olika anläggningar.</w:t>
      </w:r>
    </w:p>
    <w:p w:rsidR="00547E7E" w:rsidRPr="00075492" w:rsidRDefault="00547E7E">
      <w:pPr>
        <w:pStyle w:val="Normaltindrag"/>
      </w:pPr>
      <w:r w:rsidRPr="00075492">
        <w:t>Regeringen har endast tagit ställning till begränsade delar av förslaget. En marginell ändring i förordningen (1989:1110) om avgifter för li</w:t>
      </w:r>
      <w:r w:rsidRPr="00075492">
        <w:t>vsmedelstil</w:t>
      </w:r>
      <w:r w:rsidRPr="00075492">
        <w:t>l</w:t>
      </w:r>
      <w:r w:rsidRPr="00075492">
        <w:t xml:space="preserve">syn m.m. har genomförts i syfte att uppnå full kostnadstäckning. </w:t>
      </w:r>
    </w:p>
    <w:p w:rsidR="00547E7E" w:rsidRPr="00075492" w:rsidRDefault="00547E7E">
      <w:pPr>
        <w:pStyle w:val="Normaltindrag"/>
      </w:pPr>
      <w:r w:rsidRPr="00075492">
        <w:t>Genomförd ändring har syftat till full kostnadstäckning inom vissa omr</w:t>
      </w:r>
      <w:r w:rsidRPr="00075492">
        <w:t>å</w:t>
      </w:r>
      <w:r w:rsidRPr="00075492">
        <w:t>den. Enligt Livsmedelsverket är systemet administrativt krångligt för ko</w:t>
      </w:r>
      <w:r w:rsidRPr="00075492">
        <w:t>m</w:t>
      </w:r>
      <w:r w:rsidRPr="00075492">
        <w:t>munerna med tillämpning av både grundavgift och timtaxa.</w:t>
      </w:r>
    </w:p>
    <w:p w:rsidR="00547E7E" w:rsidRPr="00075492" w:rsidRDefault="00547E7E">
      <w:pPr>
        <w:pStyle w:val="Rubrik2"/>
      </w:pPr>
      <w:bookmarkStart w:id="565" w:name="_Toc532284536"/>
      <w:bookmarkStart w:id="566" w:name="_Toc532292103"/>
      <w:bookmarkStart w:id="567" w:name="_Toc84650"/>
      <w:bookmarkStart w:id="568" w:name="_Toc6634609"/>
      <w:bookmarkStart w:id="569" w:name="_Toc6637191"/>
      <w:r w:rsidRPr="00075492">
        <w:t>Aktuella förslag</w:t>
      </w:r>
      <w:bookmarkEnd w:id="565"/>
      <w:bookmarkEnd w:id="566"/>
      <w:bookmarkEnd w:id="567"/>
      <w:bookmarkEnd w:id="568"/>
      <w:bookmarkEnd w:id="569"/>
      <w:r w:rsidRPr="00075492">
        <w:t xml:space="preserve"> </w:t>
      </w:r>
    </w:p>
    <w:p w:rsidR="00547E7E" w:rsidRPr="00075492" w:rsidRDefault="00547E7E">
      <w:pPr>
        <w:pStyle w:val="Rubrik3"/>
      </w:pPr>
      <w:bookmarkStart w:id="570" w:name="_Toc532284537"/>
      <w:bookmarkStart w:id="571" w:name="_Toc532292104"/>
      <w:bookmarkStart w:id="572" w:name="_Toc84651"/>
      <w:bookmarkStart w:id="573" w:name="_Toc6634610"/>
      <w:bookmarkStart w:id="574" w:name="_Toc6637192"/>
      <w:r w:rsidRPr="00075492">
        <w:t>Revisorernas iakttagelser vid en tidigare granskning</w:t>
      </w:r>
      <w:bookmarkEnd w:id="570"/>
      <w:bookmarkEnd w:id="571"/>
      <w:bookmarkEnd w:id="572"/>
      <w:bookmarkEnd w:id="573"/>
      <w:bookmarkEnd w:id="574"/>
    </w:p>
    <w:p w:rsidR="00547E7E" w:rsidRPr="00075492" w:rsidRDefault="00547E7E">
      <w:r w:rsidRPr="00075492">
        <w:t>Riksdagens revisorer konstaterade vid en tidigare granskning av livsm</w:t>
      </w:r>
      <w:r w:rsidRPr="00075492">
        <w:t>e</w:t>
      </w:r>
      <w:r w:rsidRPr="00075492">
        <w:t>delstillsynen att nuvarande avgiftssystem har skapat oklarheter om vilka delar som ska skattefinansieras respektive avgiftsfinansieras. Det är också oklart om systemet utgör ett styrmedel för omfattningen och inriktningen av liv</w:t>
      </w:r>
      <w:r w:rsidRPr="00075492">
        <w:t>s</w:t>
      </w:r>
      <w:r w:rsidRPr="00075492">
        <w:t xml:space="preserve">medelstillsynen. </w:t>
      </w:r>
    </w:p>
    <w:p w:rsidR="00547E7E" w:rsidRPr="00075492" w:rsidRDefault="00547E7E">
      <w:pPr>
        <w:pStyle w:val="Normaltindrag"/>
      </w:pPr>
      <w:r w:rsidRPr="00075492">
        <w:t>Revisorerna ansåg att det fanns skäl som talade för att genomföra en öve</w:t>
      </w:r>
      <w:r w:rsidRPr="00075492">
        <w:t>r</w:t>
      </w:r>
      <w:r w:rsidRPr="00075492">
        <w:t xml:space="preserve">syn av avgiftssystemet för tillsyn enligt livsmedelslagen. </w:t>
      </w:r>
    </w:p>
    <w:p w:rsidR="00547E7E" w:rsidRPr="00075492" w:rsidRDefault="00547E7E">
      <w:pPr>
        <w:pStyle w:val="Normaltindrag"/>
      </w:pPr>
      <w:r w:rsidRPr="00075492">
        <w:t>Revisorernas förslag till riksdagen föranledde ett tillkännagivande av rik</w:t>
      </w:r>
      <w:r w:rsidRPr="00075492">
        <w:t>s</w:t>
      </w:r>
      <w:r w:rsidRPr="00075492">
        <w:t xml:space="preserve">dagen. </w:t>
      </w:r>
    </w:p>
    <w:p w:rsidR="00547E7E" w:rsidRPr="00075492" w:rsidRDefault="00547E7E">
      <w:pPr>
        <w:pStyle w:val="Rubrik3"/>
      </w:pPr>
      <w:bookmarkStart w:id="575" w:name="_Toc532284538"/>
      <w:bookmarkStart w:id="576" w:name="_Toc532292105"/>
      <w:bookmarkStart w:id="577" w:name="_Toc84652"/>
      <w:bookmarkStart w:id="578" w:name="_Toc6634611"/>
      <w:bookmarkStart w:id="579" w:name="_Toc6637193"/>
      <w:r w:rsidRPr="00075492">
        <w:t>Utredningen om livsmedelstillsynen (SOU 1998:61)</w:t>
      </w:r>
      <w:bookmarkEnd w:id="575"/>
      <w:bookmarkEnd w:id="576"/>
      <w:bookmarkEnd w:id="577"/>
      <w:bookmarkEnd w:id="578"/>
      <w:bookmarkEnd w:id="579"/>
    </w:p>
    <w:p w:rsidR="00547E7E" w:rsidRPr="00075492" w:rsidRDefault="00547E7E">
      <w:r w:rsidRPr="00075492">
        <w:t>Finansieringssystemet behandlades år 1998 av utredningen om livsm</w:t>
      </w:r>
      <w:r w:rsidRPr="00075492">
        <w:t>e</w:t>
      </w:r>
      <w:r w:rsidRPr="00075492">
        <w:t xml:space="preserve">delstillsynen (SOU 1998:61). </w:t>
      </w:r>
    </w:p>
    <w:p w:rsidR="00547E7E" w:rsidRPr="00075492" w:rsidRDefault="00547E7E">
      <w:pPr>
        <w:pStyle w:val="Normaltindrag"/>
      </w:pPr>
      <w:r w:rsidRPr="00075492">
        <w:t>Utredningen beskrev finansieringssystemet som ”ett svåröverskådlig lap</w:t>
      </w:r>
      <w:r w:rsidRPr="00075492">
        <w:t>p</w:t>
      </w:r>
      <w:r w:rsidRPr="00075492">
        <w:t>verk av skatt och avgifter med olika principer för avgiftsuttag, otydlig red</w:t>
      </w:r>
      <w:r w:rsidRPr="00075492">
        <w:t>o</w:t>
      </w:r>
      <w:r w:rsidRPr="00075492">
        <w:t>visning av bakomliggande kostnader och varierande avgiftsuttag”</w:t>
      </w:r>
      <w:r w:rsidRPr="00075492">
        <w:rPr>
          <w:rStyle w:val="Fotnotsreferens"/>
        </w:rPr>
        <w:footnoteReference w:id="53"/>
      </w:r>
      <w:r w:rsidRPr="00075492">
        <w:t xml:space="preserve">. </w:t>
      </w:r>
    </w:p>
    <w:p w:rsidR="00547E7E" w:rsidRPr="00075492" w:rsidRDefault="00547E7E">
      <w:pPr>
        <w:pStyle w:val="Normaltindrag"/>
      </w:pPr>
      <w:r w:rsidRPr="00075492">
        <w:t>I utredningen föreslogs en renodling av finansieringssystemet. Utgång</w:t>
      </w:r>
      <w:r w:rsidRPr="00075492">
        <w:t>s</w:t>
      </w:r>
      <w:r w:rsidRPr="00075492">
        <w:t>punkten för kommitténs förslag var att kommunerna och Livsmedelsverket skulle få ta ut avgifter för att täcka kostnader för prövning och tillsyn, så att verksamheten får den inriktning och omfattning som livsmedelshanteringens risker och redlighet kr</w:t>
      </w:r>
      <w:r w:rsidRPr="00075492">
        <w:t>ä</w:t>
      </w:r>
      <w:r w:rsidRPr="00075492">
        <w:t xml:space="preserve">ver. </w:t>
      </w:r>
    </w:p>
    <w:p w:rsidR="00547E7E" w:rsidRPr="00075492" w:rsidRDefault="00547E7E">
      <w:pPr>
        <w:pStyle w:val="Normaltindrag"/>
      </w:pPr>
      <w:r w:rsidRPr="00075492">
        <w:t>Kommittén föreslog att uppgiften att bestämma avgifterna för prövning och tillsyn enligt livsmedelslagen skulle decentraliseras till kommunerna.</w:t>
      </w:r>
    </w:p>
    <w:p w:rsidR="00547E7E" w:rsidRPr="00075492" w:rsidRDefault="00547E7E">
      <w:pPr>
        <w:pStyle w:val="Normaltindrag"/>
      </w:pPr>
      <w:r w:rsidRPr="00075492">
        <w:t>Kommittén föreslog även att de avgiftsintäkter som kommunerna överför till Livsmedelsverket skulle ersättas med finansiering över anslag. Därig</w:t>
      </w:r>
      <w:r w:rsidRPr="00075492">
        <w:t>e</w:t>
      </w:r>
      <w:r w:rsidRPr="00075492">
        <w:t>nom skulle staten upphöra med att ta in 15 % av kommunernas avgiftsintä</w:t>
      </w:r>
      <w:r w:rsidRPr="00075492">
        <w:t>k</w:t>
      </w:r>
      <w:r w:rsidRPr="00075492">
        <w:t>ter från de årliga tillsynsavgifterna för att bl.a. finansiera Livsmedelsverkets samordning och stöd till kommunerna.</w:t>
      </w:r>
    </w:p>
    <w:p w:rsidR="00547E7E" w:rsidRPr="00075492" w:rsidRDefault="00547E7E">
      <w:pPr>
        <w:pStyle w:val="Normaltindrag"/>
      </w:pPr>
      <w:r w:rsidRPr="00075492">
        <w:t>Som motiv till förslagen framhölls att avgifter alltmer används för att f</w:t>
      </w:r>
      <w:r w:rsidRPr="00075492">
        <w:t>i</w:t>
      </w:r>
      <w:r w:rsidRPr="00075492">
        <w:t>nansiera alltfler offentliga uppgifter, inklusive myndighetsutövning. Exempel hämtades från bl.a. verksamheter som omfattas av miljöbalken. Där har regeringen angivit som princip att de som förorsakar tillsynen också ska bära kostnaderna. Om samma princip skulle tillämpas för livsmedelstillsynen skulle avgiftssystemet inom miljö- och hälsoskyddsnämndernas område också bli mer enhetligt. Enligt utredningen borde förslagen även skapa inc</w:t>
      </w:r>
      <w:r w:rsidRPr="00075492">
        <w:t>i</w:t>
      </w:r>
      <w:r w:rsidRPr="00075492">
        <w:t>tament för en bättre efterlevnad av reglerna.</w:t>
      </w:r>
    </w:p>
    <w:p w:rsidR="00547E7E" w:rsidRPr="00075492" w:rsidRDefault="00547E7E">
      <w:pPr>
        <w:pStyle w:val="Normaltindrag"/>
      </w:pPr>
      <w:r w:rsidRPr="00075492">
        <w:t>I utredningen föreslogs e</w:t>
      </w:r>
      <w:r w:rsidRPr="00075492">
        <w:t>n princip för vad som skulle finansieras via a</w:t>
      </w:r>
      <w:r w:rsidRPr="00075492">
        <w:t>v</w:t>
      </w:r>
      <w:r w:rsidRPr="00075492">
        <w:t>gifter respektive via skatt. De uppgifter som, enligt förslaget, fortsättningsvis skulle skattefinansieras var främst myndighetsutövning, dvs. åtgärder som syftar till eller innebär rättsve</w:t>
      </w:r>
      <w:r w:rsidRPr="00075492">
        <w:t>r</w:t>
      </w:r>
      <w:r w:rsidRPr="00075492">
        <w:t xml:space="preserve">kande beslut. </w:t>
      </w:r>
    </w:p>
    <w:p w:rsidR="00547E7E" w:rsidRPr="00075492" w:rsidRDefault="00547E7E">
      <w:pPr>
        <w:pStyle w:val="Rubrik3"/>
      </w:pPr>
      <w:bookmarkStart w:id="580" w:name="_Toc532284539"/>
      <w:bookmarkStart w:id="581" w:name="_Toc532292106"/>
      <w:bookmarkStart w:id="582" w:name="_Toc84653"/>
      <w:bookmarkStart w:id="583" w:name="_Toc6634612"/>
      <w:bookmarkStart w:id="584" w:name="_Toc6637194"/>
      <w:r w:rsidRPr="00075492">
        <w:t>Livsmedelsverkets rapport 9 – 2000</w:t>
      </w:r>
      <w:bookmarkEnd w:id="580"/>
      <w:bookmarkEnd w:id="581"/>
      <w:bookmarkEnd w:id="582"/>
      <w:bookmarkEnd w:id="583"/>
      <w:bookmarkEnd w:id="584"/>
    </w:p>
    <w:p w:rsidR="00547E7E" w:rsidRPr="00075492" w:rsidRDefault="00547E7E">
      <w:r w:rsidRPr="00075492">
        <w:t>Då utredningen var klar med sitt arbete uppdrog regeringen åt Livsmedel</w:t>
      </w:r>
      <w:r w:rsidRPr="00075492">
        <w:t>s</w:t>
      </w:r>
      <w:r w:rsidRPr="00075492">
        <w:t>verket att lämna en utförligare redovisning av de ekonomiska konsekvense</w:t>
      </w:r>
      <w:r w:rsidRPr="00075492">
        <w:t>r</w:t>
      </w:r>
      <w:r w:rsidRPr="00075492">
        <w:t>na av de förslag som hade förts fram i betänkandet Livsmedelstillsynen i Sverige. Regeringen betonade särskilt förslaget om ett nytt finansieringss</w:t>
      </w:r>
      <w:r w:rsidRPr="00075492">
        <w:t>y</w:t>
      </w:r>
      <w:r w:rsidRPr="00075492">
        <w:t>stem. Uppdraget skulle utföras i samråd med Ekonomistyrningsve</w:t>
      </w:r>
      <w:r w:rsidRPr="00075492">
        <w:t>r</w:t>
      </w:r>
      <w:r w:rsidRPr="00075492">
        <w:t>ket.</w:t>
      </w:r>
    </w:p>
    <w:p w:rsidR="00547E7E" w:rsidRPr="00075492" w:rsidRDefault="00547E7E">
      <w:pPr>
        <w:pStyle w:val="Normaltindrag"/>
      </w:pPr>
      <w:r w:rsidRPr="00075492">
        <w:t>Livsmedelsverket lämnade sedan två förslag till finansiering av de til</w:t>
      </w:r>
      <w:r w:rsidRPr="00075492">
        <w:t>l</w:t>
      </w:r>
      <w:r w:rsidRPr="00075492">
        <w:t>synsområden som inte omfattades av direktiv 96/43/EEG om veterinära kontroller. Utgångspunkten för förslagen om finansieringen var vilken h</w:t>
      </w:r>
      <w:r w:rsidRPr="00075492">
        <w:t>u</w:t>
      </w:r>
      <w:r w:rsidRPr="00075492">
        <w:t>vudman som skulle svara för verksamheten.</w:t>
      </w:r>
    </w:p>
    <w:p w:rsidR="00547E7E" w:rsidRPr="00075492" w:rsidRDefault="00547E7E">
      <w:pPr>
        <w:pStyle w:val="Normaltindrag"/>
      </w:pPr>
      <w:r w:rsidRPr="00075492">
        <w:t>Om nuvarande organisation bibehålls föreslogs en utökad avgiftsfinansi</w:t>
      </w:r>
      <w:r w:rsidRPr="00075492">
        <w:t>e</w:t>
      </w:r>
      <w:r w:rsidRPr="00075492">
        <w:t>ring enligt principen om full kostnadstäckning för inspektioner, provtagning och undersökning. Avgiften borde enligt förslaget även fortsättningsvis fastställas centralt. Den skulle beräknas som en årlig saktaxa med en inde</w:t>
      </w:r>
      <w:r w:rsidRPr="00075492">
        <w:t>l</w:t>
      </w:r>
      <w:r w:rsidRPr="00075492">
        <w:t>ningsgrund som baserades på komplexiteten av hanteringen av livsmedlen. Även uppföljande tillsyn som krävs när verksamhetsutövaren inte uppfyller gällande bestämmelser skulle avgiftsfinansi</w:t>
      </w:r>
      <w:r w:rsidRPr="00075492">
        <w:t>e</w:t>
      </w:r>
      <w:r w:rsidRPr="00075492">
        <w:t>ras.</w:t>
      </w:r>
    </w:p>
    <w:p w:rsidR="00547E7E" w:rsidRPr="00075492" w:rsidRDefault="00547E7E">
      <w:pPr>
        <w:pStyle w:val="Normaltindrag"/>
      </w:pPr>
      <w:r w:rsidRPr="00075492">
        <w:t>I det andra alternativet som utgick från ett förstatligande av tillsynen, fö</w:t>
      </w:r>
      <w:r w:rsidRPr="00075492">
        <w:t>r</w:t>
      </w:r>
      <w:r w:rsidRPr="00075492">
        <w:t>ordades en finansiering över anslag. Vissa tillsynsuppgifter skulle enligt förslaget även fortsättningsvis avgiftsfinansi</w:t>
      </w:r>
      <w:r w:rsidRPr="00075492">
        <w:t>e</w:t>
      </w:r>
      <w:r w:rsidRPr="00075492">
        <w:t xml:space="preserve">ras. </w:t>
      </w:r>
    </w:p>
    <w:p w:rsidR="00547E7E" w:rsidRPr="00075492" w:rsidRDefault="00547E7E">
      <w:pPr>
        <w:pStyle w:val="Normaltindrag"/>
      </w:pPr>
      <w:r w:rsidRPr="00075492">
        <w:t>Enligt Livsmedelsverkets beräkningar skulle anslagsbehovet uppgå till 107 miljoner kronor för att finansiera ett statligt övertagande av tillsynsansvaret från kommunerna. Verket framhåller att de resterande 150–180 miljonerna skattefinansieras redan i dag. Statsbidragen till kommunerna skulle då min</w:t>
      </w:r>
      <w:r w:rsidRPr="00075492">
        <w:t>s</w:t>
      </w:r>
      <w:r w:rsidRPr="00075492">
        <w:t>ka enligt finansieringspri</w:t>
      </w:r>
      <w:r w:rsidRPr="00075492">
        <w:t>n</w:t>
      </w:r>
      <w:r w:rsidRPr="00075492">
        <w:t xml:space="preserve">cipen. </w:t>
      </w:r>
    </w:p>
    <w:p w:rsidR="00547E7E" w:rsidRPr="00075492" w:rsidRDefault="00547E7E">
      <w:pPr>
        <w:pStyle w:val="Normaltindrag"/>
      </w:pPr>
      <w:r w:rsidRPr="00075492">
        <w:t>Samtidigt konstateras i förslaget till ny organisation att det kommer att b</w:t>
      </w:r>
      <w:r w:rsidRPr="00075492">
        <w:t>e</w:t>
      </w:r>
      <w:r w:rsidRPr="00075492">
        <w:t>hövas ett tillskott av resurser för att uppnå en acceptabel nivå på tillsynen. Storleken på detta resurstillskott redov</w:t>
      </w:r>
      <w:r w:rsidRPr="00075492">
        <w:t>i</w:t>
      </w:r>
      <w:r w:rsidRPr="00075492">
        <w:t xml:space="preserve">sas inte. </w:t>
      </w:r>
    </w:p>
    <w:p w:rsidR="00547E7E" w:rsidRPr="00075492" w:rsidRDefault="00547E7E">
      <w:pPr>
        <w:pStyle w:val="Rubrik3"/>
      </w:pPr>
      <w:bookmarkStart w:id="585" w:name="_Toc532284540"/>
      <w:bookmarkStart w:id="586" w:name="_Toc532292107"/>
      <w:bookmarkStart w:id="587" w:name="_Toc84654"/>
      <w:bookmarkStart w:id="588" w:name="_Toc6634613"/>
      <w:bookmarkStart w:id="589" w:name="_Toc6637195"/>
      <w:r w:rsidRPr="00075492">
        <w:t>Svenska Kommunförbundet, skrivelse år 2001</w:t>
      </w:r>
      <w:bookmarkEnd w:id="585"/>
      <w:bookmarkEnd w:id="586"/>
      <w:bookmarkEnd w:id="587"/>
      <w:bookmarkEnd w:id="588"/>
      <w:bookmarkEnd w:id="589"/>
    </w:p>
    <w:p w:rsidR="00547E7E" w:rsidRPr="00075492" w:rsidRDefault="00547E7E">
      <w:r w:rsidRPr="00075492">
        <w:t>Svenska kommunförbundet har i skrivelse till Livsmedelsverket begärt att avgifterna ska ses över</w:t>
      </w:r>
      <w:r w:rsidRPr="00075492">
        <w:rPr>
          <w:rStyle w:val="Fotnotsreferens"/>
        </w:rPr>
        <w:footnoteReference w:id="54"/>
      </w:r>
      <w:r w:rsidRPr="00075492">
        <w:t>. Förbundet framhöll att den allmänna kostnadsu</w:t>
      </w:r>
      <w:r w:rsidRPr="00075492">
        <w:t>t</w:t>
      </w:r>
      <w:r w:rsidRPr="00075492">
        <w:t>vecklingen har lett till att kostnaderna under perioden 1994–2001 har ökat med ca 25 %, varför avgifterna bör räknas upp med motsvarande andel. Enligt förbundet har även kommunernas kostnader ökat till en följd av u</w:t>
      </w:r>
      <w:r w:rsidRPr="00075492">
        <w:t>t</w:t>
      </w:r>
      <w:r w:rsidRPr="00075492">
        <w:t>ökade uppgifter inom tillsynsområdet. Exempelvis nämns ursprungsmär</w:t>
      </w:r>
      <w:r w:rsidRPr="00075492">
        <w:t>k</w:t>
      </w:r>
      <w:r w:rsidRPr="00075492">
        <w:t>ning av nötkött och utvidgad salmonellako</w:t>
      </w:r>
      <w:r w:rsidRPr="00075492">
        <w:t>n</w:t>
      </w:r>
      <w:r w:rsidRPr="00075492">
        <w:t>troll.</w:t>
      </w:r>
    </w:p>
    <w:p w:rsidR="00547E7E" w:rsidRPr="00075492" w:rsidRDefault="00547E7E">
      <w:pPr>
        <w:pStyle w:val="Normaltindrag"/>
      </w:pPr>
      <w:r w:rsidRPr="00075492">
        <w:t>Livsmedelsverket avvisar i skrivelse</w:t>
      </w:r>
      <w:r w:rsidRPr="00075492">
        <w:rPr>
          <w:rStyle w:val="Fotnotsreferens"/>
        </w:rPr>
        <w:footnoteReference w:id="55"/>
      </w:r>
      <w:r w:rsidRPr="00075492">
        <w:t xml:space="preserve"> förbundets begäran. Verket hänvisar till att Svenska Kommunförbundet inte har visat att de nuvarande årliga tillsynsavgifterna är otillräckliga för att finansiera provtagning och unde</w:t>
      </w:r>
      <w:r w:rsidRPr="00075492">
        <w:t>r</w:t>
      </w:r>
      <w:r w:rsidRPr="00075492">
        <w:t xml:space="preserve">sökning. Verket påpekar samtidigt att man har inlett en översyn av verkets samtliga avgifter inom de ramar som riksdagen och regeringen har lagt fast. </w:t>
      </w:r>
    </w:p>
    <w:p w:rsidR="00547E7E" w:rsidRPr="00075492" w:rsidRDefault="00547E7E">
      <w:pPr>
        <w:pStyle w:val="Rubrik3"/>
      </w:pPr>
      <w:bookmarkStart w:id="590" w:name="_Toc532284541"/>
      <w:bookmarkStart w:id="591" w:name="_Toc532292108"/>
      <w:bookmarkStart w:id="592" w:name="_Toc84655"/>
      <w:bookmarkStart w:id="593" w:name="_Toc6634614"/>
      <w:bookmarkStart w:id="594" w:name="_Toc6637196"/>
      <w:r w:rsidRPr="00075492">
        <w:t>Inga ställningstaganden till lämnade förslag</w:t>
      </w:r>
      <w:bookmarkEnd w:id="590"/>
      <w:bookmarkEnd w:id="591"/>
      <w:bookmarkEnd w:id="592"/>
      <w:bookmarkEnd w:id="593"/>
      <w:bookmarkEnd w:id="594"/>
    </w:p>
    <w:p w:rsidR="00547E7E" w:rsidRPr="00075492" w:rsidRDefault="00547E7E">
      <w:r w:rsidRPr="00075492">
        <w:t xml:space="preserve">Regeringen har inte tagit ställning till lämnade förslag till förändringar av finansierings- och avgiftssystemet. </w:t>
      </w:r>
    </w:p>
    <w:p w:rsidR="00547E7E" w:rsidRPr="00075492" w:rsidRDefault="00547E7E">
      <w:pPr>
        <w:pStyle w:val="Normaltindrag"/>
      </w:pPr>
      <w:r w:rsidRPr="00075492">
        <w:t>I lämnade förslag är kärnfrågan huruvida tillsynsverksamheten ska finans</w:t>
      </w:r>
      <w:r w:rsidRPr="00075492">
        <w:t>i</w:t>
      </w:r>
      <w:r w:rsidRPr="00075492">
        <w:t xml:space="preserve">eras via skatt eller via avgifter. En ökad skattefinansiering av verksamheten förutsätts innebära att verksamheten förstatligas. Enligt Livsmedelsverket bör en finansiering över anslag övervägas. Som motiv framhålls att det då blir enklare att inrikta tillsynen efter behov och att Sverige då harmoniseras med övriga länder vad gäller finansieringen av tillsynen. </w:t>
      </w:r>
    </w:p>
    <w:p w:rsidR="00547E7E" w:rsidRPr="00075492" w:rsidRDefault="00547E7E">
      <w:pPr>
        <w:pStyle w:val="Normaltindrag"/>
      </w:pPr>
      <w:r w:rsidRPr="00075492">
        <w:t>Utredningen om livsmedelstillsynen i Sverige kom till en motsatt slutsats och föreslog att verksamheten i huvudsak skulle avgiftsfinansieras, i li</w:t>
      </w:r>
      <w:r w:rsidRPr="00075492">
        <w:t xml:space="preserve">khet med annan myndighetsutövning som bl.a. utförs på kommunal nivå. </w:t>
      </w:r>
    </w:p>
    <w:p w:rsidR="00547E7E" w:rsidRPr="00075492" w:rsidRDefault="00547E7E">
      <w:pPr>
        <w:pStyle w:val="Normaltindrag"/>
      </w:pPr>
      <w:r w:rsidRPr="00075492">
        <w:t>En annan knäckfråga är om staten eller kommunerna ska svara för uppgi</w:t>
      </w:r>
      <w:r w:rsidRPr="00075492">
        <w:t>f</w:t>
      </w:r>
      <w:r w:rsidRPr="00075492">
        <w:t>ten att bestämma avgifter för prövning och tillsyn. Livsmedelsverket anser att avgifterna ska bestämmas centralt. Kommittén föreslog att uppgiften  skulle decentraliseras till kommunerna i likhet med övriga tillsynsuppgifter som staten har decentraliserats till kommunerna. Stora variationer mellan kommunerna om avgiftsnivåer kan motverkas genom att Livsmedelsverket tillhand</w:t>
      </w:r>
      <w:r w:rsidRPr="00075492">
        <w:t>a</w:t>
      </w:r>
      <w:r w:rsidRPr="00075492">
        <w:t xml:space="preserve">håller riktlinjer och underlag för kommunala beslut. </w:t>
      </w:r>
    </w:p>
    <w:p w:rsidR="00547E7E" w:rsidRPr="00075492" w:rsidRDefault="00547E7E">
      <w:pPr>
        <w:pStyle w:val="Normaltindrag"/>
      </w:pPr>
      <w:r w:rsidRPr="00075492">
        <w:t>Remissammanställningen av betänkandet visar att remissinstanserna var positiva t</w:t>
      </w:r>
      <w:r w:rsidRPr="00075492">
        <w:t>ill att de centrala myndighetsuppgifterna skulle anslagsfinansieras. Detta avsåg att kommunerna skulle slippa betala 15 % av sina intäkter från de årliga tillsynsavgifterna till Livsm</w:t>
      </w:r>
      <w:r w:rsidRPr="00075492">
        <w:t>e</w:t>
      </w:r>
      <w:r w:rsidRPr="00075492">
        <w:t xml:space="preserve">delsverket. </w:t>
      </w:r>
    </w:p>
    <w:p w:rsidR="00547E7E" w:rsidRPr="00075492" w:rsidRDefault="00547E7E">
      <w:pPr>
        <w:pStyle w:val="Normaltindrag"/>
      </w:pPr>
      <w:r w:rsidRPr="00075492">
        <w:t>Därutöver framkom bl.a. att det finns en risk för att avgifter som bestä</w:t>
      </w:r>
      <w:r w:rsidRPr="00075492">
        <w:t>m</w:t>
      </w:r>
      <w:r w:rsidRPr="00075492">
        <w:t xml:space="preserve">des av kommunerna slår orättvist, t.ex. mot mindre företag och i glesbygd. Många ansåg att det finns en positiv koppling mellan skötsamhet och lägre avgifter. Livsmedelsverket ansåg att förslaget inte var tillräckligt utrett och borde göras om i sin helhet. </w:t>
      </w:r>
    </w:p>
    <w:p w:rsidR="00547E7E" w:rsidRPr="00075492" w:rsidRDefault="00547E7E">
      <w:pPr>
        <w:pStyle w:val="Normaltindrag"/>
      </w:pPr>
      <w:r w:rsidRPr="00075492">
        <w:t>Remissammanställningen av Livsmedelsverkets rapport visar att majorit</w:t>
      </w:r>
      <w:r w:rsidRPr="00075492">
        <w:t>e</w:t>
      </w:r>
      <w:r w:rsidRPr="00075492">
        <w:t xml:space="preserve">ten av kommunerna och Statskontoret förordar en fortsatt avgiftsfinansiering av verksamheten. RRV tar inte ställning till förslaget eftersom verket anser att förslaget är dåligt underbyggt. Ett flertal remissinstanser efterlyser ett fördjupat underlag.  </w:t>
      </w:r>
    </w:p>
    <w:p w:rsidR="00547E7E" w:rsidRPr="00075492" w:rsidRDefault="00547E7E">
      <w:pPr>
        <w:pStyle w:val="Normaltindrag"/>
      </w:pPr>
      <w:r w:rsidRPr="00075492">
        <w:t>Anslagsfinansiering förordas av handeln, livsmedelsindustrin, branscho</w:t>
      </w:r>
      <w:r w:rsidRPr="00075492">
        <w:t>r</w:t>
      </w:r>
      <w:r w:rsidRPr="00075492">
        <w:t xml:space="preserve">ganisationer och länsstyrelserna. </w:t>
      </w:r>
    </w:p>
    <w:p w:rsidR="00547E7E" w:rsidRPr="00075492" w:rsidRDefault="00547E7E">
      <w:pPr>
        <w:pStyle w:val="Rubrik3"/>
      </w:pPr>
      <w:bookmarkStart w:id="595" w:name="_Toc532284542"/>
      <w:bookmarkStart w:id="596" w:name="_Toc532292109"/>
      <w:bookmarkStart w:id="597" w:name="_Toc84656"/>
      <w:bookmarkStart w:id="598" w:name="_Toc6634615"/>
      <w:bookmarkStart w:id="599" w:name="_Toc6637197"/>
      <w:r w:rsidRPr="00075492">
        <w:t>Finansiering av livsmedelstillsyn inom EU</w:t>
      </w:r>
      <w:bookmarkEnd w:id="595"/>
      <w:bookmarkEnd w:id="596"/>
      <w:bookmarkEnd w:id="597"/>
      <w:bookmarkEnd w:id="598"/>
      <w:bookmarkEnd w:id="599"/>
    </w:p>
    <w:p w:rsidR="00547E7E" w:rsidRPr="00075492" w:rsidRDefault="00547E7E">
      <w:r w:rsidRPr="00075492">
        <w:t xml:space="preserve">Med undantag för animalieområdet finns det inga fastlagda principer för finansiering av livsmedelstillsyn inom EU. </w:t>
      </w:r>
    </w:p>
    <w:p w:rsidR="00547E7E" w:rsidRPr="00075492" w:rsidRDefault="00547E7E">
      <w:pPr>
        <w:pStyle w:val="Normaltindrag"/>
      </w:pPr>
      <w:r w:rsidRPr="00075492">
        <w:t>Inom ramen för en arbetsgrupp inom kommissionen pågår ett arbete med att ta fram ett förslag till en förordning som rör offentlig kontroll av säke</w:t>
      </w:r>
      <w:r w:rsidRPr="00075492">
        <w:t>r</w:t>
      </w:r>
      <w:r w:rsidRPr="00075492">
        <w:t>heten hos foder och livsmedel</w:t>
      </w:r>
      <w:r w:rsidRPr="00075492">
        <w:rPr>
          <w:rStyle w:val="Fotnotsreferens"/>
        </w:rPr>
        <w:footnoteReference w:id="56"/>
      </w:r>
      <w:r w:rsidRPr="00075492">
        <w:t>. I förslaget lägger man fast principen att adekvata resurser måste tillförsäkras kontrollverksamheten. Om medlem</w:t>
      </w:r>
      <w:r w:rsidRPr="00075492">
        <w:t>s</w:t>
      </w:r>
      <w:r w:rsidRPr="00075492">
        <w:t>staterna väljer att använda sig av avgiftssystemet ska detta spegla de verkliga kostnaderna. Förslaget är inte fastställt utan diskussioner pågår om innehå</w:t>
      </w:r>
      <w:r w:rsidRPr="00075492">
        <w:t>l</w:t>
      </w:r>
      <w:r w:rsidRPr="00075492">
        <w:t>let. Livsmedelsverket lämnar löpande skriftliga rapporter om hur arbetet fortskrider.</w:t>
      </w:r>
    </w:p>
    <w:p w:rsidR="00547E7E" w:rsidRPr="00075492" w:rsidRDefault="00547E7E">
      <w:pPr>
        <w:pStyle w:val="Normaltindrag"/>
      </w:pPr>
      <w:r w:rsidRPr="00075492">
        <w:t>I rapporten redovisas kommissionens erfarenheter av finansieringssyst</w:t>
      </w:r>
      <w:r w:rsidRPr="00075492">
        <w:t>e</w:t>
      </w:r>
      <w:r w:rsidRPr="00075492">
        <w:t>met. Av redovisningen framgår att systemet med harmoniserade avgifter för veterinära kontroller aldrig har fungerat på avsett sätt. Det finns skattefina</w:t>
      </w:r>
      <w:r w:rsidRPr="00075492">
        <w:t>n</w:t>
      </w:r>
      <w:r w:rsidRPr="00075492">
        <w:t>sierade system samt helt eller delvis avgiftsfinansierade system i de olika me</w:t>
      </w:r>
      <w:r w:rsidRPr="00075492">
        <w:t>d</w:t>
      </w:r>
      <w:r w:rsidRPr="00075492">
        <w:t xml:space="preserve">lemsstaterna. </w:t>
      </w:r>
    </w:p>
    <w:p w:rsidR="00547E7E" w:rsidRPr="00075492" w:rsidRDefault="00547E7E">
      <w:pPr>
        <w:pStyle w:val="Normaltindrag"/>
      </w:pPr>
      <w:r w:rsidRPr="00075492">
        <w:t>Kommissionen har inte sett någon koppling mellan medlemsstaternas f</w:t>
      </w:r>
      <w:r w:rsidRPr="00075492">
        <w:t>i</w:t>
      </w:r>
      <w:r w:rsidRPr="00075492">
        <w:t>nansieringssystem och effektiviteten i medlemsstate</w:t>
      </w:r>
      <w:r w:rsidRPr="00075492">
        <w:t>r</w:t>
      </w:r>
      <w:r w:rsidRPr="00075492">
        <w:t xml:space="preserve">nas kontroller. </w:t>
      </w:r>
    </w:p>
    <w:p w:rsidR="00547E7E" w:rsidRPr="00075492" w:rsidRDefault="00547E7E">
      <w:pPr>
        <w:pStyle w:val="Normaltindrag"/>
      </w:pPr>
      <w:r w:rsidRPr="00075492">
        <w:t>Vissa medlemsstater har påpekat att olika finansieringssystem kan ses som ett problem från konkurrenssynpunkt på den inre marknaden. Samtidigt är kostnadsnivåer, skattesystem etc. så olika att det kanske inte är orimligt att låta medlemsländerna själva avgöra hur tillsynen ska finansieras. Inget me</w:t>
      </w:r>
      <w:r w:rsidRPr="00075492">
        <w:t>d</w:t>
      </w:r>
      <w:r w:rsidRPr="00075492">
        <w:t xml:space="preserve">lemsland är dock emot avgifter som princip. </w:t>
      </w:r>
    </w:p>
    <w:p w:rsidR="00547E7E" w:rsidRPr="00075492" w:rsidRDefault="00547E7E">
      <w:pPr>
        <w:pStyle w:val="Rubrik2"/>
      </w:pPr>
      <w:bookmarkStart w:id="600" w:name="_Toc532284543"/>
      <w:bookmarkStart w:id="601" w:name="_Toc532292110"/>
      <w:bookmarkStart w:id="602" w:name="_Toc84657"/>
      <w:bookmarkStart w:id="603" w:name="_Toc6634616"/>
      <w:bookmarkStart w:id="604" w:name="_Toc6637198"/>
      <w:r w:rsidRPr="00075492">
        <w:t>Problembeskrivning av nuvarande finansieringssystem</w:t>
      </w:r>
      <w:bookmarkEnd w:id="600"/>
      <w:bookmarkEnd w:id="601"/>
      <w:bookmarkEnd w:id="602"/>
      <w:bookmarkEnd w:id="603"/>
      <w:bookmarkEnd w:id="604"/>
    </w:p>
    <w:p w:rsidR="00547E7E" w:rsidRPr="00075492" w:rsidRDefault="00547E7E">
      <w:r w:rsidRPr="00075492">
        <w:t>Olika underlag och synpunkter som lämnats vid intervjuer visar att det finns ett utbrett missnöje med nuvarande finansieringssystem. Detta kan samma</w:t>
      </w:r>
      <w:r w:rsidRPr="00075492">
        <w:t>n</w:t>
      </w:r>
      <w:r w:rsidRPr="00075492">
        <w:t>fattas i nedanstående pun</w:t>
      </w:r>
      <w:r w:rsidRPr="00075492">
        <w:t>k</w:t>
      </w:r>
      <w:r w:rsidRPr="00075492">
        <w:t>ter:</w:t>
      </w:r>
    </w:p>
    <w:p w:rsidR="00547E7E" w:rsidRPr="00075492" w:rsidRDefault="00547E7E">
      <w:pPr>
        <w:pStyle w:val="Normaltindrag"/>
      </w:pPr>
    </w:p>
    <w:p w:rsidR="00547E7E" w:rsidRPr="00075492" w:rsidRDefault="00547E7E">
      <w:pPr>
        <w:pStyle w:val="Normaltindrag"/>
        <w:numPr>
          <w:ilvl w:val="0"/>
          <w:numId w:val="209"/>
        </w:numPr>
      </w:pPr>
      <w:r w:rsidRPr="00075492">
        <w:t>EU</w:t>
      </w:r>
    </w:p>
    <w:p w:rsidR="00547E7E" w:rsidRPr="00075492" w:rsidRDefault="00547E7E">
      <w:r w:rsidRPr="00075492">
        <w:t>EU har inte sett någon koppling mellan medlemsstaternas valda finansi</w:t>
      </w:r>
      <w:r w:rsidRPr="00075492">
        <w:t>e</w:t>
      </w:r>
      <w:r w:rsidRPr="00075492">
        <w:t>ringssystem och effektiviteten i medlemsstaternas ko</w:t>
      </w:r>
      <w:r w:rsidRPr="00075492">
        <w:t>n</w:t>
      </w:r>
      <w:r w:rsidRPr="00075492">
        <w:t xml:space="preserve">troller. </w:t>
      </w:r>
    </w:p>
    <w:p w:rsidR="00547E7E" w:rsidRPr="00075492" w:rsidRDefault="00547E7E">
      <w:pPr>
        <w:pStyle w:val="Normaltindrag"/>
      </w:pPr>
      <w:r w:rsidRPr="00075492">
        <w:t>Inom EU har systemet med harmoniserade avgifter för veterinära kontro</w:t>
      </w:r>
      <w:r w:rsidRPr="00075492">
        <w:t>l</w:t>
      </w:r>
      <w:r w:rsidRPr="00075492">
        <w:t>ler inte fungerat på avsett sätt. I övrigt har EU inga synpunkter på om tills</w:t>
      </w:r>
      <w:r w:rsidRPr="00075492">
        <w:t>y</w:t>
      </w:r>
      <w:r w:rsidRPr="00075492">
        <w:t>nen finansieras via skatt eller avgifter.</w:t>
      </w:r>
    </w:p>
    <w:p w:rsidR="00547E7E" w:rsidRPr="00075492" w:rsidRDefault="00547E7E">
      <w:pPr>
        <w:pStyle w:val="Normaltindrag"/>
        <w:ind w:firstLine="0"/>
      </w:pPr>
    </w:p>
    <w:p w:rsidR="00547E7E" w:rsidRPr="00075492" w:rsidRDefault="00547E7E">
      <w:pPr>
        <w:pStyle w:val="Normaltindrag"/>
        <w:numPr>
          <w:ilvl w:val="0"/>
          <w:numId w:val="210"/>
        </w:numPr>
      </w:pPr>
      <w:r w:rsidRPr="00075492">
        <w:t>Konstruktion av nuvarande finansierings- och avgiftssystem</w:t>
      </w:r>
    </w:p>
    <w:p w:rsidR="00547E7E" w:rsidRPr="00075492" w:rsidRDefault="00547E7E">
      <w:pPr>
        <w:pStyle w:val="Normaltindrag"/>
        <w:ind w:firstLine="0"/>
      </w:pPr>
    </w:p>
    <w:p w:rsidR="00547E7E" w:rsidRPr="00075492" w:rsidRDefault="00547E7E">
      <w:pPr>
        <w:pStyle w:val="Normaltindrag"/>
        <w:ind w:firstLine="0"/>
      </w:pPr>
      <w:r w:rsidRPr="00075492">
        <w:t>I regeringens proposition om livsmedelskontrollen och i regeringens skrive</w:t>
      </w:r>
      <w:r w:rsidRPr="00075492">
        <w:t>l</w:t>
      </w:r>
      <w:r w:rsidRPr="00075492">
        <w:t>se med anledning av riksdagens begäran om ytterligare underlag saknades principiella överväganden om vad som ska finansieras genom avgifter r</w:t>
      </w:r>
      <w:r w:rsidRPr="00075492">
        <w:t>e</w:t>
      </w:r>
      <w:r w:rsidRPr="00075492">
        <w:t xml:space="preserve">spektive skatt. </w:t>
      </w:r>
    </w:p>
    <w:p w:rsidR="00547E7E" w:rsidRPr="00075492" w:rsidRDefault="00547E7E">
      <w:pPr>
        <w:pStyle w:val="Normaltindrag"/>
      </w:pPr>
      <w:r w:rsidRPr="00075492">
        <w:t>Avgiftssystemet är så krångligt att det är näst intill ogenomträngligt. Det finns totalt 14 olika avgifter för olika verksamheter och olika typer av prö</w:t>
      </w:r>
      <w:r w:rsidRPr="00075492">
        <w:t>v</w:t>
      </w:r>
      <w:r w:rsidRPr="00075492">
        <w:t xml:space="preserve">ning. </w:t>
      </w:r>
    </w:p>
    <w:p w:rsidR="00547E7E" w:rsidRPr="00075492" w:rsidRDefault="00547E7E">
      <w:pPr>
        <w:pStyle w:val="Normaltindrag"/>
      </w:pPr>
      <w:r w:rsidRPr="00075492">
        <w:t>Avgiftsuttaget varierar och avgifterna är konstruerade utifrån olika princ</w:t>
      </w:r>
      <w:r w:rsidRPr="00075492">
        <w:t>i</w:t>
      </w:r>
      <w:r w:rsidRPr="00075492">
        <w:t>per. Ibland eftersträvas full kostnadstäckning, ibland inte. En årlig tillsyn</w:t>
      </w:r>
      <w:r w:rsidRPr="00075492">
        <w:t>s</w:t>
      </w:r>
      <w:r w:rsidRPr="00075492">
        <w:t>avgift utgår som varken garanterar ett företag ett tillsynsbesök eller motsv</w:t>
      </w:r>
      <w:r w:rsidRPr="00075492">
        <w:t>a</w:t>
      </w:r>
      <w:r w:rsidRPr="00075492">
        <w:t>rar tillsynsmyndigheternas kostnader för verksamheten. Den årliga avgiften ska användas till provtagning och undersökning. Begreppet undersökning har inte definierats. I Livsmedelsverkets information till företag om livsm</w:t>
      </w:r>
      <w:r w:rsidRPr="00075492">
        <w:t>e</w:t>
      </w:r>
      <w:r w:rsidRPr="00075492">
        <w:t>delstillsyn anges att den årliga avgiften även ska användas till kontroll av företagens ege</w:t>
      </w:r>
      <w:r w:rsidRPr="00075492">
        <w:t>n</w:t>
      </w:r>
      <w:r w:rsidRPr="00075492">
        <w:t>tillsyn</w:t>
      </w:r>
      <w:r w:rsidRPr="00075492">
        <w:rPr>
          <w:rStyle w:val="Fotnotsreferens"/>
        </w:rPr>
        <w:footnoteReference w:id="57"/>
      </w:r>
      <w:r w:rsidRPr="00075492">
        <w:t xml:space="preserve">. </w:t>
      </w:r>
    </w:p>
    <w:p w:rsidR="00547E7E" w:rsidRPr="00075492" w:rsidRDefault="00547E7E">
      <w:pPr>
        <w:pStyle w:val="Normaltindrag"/>
      </w:pPr>
      <w:r w:rsidRPr="00075492">
        <w:t>Avgiftssystemet är generellt inte relaterat till de arbetsinsatser som til</w:t>
      </w:r>
      <w:r w:rsidRPr="00075492">
        <w:t>l</w:t>
      </w:r>
      <w:r w:rsidRPr="00075492">
        <w:t>synsmyndigheter utför. Det är inte ovanligt att de verksamhetsutövare som förorsakar stora arbetsinsatserna betalar de lägsta avgifterna. Även ett loka</w:t>
      </w:r>
      <w:r w:rsidRPr="00075492">
        <w:t>l</w:t>
      </w:r>
      <w:r w:rsidRPr="00075492">
        <w:t>godkännande eller ett godkännande av ett egenkontrollprogram kan förors</w:t>
      </w:r>
      <w:r w:rsidRPr="00075492">
        <w:t>a</w:t>
      </w:r>
      <w:r w:rsidRPr="00075492">
        <w:t>ka ett stort arbete hos tillsynsmyndigheterna. Inom animalieområdet ska avgifterna mo</w:t>
      </w:r>
      <w:r w:rsidRPr="00075492">
        <w:t>t</w:t>
      </w:r>
      <w:r w:rsidRPr="00075492">
        <w:t>svara full kostnadstäckning.</w:t>
      </w:r>
    </w:p>
    <w:p w:rsidR="00547E7E" w:rsidRPr="00075492" w:rsidRDefault="00547E7E">
      <w:pPr>
        <w:pStyle w:val="Normaltindrag"/>
      </w:pPr>
      <w:r w:rsidRPr="00075492">
        <w:t>Kommunerna överför 15 % av sina avgiftsintäkter från de årliga tillsyn</w:t>
      </w:r>
      <w:r w:rsidRPr="00075492">
        <w:t>s</w:t>
      </w:r>
      <w:r w:rsidRPr="00075492">
        <w:t>avgifterna till Livsmedelsverket. Kommunerna svarar således för uppbörd av avgifter som överförs till staten.</w:t>
      </w:r>
    </w:p>
    <w:p w:rsidR="00547E7E" w:rsidRPr="00075492" w:rsidRDefault="00547E7E">
      <w:pPr>
        <w:pStyle w:val="Normaltindrag"/>
        <w:ind w:firstLine="0"/>
      </w:pPr>
    </w:p>
    <w:p w:rsidR="00547E7E" w:rsidRPr="00075492" w:rsidRDefault="00547E7E">
      <w:pPr>
        <w:pStyle w:val="Normaltindrag"/>
        <w:numPr>
          <w:ilvl w:val="0"/>
          <w:numId w:val="212"/>
        </w:numPr>
      </w:pPr>
      <w:r w:rsidRPr="00075492">
        <w:t>Effekter av avgiftssystemet</w:t>
      </w:r>
    </w:p>
    <w:p w:rsidR="00547E7E" w:rsidRPr="00075492" w:rsidRDefault="00547E7E">
      <w:pPr>
        <w:pStyle w:val="Normaltindrag"/>
        <w:ind w:firstLine="0"/>
      </w:pPr>
    </w:p>
    <w:p w:rsidR="00547E7E" w:rsidRPr="00075492" w:rsidRDefault="00547E7E">
      <w:pPr>
        <w:pStyle w:val="Normaltindrag"/>
        <w:ind w:firstLine="0"/>
      </w:pPr>
      <w:r w:rsidRPr="00075492">
        <w:t xml:space="preserve">Det finns exempel på att avgiftssystemet i vissa fall påverkar prioriteringen av tillsynsinsatser. Vilka möjligheter som finns att ta ut avgifter av olika verksamhetsutövare påverkar då tillsynsplan och val av objekt. </w:t>
      </w:r>
    </w:p>
    <w:p w:rsidR="00547E7E" w:rsidRPr="00075492" w:rsidRDefault="00547E7E">
      <w:pPr>
        <w:pStyle w:val="Normaltindrag"/>
      </w:pPr>
      <w:r w:rsidRPr="00075492">
        <w:t xml:space="preserve">Enligt livsmedelslagen får tillsynsmyndigheten ta ut avgift för uppföljning av prov som lett till anmärkning. Tillsynsmyndigheten kan inte ta ut avgift för återbesök om inget prov har tagits. Därmed saknas möjligheter att ta ut avgift för återbesök som föranleds av alla andra brister. </w:t>
      </w:r>
    </w:p>
    <w:p w:rsidR="00547E7E" w:rsidRPr="00075492" w:rsidRDefault="00547E7E">
      <w:pPr>
        <w:pStyle w:val="Normaltindrag"/>
      </w:pPr>
      <w:r w:rsidRPr="00075492">
        <w:t>Avgiftssystemet anses inte vara ”rättvist”. De verksamhetsutövare som har en fungerande egenkontroll och följer gällande regler betalar samma avgift som en annan verksamhetsutövare i samma bransch och samma storleksklass som inte följer gällande re</w:t>
      </w:r>
      <w:r w:rsidRPr="00075492">
        <w:t>g</w:t>
      </w:r>
      <w:r w:rsidRPr="00075492">
        <w:t xml:space="preserve">ler. </w:t>
      </w:r>
    </w:p>
    <w:p w:rsidR="00547E7E" w:rsidRPr="00075492" w:rsidRDefault="00547E7E">
      <w:pPr>
        <w:pStyle w:val="Normaltindrag"/>
      </w:pPr>
      <w:r w:rsidRPr="00075492">
        <w:t>De avgifter som framförallt kommunerna tar ut, t.ex. årlig tillsynsavgift, avgift för prövning av tillstånd och godkännande av lokal, har inte höjts sedan 1994, vilket kan motverka en ökad tillsynsfr</w:t>
      </w:r>
      <w:r w:rsidRPr="00075492">
        <w:t>e</w:t>
      </w:r>
      <w:r w:rsidRPr="00075492">
        <w:t xml:space="preserve">kvens. </w:t>
      </w:r>
    </w:p>
    <w:p w:rsidR="00547E7E" w:rsidRPr="00075492" w:rsidRDefault="00547E7E">
      <w:pPr>
        <w:pStyle w:val="Normaltindrag"/>
      </w:pPr>
      <w:r w:rsidRPr="00075492">
        <w:t>Ett flertal kommuner är kritiska mot att kommunerna inte själva får fas</w:t>
      </w:r>
      <w:r w:rsidRPr="00075492">
        <w:t>t</w:t>
      </w:r>
      <w:r w:rsidRPr="00075492">
        <w:t>ställa avgifter för tillsynsverksamheten. Kommunerna har olika kostnader, vilket borde avspeglas i avgiftsuttaget. Om uppgiften att fastställa avgifter för livsmedelstillsynen decentraliseras skulle avgifter för all myndighetsu</w:t>
      </w:r>
      <w:r w:rsidRPr="00075492">
        <w:t>t</w:t>
      </w:r>
      <w:r w:rsidRPr="00075492">
        <w:t>övning inom miljö- och hälsoskyddsnämnden eller motsvarande fastställas av respektive kommun. Tillämpningen skulle då bli mer enhetlig inom varje ko</w:t>
      </w:r>
      <w:r w:rsidRPr="00075492">
        <w:t>m</w:t>
      </w:r>
      <w:r w:rsidRPr="00075492">
        <w:t>mun.</w:t>
      </w:r>
    </w:p>
    <w:p w:rsidR="00547E7E" w:rsidRPr="00075492" w:rsidRDefault="00547E7E">
      <w:pPr>
        <w:pStyle w:val="Normaltindrag"/>
        <w:ind w:firstLine="0"/>
      </w:pPr>
    </w:p>
    <w:p w:rsidR="00547E7E" w:rsidRPr="00075492" w:rsidRDefault="00547E7E">
      <w:pPr>
        <w:pStyle w:val="Normaltindrag"/>
        <w:ind w:firstLine="0"/>
      </w:pPr>
      <w:r w:rsidRPr="00075492">
        <w:t>Överlag finns en samstämmighet mellan Livsmedelsverkets och kommune</w:t>
      </w:r>
      <w:r w:rsidRPr="00075492">
        <w:t>r</w:t>
      </w:r>
      <w:r w:rsidRPr="00075492">
        <w:t>nas synpunkter om de problem som finns med nuvarande finansiering och avgiftssystem. Meningarna är delade om vem som ska fastställa avgifterna. Livsmedelsverket har inte redovisat någon uppfattning om hur nuvarande avgiftssystem påverkar tillsynsfrekvensen eller prioritering av tillsynsinsa</w:t>
      </w:r>
      <w:r w:rsidRPr="00075492">
        <w:t>t</w:t>
      </w:r>
      <w:r w:rsidRPr="00075492">
        <w:t>ser.</w:t>
      </w:r>
    </w:p>
    <w:p w:rsidR="00547E7E" w:rsidRPr="00075492" w:rsidRDefault="00547E7E">
      <w:pPr>
        <w:pStyle w:val="Rubrik2"/>
      </w:pPr>
      <w:bookmarkStart w:id="605" w:name="_Toc532284544"/>
      <w:bookmarkStart w:id="606" w:name="_Toc532292111"/>
      <w:bookmarkStart w:id="607" w:name="_Toc84658"/>
      <w:bookmarkStart w:id="608" w:name="_Toc6634617"/>
      <w:bookmarkStart w:id="609" w:name="_Toc6637199"/>
      <w:r w:rsidRPr="00075492">
        <w:t>Sammanfattning</w:t>
      </w:r>
      <w:bookmarkEnd w:id="605"/>
      <w:bookmarkEnd w:id="606"/>
      <w:bookmarkEnd w:id="607"/>
      <w:bookmarkEnd w:id="608"/>
      <w:bookmarkEnd w:id="609"/>
    </w:p>
    <w:p w:rsidR="00547E7E" w:rsidRPr="00075492" w:rsidRDefault="00547E7E">
      <w:r w:rsidRPr="00075492">
        <w:t>Regeringens proposition och skrivelse som låg till grund för riksdagens beslut om finansiering av livsmedelstillsynen saknade principiella öve</w:t>
      </w:r>
      <w:r w:rsidRPr="00075492">
        <w:t>r</w:t>
      </w:r>
      <w:r w:rsidRPr="00075492">
        <w:t>väganden om vad som skulle finansieras med skatt respektive avgi</w:t>
      </w:r>
      <w:r w:rsidRPr="00075492">
        <w:t>f</w:t>
      </w:r>
      <w:r w:rsidRPr="00075492">
        <w:t xml:space="preserve">ter. </w:t>
      </w:r>
    </w:p>
    <w:p w:rsidR="00547E7E" w:rsidRPr="00075492" w:rsidRDefault="00547E7E">
      <w:pPr>
        <w:pStyle w:val="Normaltindrag"/>
        <w:ind w:right="84"/>
      </w:pPr>
      <w:r w:rsidRPr="00075492">
        <w:t>Nuvarande avgiftssystem är mycket komplicerat. Livsmedelsverket b</w:t>
      </w:r>
      <w:r w:rsidRPr="00075492">
        <w:t>e</w:t>
      </w:r>
      <w:r w:rsidRPr="00075492">
        <w:t>stämmer avgifternas storlek med vissa undantag. Totalt finns 14 olika a</w:t>
      </w:r>
      <w:r w:rsidRPr="00075492">
        <w:t>v</w:t>
      </w:r>
      <w:r w:rsidRPr="00075492">
        <w:t>gifter. Vissa avser prövning av tillstånd. Andra utgår för olika verksamheter med varierande avgiftsuttag enligt olika principer. I vissa fall eftersträvas full kostnadstäckning medan tillsynen i andra fall skattefinansieras. I vissa fall är det dessutom oklart på vilka grunder avgifterna ska tas ut. Den årliga avgiften som ska tas ut får användas till provtagning och undersökning. Begreppet undersökning har inte definierats. Livsmedel</w:t>
      </w:r>
      <w:r w:rsidRPr="00075492">
        <w:t xml:space="preserve">sverket har inte höjt de årliga tillsynsavgifterna sedan 1994. </w:t>
      </w:r>
    </w:p>
    <w:p w:rsidR="00547E7E" w:rsidRPr="00075492" w:rsidRDefault="00547E7E">
      <w:pPr>
        <w:pStyle w:val="Normaltindrag"/>
      </w:pPr>
      <w:r w:rsidRPr="00075492">
        <w:t>Finansieringssystemet har beskrivits som ett ”svåröverskådlig lappverk av skatt och avgifter med olika principer för avgiftsuttag, otydlig redovisning av bakomliggande kostnader och varierande avgiftsuttag”</w:t>
      </w:r>
      <w:r w:rsidRPr="00075492">
        <w:rPr>
          <w:rStyle w:val="Fotnotsreferens"/>
        </w:rPr>
        <w:footnoteReference w:id="58"/>
      </w:r>
      <w:r w:rsidRPr="00075492">
        <w:t>.</w:t>
      </w:r>
    </w:p>
    <w:p w:rsidR="00547E7E" w:rsidRPr="00075492" w:rsidRDefault="00547E7E">
      <w:pPr>
        <w:pStyle w:val="Normaltindrag"/>
      </w:pPr>
      <w:r w:rsidRPr="00075492">
        <w:t>Betydande negativa effekter av systemet har redovisats. Exempelvis finns det en risk för att avgiftssystemet i vissa fall kan påverka prioriteringen av tillsynsinsatser. Vilka möjligheter som finns att ta ut avgifter av olika ver</w:t>
      </w:r>
      <w:r w:rsidRPr="00075492">
        <w:t>k</w:t>
      </w:r>
      <w:r w:rsidRPr="00075492">
        <w:t>samhetsutövare kan då påverka tillsynsplan och val av objekt.</w:t>
      </w:r>
    </w:p>
    <w:p w:rsidR="00547E7E" w:rsidRPr="00075492" w:rsidRDefault="00547E7E">
      <w:pPr>
        <w:pStyle w:val="Normaltindrag"/>
      </w:pPr>
      <w:r w:rsidRPr="00075492">
        <w:t>Enligt livsmedelslagen får tillsynsmyndigheten ta ut avgift för uppföljning av prov som lett till anmärkning. Tillsynsmyndigheten kan inte ta ut avgift för återbesök om inget prov har tagits. Därmed saknas möjligheter att ta ut avgift för återbesök som föranleds av alla andra brister.</w:t>
      </w:r>
    </w:p>
    <w:p w:rsidR="00547E7E" w:rsidRPr="00075492" w:rsidRDefault="00547E7E">
      <w:pPr>
        <w:pStyle w:val="Normaltindrag"/>
      </w:pPr>
      <w:r w:rsidRPr="00075492">
        <w:t>Avgiftssystemet anses inte vara ”rättvist”. De verksamhetsutövare som har en fungerande egenkontroll och följer gällande regler betalar samma avgift som de verksamhetsutövare i samma bransch och storleksklass som inte följer gällande re</w:t>
      </w:r>
      <w:r w:rsidRPr="00075492">
        <w:t>g</w:t>
      </w:r>
      <w:r w:rsidRPr="00075492">
        <w:t>ler.</w:t>
      </w:r>
    </w:p>
    <w:p w:rsidR="00547E7E" w:rsidRPr="00075492" w:rsidRDefault="00547E7E">
      <w:pPr>
        <w:pStyle w:val="Normaltindrag"/>
      </w:pPr>
      <w:r w:rsidRPr="00075492">
        <w:t>Olika utredningar har genomförts avseende finansieringssystemet. Utre</w:t>
      </w:r>
      <w:r w:rsidRPr="00075492">
        <w:t>d</w:t>
      </w:r>
      <w:r w:rsidRPr="00075492">
        <w:t>ningen om livsmedelstillsynen i Sverige föreslog att finansieringen i huvu</w:t>
      </w:r>
      <w:r w:rsidRPr="00075492">
        <w:t>d</w:t>
      </w:r>
      <w:r w:rsidRPr="00075492">
        <w:t>sak skulle baseras på avgifter. Förslaget grundades på en principiell geno</w:t>
      </w:r>
      <w:r w:rsidRPr="00075492">
        <w:t>m</w:t>
      </w:r>
      <w:r w:rsidRPr="00075492">
        <w:t>gång av vilka uppgifter som skulle finansieras via skatt och via avgifter.</w:t>
      </w:r>
    </w:p>
    <w:p w:rsidR="00547E7E" w:rsidRPr="00075492" w:rsidRDefault="00547E7E">
      <w:pPr>
        <w:pStyle w:val="Normaltindrag"/>
      </w:pPr>
      <w:r w:rsidRPr="00075492">
        <w:t>Livsmedelsverket har i en annan utredning år 2000 föreslagit en i huvu</w:t>
      </w:r>
      <w:r w:rsidRPr="00075492">
        <w:t>d</w:t>
      </w:r>
      <w:r w:rsidRPr="00075492">
        <w:t xml:space="preserve">sak anslagsfinansierad tillsyn. </w:t>
      </w:r>
    </w:p>
    <w:p w:rsidR="00547E7E" w:rsidRPr="00075492" w:rsidRDefault="00547E7E">
      <w:pPr>
        <w:pStyle w:val="Normaltindrag"/>
      </w:pPr>
      <w:r w:rsidRPr="00075492">
        <w:t xml:space="preserve">Regeringen har inte fattat något beslut i frågan. </w:t>
      </w:r>
    </w:p>
    <w:p w:rsidR="00547E7E" w:rsidRPr="00075492" w:rsidRDefault="00547E7E">
      <w:pPr>
        <w:pStyle w:val="Normaltindrag"/>
      </w:pPr>
    </w:p>
    <w:p w:rsidR="00547E7E" w:rsidRPr="00075492" w:rsidRDefault="00547E7E">
      <w:pPr>
        <w:pStyle w:val="Rubrik1"/>
      </w:pPr>
      <w:r w:rsidRPr="00075492">
        <w:br w:type="page"/>
      </w:r>
      <w:bookmarkStart w:id="610" w:name="_Toc532284545"/>
      <w:bookmarkStart w:id="611" w:name="_Toc532292112"/>
      <w:bookmarkStart w:id="612" w:name="_Toc84659"/>
      <w:bookmarkStart w:id="613" w:name="_Toc6634618"/>
      <w:bookmarkStart w:id="614" w:name="_Toc6637200"/>
      <w:r w:rsidRPr="00075492">
        <w:t>Kostnader och intäkter för tillsynsmyndigheterna</w:t>
      </w:r>
      <w:bookmarkEnd w:id="610"/>
      <w:bookmarkEnd w:id="611"/>
      <w:bookmarkEnd w:id="612"/>
      <w:bookmarkEnd w:id="613"/>
      <w:bookmarkEnd w:id="614"/>
    </w:p>
    <w:p w:rsidR="00547E7E" w:rsidRPr="00075492" w:rsidRDefault="00547E7E">
      <w:pPr>
        <w:pStyle w:val="Rubrik2"/>
      </w:pPr>
      <w:bookmarkStart w:id="615" w:name="_Toc532284546"/>
      <w:bookmarkStart w:id="616" w:name="_Toc532292113"/>
      <w:bookmarkStart w:id="617" w:name="_Toc84660"/>
      <w:bookmarkStart w:id="618" w:name="_Toc6634619"/>
      <w:bookmarkStart w:id="619" w:name="_Toc6637201"/>
      <w:r w:rsidRPr="00075492">
        <w:t>Inledning</w:t>
      </w:r>
      <w:bookmarkEnd w:id="615"/>
      <w:bookmarkEnd w:id="616"/>
      <w:bookmarkEnd w:id="617"/>
      <w:bookmarkEnd w:id="618"/>
      <w:bookmarkEnd w:id="619"/>
    </w:p>
    <w:p w:rsidR="00547E7E" w:rsidRPr="00075492" w:rsidRDefault="00547E7E">
      <w:r w:rsidRPr="00075492">
        <w:t xml:space="preserve">Detta kapitel syftar till att redovisa tillsynsmyndigheternas kostnader och intäkter för livsmedelstillsynen. </w:t>
      </w:r>
    </w:p>
    <w:p w:rsidR="00547E7E" w:rsidRPr="00075492" w:rsidRDefault="00547E7E">
      <w:pPr>
        <w:pStyle w:val="Rubrik2"/>
      </w:pPr>
      <w:bookmarkStart w:id="620" w:name="_Toc532284547"/>
      <w:bookmarkStart w:id="621" w:name="_Toc532292114"/>
      <w:bookmarkStart w:id="622" w:name="_Toc84661"/>
      <w:bookmarkStart w:id="623" w:name="_Toc6634620"/>
      <w:bookmarkStart w:id="624" w:name="_Toc6637202"/>
      <w:r w:rsidRPr="00075492">
        <w:t>Livsmedelsverket</w:t>
      </w:r>
      <w:bookmarkEnd w:id="620"/>
      <w:bookmarkEnd w:id="621"/>
      <w:bookmarkEnd w:id="622"/>
      <w:bookmarkEnd w:id="623"/>
      <w:bookmarkEnd w:id="624"/>
    </w:p>
    <w:p w:rsidR="00547E7E" w:rsidRPr="00075492" w:rsidRDefault="00547E7E">
      <w:r w:rsidRPr="00075492">
        <w:t>Livsmedelsverkets tillsynsverksamhet finansieras dels med anslag, dels med avgifter. Livsmedelsverkets samlade finansiering fra</w:t>
      </w:r>
      <w:r w:rsidRPr="00075492">
        <w:t>m</w:t>
      </w:r>
      <w:r w:rsidRPr="00075492">
        <w:t xml:space="preserve">går av avsnitt 5.3. </w:t>
      </w:r>
    </w:p>
    <w:p w:rsidR="00547E7E" w:rsidRPr="00075492" w:rsidRDefault="00547E7E">
      <w:pPr>
        <w:pStyle w:val="Normaltindrag"/>
        <w:jc w:val="left"/>
      </w:pPr>
      <w:r w:rsidRPr="00075492">
        <w:t xml:space="preserve">Kostnader och intäkter för Livsmedelsverkets tillsyn redovisas i tabell 12. De omfattar dels verkets insatser för ledning och samordning av de lokala tillsynsmyndigheterna, dels verkets egna tillsynsaktiviteter inklusive BVO samt olika typer av kontroller. </w:t>
      </w:r>
    </w:p>
    <w:p w:rsidR="00547E7E" w:rsidRPr="00075492" w:rsidRDefault="00547E7E">
      <w:pPr>
        <w:pStyle w:val="Beskrivning"/>
      </w:pPr>
      <w:r w:rsidRPr="00075492">
        <w:t xml:space="preserve">Tabell </w:t>
      </w:r>
      <w:r w:rsidRPr="00075492">
        <w:t>12</w:t>
      </w:r>
      <w:r w:rsidRPr="00075492">
        <w:t xml:space="preserve"> Livsmedelsverkets kostnader och intäkter för tillsyn, inkl. BVO (tkr)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67"/>
        <w:gridCol w:w="567"/>
        <w:gridCol w:w="567"/>
        <w:gridCol w:w="567"/>
        <w:gridCol w:w="567"/>
        <w:gridCol w:w="567"/>
        <w:gridCol w:w="567"/>
        <w:gridCol w:w="573"/>
      </w:tblGrid>
      <w:tr w:rsidR="00000000" w:rsidRPr="00075492">
        <w:tblPrEx>
          <w:tblCellMar>
            <w:top w:w="0" w:type="dxa"/>
            <w:bottom w:w="0" w:type="dxa"/>
          </w:tblCellMar>
        </w:tblPrEx>
        <w:trPr>
          <w:cantSplit/>
        </w:trPr>
        <w:tc>
          <w:tcPr>
            <w:tcW w:w="1488" w:type="dxa"/>
            <w:tcBorders>
              <w:top w:val="single" w:sz="4" w:space="0" w:color="auto"/>
              <w:left w:val="single" w:sz="4" w:space="0" w:color="auto"/>
              <w:bottom w:val="nil"/>
            </w:tcBorders>
            <w:shd w:val="pct20" w:color="auto" w:fill="FFFFFF"/>
            <w:vAlign w:val="center"/>
          </w:tcPr>
          <w:p w:rsidR="00547E7E" w:rsidRPr="00075492" w:rsidRDefault="00547E7E">
            <w:pPr>
              <w:pStyle w:val="Tabell"/>
              <w:rPr>
                <w:b/>
              </w:rPr>
            </w:pPr>
            <w:r w:rsidRPr="00075492">
              <w:rPr>
                <w:b/>
              </w:rPr>
              <w:t>Resultatomr</w:t>
            </w:r>
            <w:r w:rsidRPr="00075492">
              <w:rPr>
                <w:b/>
              </w:rPr>
              <w:t>å</w:t>
            </w:r>
            <w:r w:rsidRPr="00075492">
              <w:rPr>
                <w:b/>
              </w:rPr>
              <w:t>de</w:t>
            </w:r>
          </w:p>
        </w:tc>
        <w:tc>
          <w:tcPr>
            <w:tcW w:w="2268" w:type="dxa"/>
            <w:gridSpan w:val="4"/>
            <w:tcBorders>
              <w:top w:val="single" w:sz="4" w:space="0" w:color="auto"/>
              <w:bottom w:val="nil"/>
              <w:right w:val="nil"/>
            </w:tcBorders>
            <w:shd w:val="pct20" w:color="auto" w:fill="FFFFFF"/>
          </w:tcPr>
          <w:p w:rsidR="00547E7E" w:rsidRPr="00075492" w:rsidRDefault="00547E7E">
            <w:pPr>
              <w:pStyle w:val="Tabell"/>
              <w:jc w:val="left"/>
              <w:rPr>
                <w:b/>
              </w:rPr>
            </w:pPr>
            <w:r w:rsidRPr="00075492">
              <w:rPr>
                <w:b/>
              </w:rPr>
              <w:t>Kostnader</w:t>
            </w:r>
          </w:p>
        </w:tc>
        <w:tc>
          <w:tcPr>
            <w:tcW w:w="2274" w:type="dxa"/>
            <w:gridSpan w:val="4"/>
            <w:tcBorders>
              <w:top w:val="single" w:sz="4" w:space="0" w:color="auto"/>
              <w:left w:val="single" w:sz="18" w:space="0" w:color="auto"/>
              <w:bottom w:val="nil"/>
              <w:right w:val="single" w:sz="18" w:space="0" w:color="auto"/>
            </w:tcBorders>
            <w:shd w:val="pct20" w:color="auto" w:fill="FFFFFF"/>
          </w:tcPr>
          <w:p w:rsidR="00547E7E" w:rsidRPr="00075492" w:rsidRDefault="00547E7E">
            <w:pPr>
              <w:pStyle w:val="Tabell"/>
              <w:jc w:val="left"/>
              <w:rPr>
                <w:b/>
              </w:rPr>
            </w:pPr>
            <w:r w:rsidRPr="00075492">
              <w:rPr>
                <w:b/>
              </w:rPr>
              <w:t>Intäkter utöver anslag</w:t>
            </w:r>
          </w:p>
        </w:tc>
      </w:tr>
      <w:tr w:rsidR="00000000" w:rsidRPr="00075492">
        <w:tblPrEx>
          <w:tblCellMar>
            <w:top w:w="0" w:type="dxa"/>
            <w:bottom w:w="0" w:type="dxa"/>
          </w:tblCellMar>
        </w:tblPrEx>
        <w:tc>
          <w:tcPr>
            <w:tcW w:w="1488" w:type="dxa"/>
            <w:tcBorders>
              <w:left w:val="single" w:sz="4" w:space="0" w:color="auto"/>
            </w:tcBorders>
            <w:shd w:val="pct10" w:color="auto" w:fill="FFFFFF"/>
          </w:tcPr>
          <w:p w:rsidR="00547E7E" w:rsidRPr="00075492" w:rsidRDefault="00547E7E">
            <w:pPr>
              <w:pStyle w:val="Tabell"/>
            </w:pPr>
          </w:p>
        </w:tc>
        <w:tc>
          <w:tcPr>
            <w:tcW w:w="567" w:type="dxa"/>
            <w:shd w:val="pct10" w:color="auto" w:fill="FFFFFF"/>
            <w:vAlign w:val="center"/>
          </w:tcPr>
          <w:p w:rsidR="00547E7E" w:rsidRPr="00075492" w:rsidRDefault="00547E7E">
            <w:pPr>
              <w:pStyle w:val="Tabell"/>
              <w:jc w:val="center"/>
            </w:pPr>
            <w:r w:rsidRPr="00075492">
              <w:t>1997</w:t>
            </w:r>
          </w:p>
        </w:tc>
        <w:tc>
          <w:tcPr>
            <w:tcW w:w="567" w:type="dxa"/>
            <w:shd w:val="pct10" w:color="auto" w:fill="FFFFFF"/>
            <w:vAlign w:val="center"/>
          </w:tcPr>
          <w:p w:rsidR="00547E7E" w:rsidRPr="00075492" w:rsidRDefault="00547E7E">
            <w:pPr>
              <w:pStyle w:val="Tabell"/>
              <w:jc w:val="center"/>
            </w:pPr>
            <w:r w:rsidRPr="00075492">
              <w:t>1998</w:t>
            </w:r>
          </w:p>
        </w:tc>
        <w:tc>
          <w:tcPr>
            <w:tcW w:w="567" w:type="dxa"/>
            <w:shd w:val="pct10" w:color="auto" w:fill="FFFFFF"/>
            <w:vAlign w:val="center"/>
          </w:tcPr>
          <w:p w:rsidR="00547E7E" w:rsidRPr="00075492" w:rsidRDefault="00547E7E">
            <w:pPr>
              <w:pStyle w:val="Tabell"/>
              <w:jc w:val="center"/>
            </w:pPr>
            <w:r w:rsidRPr="00075492">
              <w:t>1999</w:t>
            </w:r>
          </w:p>
        </w:tc>
        <w:tc>
          <w:tcPr>
            <w:tcW w:w="567" w:type="dxa"/>
            <w:tcBorders>
              <w:right w:val="nil"/>
            </w:tcBorders>
            <w:shd w:val="pct10" w:color="auto" w:fill="FFFFFF"/>
            <w:vAlign w:val="center"/>
          </w:tcPr>
          <w:p w:rsidR="00547E7E" w:rsidRPr="00075492" w:rsidRDefault="00547E7E">
            <w:pPr>
              <w:pStyle w:val="Tabell"/>
              <w:jc w:val="center"/>
            </w:pPr>
            <w:r w:rsidRPr="00075492">
              <w:t>2000</w:t>
            </w:r>
          </w:p>
        </w:tc>
        <w:tc>
          <w:tcPr>
            <w:tcW w:w="567" w:type="dxa"/>
            <w:tcBorders>
              <w:left w:val="single" w:sz="18" w:space="0" w:color="auto"/>
            </w:tcBorders>
            <w:shd w:val="pct10" w:color="auto" w:fill="FFFFFF"/>
            <w:vAlign w:val="center"/>
          </w:tcPr>
          <w:p w:rsidR="00547E7E" w:rsidRPr="00075492" w:rsidRDefault="00547E7E">
            <w:pPr>
              <w:pStyle w:val="Tabell"/>
              <w:jc w:val="center"/>
            </w:pPr>
            <w:r w:rsidRPr="00075492">
              <w:t>1997</w:t>
            </w:r>
          </w:p>
        </w:tc>
        <w:tc>
          <w:tcPr>
            <w:tcW w:w="567" w:type="dxa"/>
            <w:shd w:val="pct10" w:color="auto" w:fill="FFFFFF"/>
            <w:vAlign w:val="center"/>
          </w:tcPr>
          <w:p w:rsidR="00547E7E" w:rsidRPr="00075492" w:rsidRDefault="00547E7E">
            <w:pPr>
              <w:pStyle w:val="Tabell"/>
              <w:jc w:val="center"/>
            </w:pPr>
            <w:r w:rsidRPr="00075492">
              <w:t>1998</w:t>
            </w:r>
          </w:p>
        </w:tc>
        <w:tc>
          <w:tcPr>
            <w:tcW w:w="567" w:type="dxa"/>
            <w:shd w:val="pct10" w:color="auto" w:fill="FFFFFF"/>
            <w:vAlign w:val="center"/>
          </w:tcPr>
          <w:p w:rsidR="00547E7E" w:rsidRPr="00075492" w:rsidRDefault="00547E7E">
            <w:pPr>
              <w:pStyle w:val="Tabell"/>
              <w:jc w:val="center"/>
            </w:pPr>
            <w:r w:rsidRPr="00075492">
              <w:t>1999</w:t>
            </w:r>
          </w:p>
        </w:tc>
        <w:tc>
          <w:tcPr>
            <w:tcW w:w="573" w:type="dxa"/>
            <w:tcBorders>
              <w:right w:val="single" w:sz="18" w:space="0" w:color="auto"/>
            </w:tcBorders>
            <w:shd w:val="pct10" w:color="auto" w:fill="FFFFFF"/>
            <w:vAlign w:val="center"/>
          </w:tcPr>
          <w:p w:rsidR="00547E7E" w:rsidRPr="00075492" w:rsidRDefault="00547E7E">
            <w:pPr>
              <w:pStyle w:val="Tabell"/>
              <w:jc w:val="center"/>
            </w:pPr>
            <w:r w:rsidRPr="00075492">
              <w:t>2000</w:t>
            </w:r>
          </w:p>
        </w:tc>
      </w:tr>
      <w:tr w:rsidR="00000000" w:rsidRPr="00075492">
        <w:tblPrEx>
          <w:tblCellMar>
            <w:top w:w="0" w:type="dxa"/>
            <w:bottom w:w="0" w:type="dxa"/>
          </w:tblCellMar>
        </w:tblPrEx>
        <w:tc>
          <w:tcPr>
            <w:tcW w:w="1488" w:type="dxa"/>
            <w:tcBorders>
              <w:left w:val="single" w:sz="4" w:space="0" w:color="auto"/>
            </w:tcBorders>
            <w:vAlign w:val="center"/>
          </w:tcPr>
          <w:p w:rsidR="00547E7E" w:rsidRPr="00075492" w:rsidRDefault="00547E7E">
            <w:pPr>
              <w:pStyle w:val="Tabell"/>
              <w:jc w:val="left"/>
              <w:rPr>
                <w:sz w:val="16"/>
              </w:rPr>
            </w:pPr>
            <w:r w:rsidRPr="00075492">
              <w:rPr>
                <w:sz w:val="16"/>
              </w:rPr>
              <w:t>Besiktningsveter</w:t>
            </w:r>
            <w:r w:rsidRPr="00075492">
              <w:rPr>
                <w:sz w:val="16"/>
              </w:rPr>
              <w:t>i</w:t>
            </w:r>
            <w:r w:rsidRPr="00075492">
              <w:rPr>
                <w:sz w:val="16"/>
              </w:rPr>
              <w:t>närsorganisationen (BVO)  *</w:t>
            </w:r>
          </w:p>
        </w:tc>
        <w:tc>
          <w:tcPr>
            <w:tcW w:w="567" w:type="dxa"/>
            <w:vAlign w:val="center"/>
          </w:tcPr>
          <w:p w:rsidR="00547E7E" w:rsidRPr="00075492" w:rsidRDefault="00547E7E">
            <w:pPr>
              <w:pStyle w:val="Tabell"/>
              <w:ind w:left="-70" w:right="-70"/>
              <w:jc w:val="center"/>
              <w:rPr>
                <w:sz w:val="16"/>
              </w:rPr>
            </w:pPr>
            <w:r w:rsidRPr="00075492">
              <w:rPr>
                <w:sz w:val="16"/>
              </w:rPr>
              <w:t>92 870</w:t>
            </w:r>
          </w:p>
        </w:tc>
        <w:tc>
          <w:tcPr>
            <w:tcW w:w="567" w:type="dxa"/>
            <w:vAlign w:val="center"/>
          </w:tcPr>
          <w:p w:rsidR="00547E7E" w:rsidRPr="00075492" w:rsidRDefault="00547E7E">
            <w:pPr>
              <w:pStyle w:val="Tabell"/>
              <w:ind w:left="-70" w:right="-70"/>
              <w:jc w:val="center"/>
              <w:rPr>
                <w:sz w:val="16"/>
              </w:rPr>
            </w:pPr>
            <w:r w:rsidRPr="00075492">
              <w:rPr>
                <w:sz w:val="16"/>
              </w:rPr>
              <w:t>100 268</w:t>
            </w:r>
          </w:p>
        </w:tc>
        <w:tc>
          <w:tcPr>
            <w:tcW w:w="567" w:type="dxa"/>
            <w:vAlign w:val="center"/>
          </w:tcPr>
          <w:p w:rsidR="00547E7E" w:rsidRPr="00075492" w:rsidRDefault="00547E7E">
            <w:pPr>
              <w:pStyle w:val="Tabell"/>
              <w:ind w:left="-70" w:right="-70"/>
              <w:jc w:val="center"/>
              <w:rPr>
                <w:sz w:val="16"/>
              </w:rPr>
            </w:pPr>
            <w:r w:rsidRPr="00075492">
              <w:rPr>
                <w:sz w:val="16"/>
              </w:rPr>
              <w:t>96 005</w:t>
            </w:r>
          </w:p>
        </w:tc>
        <w:tc>
          <w:tcPr>
            <w:tcW w:w="567" w:type="dxa"/>
            <w:tcBorders>
              <w:right w:val="nil"/>
            </w:tcBorders>
            <w:vAlign w:val="center"/>
          </w:tcPr>
          <w:p w:rsidR="00547E7E" w:rsidRPr="00075492" w:rsidRDefault="00547E7E">
            <w:pPr>
              <w:pStyle w:val="Tabell"/>
              <w:ind w:left="-70" w:right="-70"/>
              <w:jc w:val="center"/>
              <w:rPr>
                <w:sz w:val="16"/>
              </w:rPr>
            </w:pPr>
            <w:r w:rsidRPr="00075492">
              <w:rPr>
                <w:sz w:val="16"/>
              </w:rPr>
              <w:t>101 871</w:t>
            </w:r>
          </w:p>
        </w:tc>
        <w:tc>
          <w:tcPr>
            <w:tcW w:w="567" w:type="dxa"/>
            <w:tcBorders>
              <w:left w:val="single" w:sz="18" w:space="0" w:color="auto"/>
            </w:tcBorders>
            <w:vAlign w:val="center"/>
          </w:tcPr>
          <w:p w:rsidR="00547E7E" w:rsidRPr="00075492" w:rsidRDefault="00547E7E">
            <w:pPr>
              <w:pStyle w:val="Tabell"/>
              <w:ind w:left="-70" w:right="-70"/>
              <w:jc w:val="center"/>
              <w:rPr>
                <w:sz w:val="16"/>
              </w:rPr>
            </w:pPr>
            <w:r w:rsidRPr="00075492">
              <w:rPr>
                <w:sz w:val="16"/>
              </w:rPr>
              <w:t>97 120</w:t>
            </w:r>
          </w:p>
        </w:tc>
        <w:tc>
          <w:tcPr>
            <w:tcW w:w="567" w:type="dxa"/>
            <w:vAlign w:val="center"/>
          </w:tcPr>
          <w:p w:rsidR="00547E7E" w:rsidRPr="00075492" w:rsidRDefault="00547E7E">
            <w:pPr>
              <w:pStyle w:val="Tabell"/>
              <w:ind w:left="-70" w:right="-70"/>
              <w:jc w:val="center"/>
              <w:rPr>
                <w:sz w:val="16"/>
              </w:rPr>
            </w:pPr>
            <w:r w:rsidRPr="00075492">
              <w:rPr>
                <w:sz w:val="16"/>
              </w:rPr>
              <w:t>105 838</w:t>
            </w:r>
          </w:p>
        </w:tc>
        <w:tc>
          <w:tcPr>
            <w:tcW w:w="567" w:type="dxa"/>
            <w:vAlign w:val="center"/>
          </w:tcPr>
          <w:p w:rsidR="00547E7E" w:rsidRPr="00075492" w:rsidRDefault="00547E7E">
            <w:pPr>
              <w:pStyle w:val="Tabell"/>
              <w:ind w:left="-70" w:right="-70"/>
              <w:jc w:val="center"/>
              <w:rPr>
                <w:sz w:val="16"/>
              </w:rPr>
            </w:pPr>
            <w:r w:rsidRPr="00075492">
              <w:rPr>
                <w:sz w:val="16"/>
              </w:rPr>
              <w:t>97 185</w:t>
            </w:r>
          </w:p>
        </w:tc>
        <w:tc>
          <w:tcPr>
            <w:tcW w:w="573" w:type="dxa"/>
            <w:tcBorders>
              <w:right w:val="single" w:sz="18" w:space="0" w:color="auto"/>
            </w:tcBorders>
            <w:vAlign w:val="center"/>
          </w:tcPr>
          <w:p w:rsidR="00547E7E" w:rsidRPr="00075492" w:rsidRDefault="00547E7E">
            <w:pPr>
              <w:pStyle w:val="Tabell"/>
              <w:ind w:left="-70" w:right="-70"/>
              <w:jc w:val="center"/>
              <w:rPr>
                <w:sz w:val="16"/>
              </w:rPr>
            </w:pPr>
            <w:r w:rsidRPr="00075492">
              <w:rPr>
                <w:sz w:val="16"/>
              </w:rPr>
              <w:t>92 371</w:t>
            </w:r>
          </w:p>
        </w:tc>
      </w:tr>
      <w:tr w:rsidR="00000000" w:rsidRPr="00075492">
        <w:tblPrEx>
          <w:tblCellMar>
            <w:top w:w="0" w:type="dxa"/>
            <w:bottom w:w="0" w:type="dxa"/>
          </w:tblCellMar>
        </w:tblPrEx>
        <w:tc>
          <w:tcPr>
            <w:tcW w:w="1488" w:type="dxa"/>
            <w:tcBorders>
              <w:left w:val="single" w:sz="4" w:space="0" w:color="auto"/>
            </w:tcBorders>
            <w:vAlign w:val="center"/>
          </w:tcPr>
          <w:p w:rsidR="00547E7E" w:rsidRPr="00075492" w:rsidRDefault="00547E7E">
            <w:pPr>
              <w:pStyle w:val="Tabell"/>
              <w:jc w:val="left"/>
              <w:rPr>
                <w:sz w:val="16"/>
              </w:rPr>
            </w:pPr>
            <w:r w:rsidRPr="00075492">
              <w:rPr>
                <w:sz w:val="16"/>
              </w:rPr>
              <w:t>Samordning och stöd till lokala till-synsmyndigh</w:t>
            </w:r>
            <w:r w:rsidRPr="00075492">
              <w:rPr>
                <w:sz w:val="16"/>
              </w:rPr>
              <w:t>e</w:t>
            </w:r>
            <w:r w:rsidRPr="00075492">
              <w:rPr>
                <w:sz w:val="16"/>
              </w:rPr>
              <w:t>ter</w:t>
            </w:r>
          </w:p>
        </w:tc>
        <w:tc>
          <w:tcPr>
            <w:tcW w:w="567" w:type="dxa"/>
            <w:vAlign w:val="center"/>
          </w:tcPr>
          <w:p w:rsidR="00547E7E" w:rsidRPr="00075492" w:rsidRDefault="00547E7E">
            <w:pPr>
              <w:pStyle w:val="Tabell"/>
              <w:ind w:left="-70" w:right="-70"/>
              <w:jc w:val="center"/>
              <w:rPr>
                <w:sz w:val="16"/>
              </w:rPr>
            </w:pPr>
            <w:r w:rsidRPr="00075492">
              <w:rPr>
                <w:sz w:val="16"/>
              </w:rPr>
              <w:t>8 360</w:t>
            </w:r>
          </w:p>
        </w:tc>
        <w:tc>
          <w:tcPr>
            <w:tcW w:w="567" w:type="dxa"/>
            <w:vAlign w:val="center"/>
          </w:tcPr>
          <w:p w:rsidR="00547E7E" w:rsidRPr="00075492" w:rsidRDefault="00547E7E">
            <w:pPr>
              <w:pStyle w:val="Tabell"/>
              <w:ind w:left="-70" w:right="-70"/>
              <w:jc w:val="center"/>
              <w:rPr>
                <w:sz w:val="16"/>
              </w:rPr>
            </w:pPr>
            <w:r w:rsidRPr="00075492">
              <w:rPr>
                <w:sz w:val="16"/>
              </w:rPr>
              <w:t>12 950</w:t>
            </w:r>
          </w:p>
        </w:tc>
        <w:tc>
          <w:tcPr>
            <w:tcW w:w="567" w:type="dxa"/>
            <w:vAlign w:val="center"/>
          </w:tcPr>
          <w:p w:rsidR="00547E7E" w:rsidRPr="00075492" w:rsidRDefault="00547E7E">
            <w:pPr>
              <w:pStyle w:val="Tabell"/>
              <w:ind w:left="-70" w:right="-70"/>
              <w:jc w:val="center"/>
              <w:rPr>
                <w:sz w:val="16"/>
              </w:rPr>
            </w:pPr>
            <w:r w:rsidRPr="00075492">
              <w:rPr>
                <w:sz w:val="16"/>
              </w:rPr>
              <w:t>12 670</w:t>
            </w:r>
          </w:p>
        </w:tc>
        <w:tc>
          <w:tcPr>
            <w:tcW w:w="567" w:type="dxa"/>
            <w:tcBorders>
              <w:right w:val="nil"/>
            </w:tcBorders>
            <w:vAlign w:val="center"/>
          </w:tcPr>
          <w:p w:rsidR="00547E7E" w:rsidRPr="00075492" w:rsidRDefault="00547E7E">
            <w:pPr>
              <w:pStyle w:val="Tabell"/>
              <w:ind w:left="-70" w:right="-70"/>
              <w:jc w:val="center"/>
              <w:rPr>
                <w:sz w:val="16"/>
              </w:rPr>
            </w:pPr>
            <w:r w:rsidRPr="00075492">
              <w:rPr>
                <w:sz w:val="16"/>
              </w:rPr>
              <w:t>8 580</w:t>
            </w:r>
          </w:p>
        </w:tc>
        <w:tc>
          <w:tcPr>
            <w:tcW w:w="567" w:type="dxa"/>
            <w:tcBorders>
              <w:left w:val="single" w:sz="18" w:space="0" w:color="auto"/>
            </w:tcBorders>
            <w:vAlign w:val="center"/>
          </w:tcPr>
          <w:p w:rsidR="00547E7E" w:rsidRPr="00075492" w:rsidRDefault="00547E7E">
            <w:pPr>
              <w:pStyle w:val="Tabell"/>
              <w:ind w:left="-70" w:right="-70"/>
              <w:jc w:val="center"/>
              <w:rPr>
                <w:sz w:val="16"/>
              </w:rPr>
            </w:pPr>
            <w:r w:rsidRPr="00075492">
              <w:rPr>
                <w:sz w:val="16"/>
              </w:rPr>
              <w:t>13 690</w:t>
            </w:r>
          </w:p>
        </w:tc>
        <w:tc>
          <w:tcPr>
            <w:tcW w:w="567" w:type="dxa"/>
            <w:vAlign w:val="center"/>
          </w:tcPr>
          <w:p w:rsidR="00547E7E" w:rsidRPr="00075492" w:rsidRDefault="00547E7E">
            <w:pPr>
              <w:pStyle w:val="Tabell"/>
              <w:ind w:left="-70" w:right="-70"/>
              <w:jc w:val="center"/>
              <w:rPr>
                <w:sz w:val="16"/>
              </w:rPr>
            </w:pPr>
            <w:r w:rsidRPr="00075492">
              <w:rPr>
                <w:sz w:val="16"/>
              </w:rPr>
              <w:t>15 170</w:t>
            </w:r>
          </w:p>
        </w:tc>
        <w:tc>
          <w:tcPr>
            <w:tcW w:w="567" w:type="dxa"/>
            <w:vAlign w:val="center"/>
          </w:tcPr>
          <w:p w:rsidR="00547E7E" w:rsidRPr="00075492" w:rsidRDefault="00547E7E">
            <w:pPr>
              <w:pStyle w:val="Tabell"/>
              <w:ind w:left="-70" w:right="-70"/>
              <w:jc w:val="center"/>
              <w:rPr>
                <w:sz w:val="16"/>
              </w:rPr>
            </w:pPr>
            <w:r w:rsidRPr="00075492">
              <w:rPr>
                <w:sz w:val="16"/>
              </w:rPr>
              <w:t>14 580</w:t>
            </w:r>
          </w:p>
        </w:tc>
        <w:tc>
          <w:tcPr>
            <w:tcW w:w="573" w:type="dxa"/>
            <w:tcBorders>
              <w:right w:val="single" w:sz="18" w:space="0" w:color="auto"/>
            </w:tcBorders>
            <w:vAlign w:val="center"/>
          </w:tcPr>
          <w:p w:rsidR="00547E7E" w:rsidRPr="00075492" w:rsidRDefault="00547E7E">
            <w:pPr>
              <w:pStyle w:val="Tabell"/>
              <w:ind w:left="-70" w:right="-70"/>
              <w:jc w:val="center"/>
              <w:rPr>
                <w:sz w:val="16"/>
              </w:rPr>
            </w:pPr>
            <w:r w:rsidRPr="00075492">
              <w:rPr>
                <w:sz w:val="16"/>
              </w:rPr>
              <w:t>14 140</w:t>
            </w:r>
          </w:p>
        </w:tc>
      </w:tr>
      <w:tr w:rsidR="00000000" w:rsidRPr="00075492">
        <w:tblPrEx>
          <w:tblCellMar>
            <w:top w:w="0" w:type="dxa"/>
            <w:bottom w:w="0" w:type="dxa"/>
          </w:tblCellMar>
        </w:tblPrEx>
        <w:tc>
          <w:tcPr>
            <w:tcW w:w="1488" w:type="dxa"/>
            <w:tcBorders>
              <w:left w:val="single" w:sz="4" w:space="0" w:color="auto"/>
            </w:tcBorders>
            <w:vAlign w:val="center"/>
          </w:tcPr>
          <w:p w:rsidR="00547E7E" w:rsidRPr="00075492" w:rsidRDefault="00547E7E">
            <w:pPr>
              <w:pStyle w:val="Tabell"/>
              <w:jc w:val="left"/>
              <w:rPr>
                <w:sz w:val="16"/>
              </w:rPr>
            </w:pPr>
            <w:r w:rsidRPr="00075492">
              <w:rPr>
                <w:sz w:val="16"/>
              </w:rPr>
              <w:t>Tillsyn av livsm</w:t>
            </w:r>
            <w:r w:rsidRPr="00075492">
              <w:rPr>
                <w:sz w:val="16"/>
              </w:rPr>
              <w:t>e</w:t>
            </w:r>
            <w:r w:rsidRPr="00075492">
              <w:rPr>
                <w:sz w:val="16"/>
              </w:rPr>
              <w:t>delsanläggningar</w:t>
            </w:r>
          </w:p>
          <w:p w:rsidR="00547E7E" w:rsidRPr="00075492" w:rsidRDefault="00547E7E">
            <w:pPr>
              <w:pStyle w:val="Tabell"/>
              <w:jc w:val="left"/>
              <w:rPr>
                <w:sz w:val="16"/>
              </w:rPr>
            </w:pPr>
          </w:p>
        </w:tc>
        <w:tc>
          <w:tcPr>
            <w:tcW w:w="567" w:type="dxa"/>
            <w:vAlign w:val="center"/>
          </w:tcPr>
          <w:p w:rsidR="00547E7E" w:rsidRPr="00075492" w:rsidRDefault="00547E7E">
            <w:pPr>
              <w:pStyle w:val="Tabell"/>
              <w:ind w:left="-70" w:right="-70"/>
              <w:jc w:val="center"/>
              <w:rPr>
                <w:sz w:val="16"/>
              </w:rPr>
            </w:pPr>
            <w:r w:rsidRPr="00075492">
              <w:rPr>
                <w:sz w:val="16"/>
              </w:rPr>
              <w:t>15 980</w:t>
            </w:r>
          </w:p>
        </w:tc>
        <w:tc>
          <w:tcPr>
            <w:tcW w:w="567" w:type="dxa"/>
            <w:vAlign w:val="center"/>
          </w:tcPr>
          <w:p w:rsidR="00547E7E" w:rsidRPr="00075492" w:rsidRDefault="00547E7E">
            <w:pPr>
              <w:pStyle w:val="Tabell"/>
              <w:ind w:left="-70" w:right="-70"/>
              <w:jc w:val="center"/>
              <w:rPr>
                <w:sz w:val="16"/>
              </w:rPr>
            </w:pPr>
            <w:r w:rsidRPr="00075492">
              <w:rPr>
                <w:sz w:val="16"/>
              </w:rPr>
              <w:t>8 620</w:t>
            </w:r>
          </w:p>
        </w:tc>
        <w:tc>
          <w:tcPr>
            <w:tcW w:w="567" w:type="dxa"/>
            <w:vAlign w:val="center"/>
          </w:tcPr>
          <w:p w:rsidR="00547E7E" w:rsidRPr="00075492" w:rsidRDefault="00547E7E">
            <w:pPr>
              <w:pStyle w:val="Tabell"/>
              <w:ind w:left="-70" w:right="-70"/>
              <w:jc w:val="center"/>
              <w:rPr>
                <w:sz w:val="16"/>
              </w:rPr>
            </w:pPr>
            <w:r w:rsidRPr="00075492">
              <w:rPr>
                <w:sz w:val="16"/>
              </w:rPr>
              <w:t>10 120</w:t>
            </w:r>
          </w:p>
        </w:tc>
        <w:tc>
          <w:tcPr>
            <w:tcW w:w="567" w:type="dxa"/>
            <w:tcBorders>
              <w:right w:val="nil"/>
            </w:tcBorders>
            <w:vAlign w:val="center"/>
          </w:tcPr>
          <w:p w:rsidR="00547E7E" w:rsidRPr="00075492" w:rsidRDefault="00547E7E">
            <w:pPr>
              <w:pStyle w:val="Tabell"/>
              <w:ind w:left="-70" w:right="-70"/>
              <w:jc w:val="center"/>
              <w:rPr>
                <w:sz w:val="16"/>
              </w:rPr>
            </w:pPr>
            <w:r w:rsidRPr="00075492">
              <w:rPr>
                <w:sz w:val="16"/>
              </w:rPr>
              <w:t>8 830</w:t>
            </w:r>
          </w:p>
        </w:tc>
        <w:tc>
          <w:tcPr>
            <w:tcW w:w="567" w:type="dxa"/>
            <w:tcBorders>
              <w:left w:val="single" w:sz="18" w:space="0" w:color="auto"/>
            </w:tcBorders>
            <w:vAlign w:val="center"/>
          </w:tcPr>
          <w:p w:rsidR="00547E7E" w:rsidRPr="00075492" w:rsidRDefault="00547E7E">
            <w:pPr>
              <w:pStyle w:val="Tabell"/>
              <w:ind w:left="-70" w:right="-70"/>
              <w:jc w:val="center"/>
              <w:rPr>
                <w:sz w:val="16"/>
              </w:rPr>
            </w:pPr>
            <w:r w:rsidRPr="00075492">
              <w:rPr>
                <w:sz w:val="16"/>
              </w:rPr>
              <w:t>8 580</w:t>
            </w:r>
          </w:p>
        </w:tc>
        <w:tc>
          <w:tcPr>
            <w:tcW w:w="567" w:type="dxa"/>
            <w:vAlign w:val="center"/>
          </w:tcPr>
          <w:p w:rsidR="00547E7E" w:rsidRPr="00075492" w:rsidRDefault="00547E7E">
            <w:pPr>
              <w:pStyle w:val="Tabell"/>
              <w:ind w:left="-70" w:right="-70"/>
              <w:jc w:val="center"/>
              <w:rPr>
                <w:sz w:val="16"/>
              </w:rPr>
            </w:pPr>
            <w:r w:rsidRPr="00075492">
              <w:rPr>
                <w:sz w:val="16"/>
              </w:rPr>
              <w:t>7 950</w:t>
            </w:r>
          </w:p>
        </w:tc>
        <w:tc>
          <w:tcPr>
            <w:tcW w:w="567" w:type="dxa"/>
            <w:vAlign w:val="center"/>
          </w:tcPr>
          <w:p w:rsidR="00547E7E" w:rsidRPr="00075492" w:rsidRDefault="00547E7E">
            <w:pPr>
              <w:pStyle w:val="Tabell"/>
              <w:ind w:left="-70" w:right="-70"/>
              <w:jc w:val="center"/>
              <w:rPr>
                <w:sz w:val="16"/>
              </w:rPr>
            </w:pPr>
            <w:r w:rsidRPr="00075492">
              <w:rPr>
                <w:sz w:val="16"/>
              </w:rPr>
              <w:t>7 580</w:t>
            </w:r>
          </w:p>
        </w:tc>
        <w:tc>
          <w:tcPr>
            <w:tcW w:w="573" w:type="dxa"/>
            <w:tcBorders>
              <w:right w:val="single" w:sz="18" w:space="0" w:color="auto"/>
            </w:tcBorders>
            <w:vAlign w:val="center"/>
          </w:tcPr>
          <w:p w:rsidR="00547E7E" w:rsidRPr="00075492" w:rsidRDefault="00547E7E">
            <w:pPr>
              <w:pStyle w:val="Tabell"/>
              <w:ind w:left="-70" w:right="-70"/>
              <w:jc w:val="center"/>
              <w:rPr>
                <w:sz w:val="16"/>
              </w:rPr>
            </w:pPr>
            <w:r w:rsidRPr="00075492">
              <w:rPr>
                <w:sz w:val="16"/>
              </w:rPr>
              <w:t>6 860</w:t>
            </w:r>
          </w:p>
        </w:tc>
      </w:tr>
      <w:tr w:rsidR="00000000" w:rsidRPr="00075492">
        <w:tblPrEx>
          <w:tblCellMar>
            <w:top w:w="0" w:type="dxa"/>
            <w:bottom w:w="0" w:type="dxa"/>
          </w:tblCellMar>
        </w:tblPrEx>
        <w:tc>
          <w:tcPr>
            <w:tcW w:w="1488" w:type="dxa"/>
            <w:tcBorders>
              <w:left w:val="single" w:sz="4" w:space="0" w:color="auto"/>
            </w:tcBorders>
            <w:vAlign w:val="center"/>
          </w:tcPr>
          <w:p w:rsidR="00547E7E" w:rsidRPr="00075492" w:rsidRDefault="00547E7E">
            <w:pPr>
              <w:pStyle w:val="Tabell"/>
              <w:jc w:val="left"/>
              <w:rPr>
                <w:sz w:val="16"/>
              </w:rPr>
            </w:pPr>
            <w:r w:rsidRPr="00075492">
              <w:rPr>
                <w:sz w:val="16"/>
              </w:rPr>
              <w:t>Kontroll av frä</w:t>
            </w:r>
            <w:r w:rsidRPr="00075492">
              <w:rPr>
                <w:sz w:val="16"/>
              </w:rPr>
              <w:t>m</w:t>
            </w:r>
            <w:r w:rsidRPr="00075492">
              <w:rPr>
                <w:sz w:val="16"/>
              </w:rPr>
              <w:t>mande ämnen i ani-maliska livsmedel*</w:t>
            </w:r>
          </w:p>
        </w:tc>
        <w:tc>
          <w:tcPr>
            <w:tcW w:w="567" w:type="dxa"/>
            <w:vAlign w:val="center"/>
          </w:tcPr>
          <w:p w:rsidR="00547E7E" w:rsidRPr="00075492" w:rsidRDefault="00547E7E">
            <w:pPr>
              <w:pStyle w:val="Tabell"/>
              <w:ind w:left="-70" w:right="-70"/>
              <w:jc w:val="center"/>
              <w:rPr>
                <w:sz w:val="16"/>
              </w:rPr>
            </w:pPr>
            <w:r w:rsidRPr="00075492">
              <w:rPr>
                <w:sz w:val="16"/>
              </w:rPr>
              <w:t>7 130</w:t>
            </w:r>
          </w:p>
        </w:tc>
        <w:tc>
          <w:tcPr>
            <w:tcW w:w="567" w:type="dxa"/>
            <w:vAlign w:val="center"/>
          </w:tcPr>
          <w:p w:rsidR="00547E7E" w:rsidRPr="00075492" w:rsidRDefault="00547E7E">
            <w:pPr>
              <w:pStyle w:val="Tabell"/>
              <w:ind w:left="-70" w:right="-70"/>
              <w:jc w:val="center"/>
              <w:rPr>
                <w:sz w:val="16"/>
              </w:rPr>
            </w:pPr>
            <w:r w:rsidRPr="00075492">
              <w:rPr>
                <w:sz w:val="16"/>
              </w:rPr>
              <w:t>8 270</w:t>
            </w:r>
          </w:p>
        </w:tc>
        <w:tc>
          <w:tcPr>
            <w:tcW w:w="567" w:type="dxa"/>
            <w:vAlign w:val="center"/>
          </w:tcPr>
          <w:p w:rsidR="00547E7E" w:rsidRPr="00075492" w:rsidRDefault="00547E7E">
            <w:pPr>
              <w:pStyle w:val="Tabell"/>
              <w:ind w:left="-70" w:right="-70"/>
              <w:jc w:val="center"/>
              <w:rPr>
                <w:sz w:val="16"/>
              </w:rPr>
            </w:pPr>
            <w:r w:rsidRPr="00075492">
              <w:rPr>
                <w:sz w:val="16"/>
              </w:rPr>
              <w:t>10 850</w:t>
            </w:r>
          </w:p>
        </w:tc>
        <w:tc>
          <w:tcPr>
            <w:tcW w:w="567" w:type="dxa"/>
            <w:tcBorders>
              <w:right w:val="nil"/>
            </w:tcBorders>
            <w:vAlign w:val="center"/>
          </w:tcPr>
          <w:p w:rsidR="00547E7E" w:rsidRPr="00075492" w:rsidRDefault="00547E7E">
            <w:pPr>
              <w:pStyle w:val="Tabell"/>
              <w:ind w:left="-70" w:right="-70"/>
              <w:jc w:val="center"/>
              <w:rPr>
                <w:sz w:val="16"/>
              </w:rPr>
            </w:pPr>
            <w:r w:rsidRPr="00075492">
              <w:rPr>
                <w:sz w:val="16"/>
              </w:rPr>
              <w:t>10 140</w:t>
            </w:r>
          </w:p>
        </w:tc>
        <w:tc>
          <w:tcPr>
            <w:tcW w:w="567" w:type="dxa"/>
            <w:tcBorders>
              <w:left w:val="single" w:sz="18" w:space="0" w:color="auto"/>
            </w:tcBorders>
            <w:vAlign w:val="center"/>
          </w:tcPr>
          <w:p w:rsidR="00547E7E" w:rsidRPr="00075492" w:rsidRDefault="00547E7E">
            <w:pPr>
              <w:pStyle w:val="Tabell"/>
              <w:ind w:left="-70" w:right="-70"/>
              <w:jc w:val="center"/>
              <w:rPr>
                <w:sz w:val="16"/>
              </w:rPr>
            </w:pPr>
            <w:r w:rsidRPr="00075492">
              <w:rPr>
                <w:sz w:val="16"/>
              </w:rPr>
              <w:t>8 480</w:t>
            </w:r>
          </w:p>
        </w:tc>
        <w:tc>
          <w:tcPr>
            <w:tcW w:w="567" w:type="dxa"/>
            <w:vAlign w:val="center"/>
          </w:tcPr>
          <w:p w:rsidR="00547E7E" w:rsidRPr="00075492" w:rsidRDefault="00547E7E">
            <w:pPr>
              <w:pStyle w:val="Tabell"/>
              <w:ind w:left="-70" w:right="-70"/>
              <w:jc w:val="center"/>
              <w:rPr>
                <w:sz w:val="16"/>
              </w:rPr>
            </w:pPr>
            <w:r w:rsidRPr="00075492">
              <w:rPr>
                <w:sz w:val="16"/>
              </w:rPr>
              <w:t>7 452</w:t>
            </w:r>
          </w:p>
        </w:tc>
        <w:tc>
          <w:tcPr>
            <w:tcW w:w="567" w:type="dxa"/>
            <w:vAlign w:val="center"/>
          </w:tcPr>
          <w:p w:rsidR="00547E7E" w:rsidRPr="00075492" w:rsidRDefault="00547E7E">
            <w:pPr>
              <w:pStyle w:val="Tabell"/>
              <w:ind w:left="-70" w:right="-70"/>
              <w:jc w:val="center"/>
              <w:rPr>
                <w:sz w:val="16"/>
              </w:rPr>
            </w:pPr>
            <w:r w:rsidRPr="00075492">
              <w:rPr>
                <w:sz w:val="16"/>
              </w:rPr>
              <w:t>8 125</w:t>
            </w:r>
          </w:p>
        </w:tc>
        <w:tc>
          <w:tcPr>
            <w:tcW w:w="573" w:type="dxa"/>
            <w:tcBorders>
              <w:right w:val="single" w:sz="18" w:space="0" w:color="auto"/>
            </w:tcBorders>
            <w:vAlign w:val="center"/>
          </w:tcPr>
          <w:p w:rsidR="00547E7E" w:rsidRPr="00075492" w:rsidRDefault="00547E7E">
            <w:pPr>
              <w:pStyle w:val="Tabell"/>
              <w:ind w:left="-70" w:right="-70"/>
              <w:jc w:val="center"/>
              <w:rPr>
                <w:sz w:val="16"/>
              </w:rPr>
            </w:pPr>
            <w:r w:rsidRPr="00075492">
              <w:rPr>
                <w:sz w:val="16"/>
              </w:rPr>
              <w:t>8 019</w:t>
            </w:r>
          </w:p>
        </w:tc>
      </w:tr>
      <w:tr w:rsidR="00000000" w:rsidRPr="00075492">
        <w:tblPrEx>
          <w:tblCellMar>
            <w:top w:w="0" w:type="dxa"/>
            <w:bottom w:w="0" w:type="dxa"/>
          </w:tblCellMar>
        </w:tblPrEx>
        <w:tc>
          <w:tcPr>
            <w:tcW w:w="1488" w:type="dxa"/>
            <w:tcBorders>
              <w:left w:val="single" w:sz="4" w:space="0" w:color="auto"/>
            </w:tcBorders>
            <w:vAlign w:val="center"/>
          </w:tcPr>
          <w:p w:rsidR="00547E7E" w:rsidRPr="00075492" w:rsidRDefault="00547E7E">
            <w:pPr>
              <w:pStyle w:val="Tabell"/>
              <w:jc w:val="left"/>
              <w:rPr>
                <w:sz w:val="16"/>
              </w:rPr>
            </w:pPr>
            <w:r w:rsidRPr="00075492">
              <w:rPr>
                <w:sz w:val="16"/>
              </w:rPr>
              <w:t>Kontroll av rester av bekämpningsmedel i vegetabilier</w:t>
            </w:r>
          </w:p>
        </w:tc>
        <w:tc>
          <w:tcPr>
            <w:tcW w:w="567" w:type="dxa"/>
            <w:vAlign w:val="center"/>
          </w:tcPr>
          <w:p w:rsidR="00547E7E" w:rsidRPr="00075492" w:rsidRDefault="00547E7E">
            <w:pPr>
              <w:pStyle w:val="Tabell"/>
              <w:ind w:left="-70" w:right="-70"/>
              <w:jc w:val="center"/>
              <w:rPr>
                <w:sz w:val="16"/>
              </w:rPr>
            </w:pPr>
            <w:r w:rsidRPr="00075492">
              <w:rPr>
                <w:sz w:val="16"/>
              </w:rPr>
              <w:t>16 010</w:t>
            </w:r>
          </w:p>
        </w:tc>
        <w:tc>
          <w:tcPr>
            <w:tcW w:w="567" w:type="dxa"/>
            <w:vAlign w:val="center"/>
          </w:tcPr>
          <w:p w:rsidR="00547E7E" w:rsidRPr="00075492" w:rsidRDefault="00547E7E">
            <w:pPr>
              <w:pStyle w:val="Tabell"/>
              <w:ind w:left="-70" w:right="-70"/>
              <w:jc w:val="center"/>
              <w:rPr>
                <w:sz w:val="16"/>
              </w:rPr>
            </w:pPr>
            <w:r w:rsidRPr="00075492">
              <w:rPr>
                <w:sz w:val="16"/>
              </w:rPr>
              <w:t>14 190</w:t>
            </w:r>
          </w:p>
        </w:tc>
        <w:tc>
          <w:tcPr>
            <w:tcW w:w="567" w:type="dxa"/>
            <w:vAlign w:val="center"/>
          </w:tcPr>
          <w:p w:rsidR="00547E7E" w:rsidRPr="00075492" w:rsidRDefault="00547E7E">
            <w:pPr>
              <w:pStyle w:val="Tabell"/>
              <w:ind w:left="-70" w:right="-70"/>
              <w:jc w:val="center"/>
              <w:rPr>
                <w:sz w:val="16"/>
              </w:rPr>
            </w:pPr>
            <w:r w:rsidRPr="00075492">
              <w:rPr>
                <w:sz w:val="16"/>
              </w:rPr>
              <w:t>15 930</w:t>
            </w:r>
          </w:p>
        </w:tc>
        <w:tc>
          <w:tcPr>
            <w:tcW w:w="567" w:type="dxa"/>
            <w:tcBorders>
              <w:right w:val="nil"/>
            </w:tcBorders>
            <w:vAlign w:val="center"/>
          </w:tcPr>
          <w:p w:rsidR="00547E7E" w:rsidRPr="00075492" w:rsidRDefault="00547E7E">
            <w:pPr>
              <w:pStyle w:val="Tabell"/>
              <w:ind w:left="-70" w:right="-70"/>
              <w:jc w:val="center"/>
              <w:rPr>
                <w:sz w:val="16"/>
              </w:rPr>
            </w:pPr>
            <w:r w:rsidRPr="00075492">
              <w:rPr>
                <w:sz w:val="16"/>
              </w:rPr>
              <w:t>13 970</w:t>
            </w:r>
          </w:p>
        </w:tc>
        <w:tc>
          <w:tcPr>
            <w:tcW w:w="567" w:type="dxa"/>
            <w:tcBorders>
              <w:left w:val="single" w:sz="18" w:space="0" w:color="auto"/>
            </w:tcBorders>
            <w:vAlign w:val="center"/>
          </w:tcPr>
          <w:p w:rsidR="00547E7E" w:rsidRPr="00075492" w:rsidRDefault="00547E7E">
            <w:pPr>
              <w:pStyle w:val="Tabell"/>
              <w:ind w:left="-70" w:right="-70"/>
              <w:jc w:val="center"/>
              <w:rPr>
                <w:sz w:val="16"/>
              </w:rPr>
            </w:pPr>
            <w:r w:rsidRPr="00075492">
              <w:rPr>
                <w:sz w:val="16"/>
              </w:rPr>
              <w:t>6 390</w:t>
            </w:r>
          </w:p>
        </w:tc>
        <w:tc>
          <w:tcPr>
            <w:tcW w:w="567" w:type="dxa"/>
            <w:vAlign w:val="center"/>
          </w:tcPr>
          <w:p w:rsidR="00547E7E" w:rsidRPr="00075492" w:rsidRDefault="00547E7E">
            <w:pPr>
              <w:pStyle w:val="Tabell"/>
              <w:ind w:left="-70" w:right="-70"/>
              <w:jc w:val="center"/>
              <w:rPr>
                <w:sz w:val="16"/>
              </w:rPr>
            </w:pPr>
            <w:r w:rsidRPr="00075492">
              <w:rPr>
                <w:sz w:val="16"/>
              </w:rPr>
              <w:t>6 390</w:t>
            </w:r>
          </w:p>
        </w:tc>
        <w:tc>
          <w:tcPr>
            <w:tcW w:w="567" w:type="dxa"/>
            <w:vAlign w:val="center"/>
          </w:tcPr>
          <w:p w:rsidR="00547E7E" w:rsidRPr="00075492" w:rsidRDefault="00547E7E">
            <w:pPr>
              <w:pStyle w:val="Tabell"/>
              <w:ind w:left="-70" w:right="-70"/>
              <w:jc w:val="center"/>
              <w:rPr>
                <w:sz w:val="16"/>
              </w:rPr>
            </w:pPr>
            <w:r w:rsidRPr="00075492">
              <w:rPr>
                <w:sz w:val="16"/>
              </w:rPr>
              <w:t>6 650</w:t>
            </w:r>
          </w:p>
        </w:tc>
        <w:tc>
          <w:tcPr>
            <w:tcW w:w="573" w:type="dxa"/>
            <w:tcBorders>
              <w:right w:val="single" w:sz="18" w:space="0" w:color="auto"/>
            </w:tcBorders>
            <w:vAlign w:val="center"/>
          </w:tcPr>
          <w:p w:rsidR="00547E7E" w:rsidRPr="00075492" w:rsidRDefault="00547E7E">
            <w:pPr>
              <w:pStyle w:val="Tabell"/>
              <w:ind w:left="-70" w:right="-70"/>
              <w:jc w:val="center"/>
              <w:rPr>
                <w:sz w:val="16"/>
              </w:rPr>
            </w:pPr>
            <w:r w:rsidRPr="00075492">
              <w:rPr>
                <w:sz w:val="16"/>
              </w:rPr>
              <w:t>6 300</w:t>
            </w:r>
          </w:p>
        </w:tc>
      </w:tr>
      <w:tr w:rsidR="00000000" w:rsidRPr="00075492">
        <w:tblPrEx>
          <w:tblCellMar>
            <w:top w:w="0" w:type="dxa"/>
            <w:bottom w:w="0" w:type="dxa"/>
          </w:tblCellMar>
        </w:tblPrEx>
        <w:tc>
          <w:tcPr>
            <w:tcW w:w="1488" w:type="dxa"/>
            <w:tcBorders>
              <w:left w:val="single" w:sz="4" w:space="0" w:color="auto"/>
            </w:tcBorders>
            <w:vAlign w:val="center"/>
          </w:tcPr>
          <w:p w:rsidR="00547E7E" w:rsidRPr="00075492" w:rsidRDefault="00547E7E">
            <w:pPr>
              <w:pStyle w:val="Tabell"/>
              <w:jc w:val="left"/>
              <w:rPr>
                <w:sz w:val="16"/>
              </w:rPr>
            </w:pPr>
            <w:r w:rsidRPr="00075492">
              <w:rPr>
                <w:sz w:val="16"/>
              </w:rPr>
              <w:t>Övrigt (bl.a. lab</w:t>
            </w:r>
            <w:r w:rsidRPr="00075492">
              <w:rPr>
                <w:sz w:val="16"/>
              </w:rPr>
              <w:t>o</w:t>
            </w:r>
            <w:r w:rsidRPr="00075492">
              <w:rPr>
                <w:sz w:val="16"/>
              </w:rPr>
              <w:t>ratorietillsyn, smit</w:t>
            </w:r>
            <w:r w:rsidRPr="00075492">
              <w:rPr>
                <w:sz w:val="16"/>
              </w:rPr>
              <w:t>t</w:t>
            </w:r>
            <w:r w:rsidRPr="00075492">
              <w:rPr>
                <w:sz w:val="16"/>
              </w:rPr>
              <w:t>skydd, införselko</w:t>
            </w:r>
            <w:r w:rsidRPr="00075492">
              <w:rPr>
                <w:sz w:val="16"/>
              </w:rPr>
              <w:t>n</w:t>
            </w:r>
            <w:r w:rsidRPr="00075492">
              <w:rPr>
                <w:sz w:val="16"/>
              </w:rPr>
              <w:t xml:space="preserve">troll) </w:t>
            </w:r>
          </w:p>
        </w:tc>
        <w:tc>
          <w:tcPr>
            <w:tcW w:w="567" w:type="dxa"/>
            <w:vAlign w:val="center"/>
          </w:tcPr>
          <w:p w:rsidR="00547E7E" w:rsidRPr="00075492" w:rsidRDefault="00547E7E">
            <w:pPr>
              <w:pStyle w:val="Tabell"/>
              <w:ind w:left="-70" w:right="-70"/>
              <w:jc w:val="center"/>
              <w:rPr>
                <w:sz w:val="16"/>
              </w:rPr>
            </w:pPr>
            <w:r w:rsidRPr="00075492">
              <w:rPr>
                <w:sz w:val="16"/>
              </w:rPr>
              <w:t>2 030</w:t>
            </w:r>
          </w:p>
        </w:tc>
        <w:tc>
          <w:tcPr>
            <w:tcW w:w="567" w:type="dxa"/>
            <w:vAlign w:val="center"/>
          </w:tcPr>
          <w:p w:rsidR="00547E7E" w:rsidRPr="00075492" w:rsidRDefault="00547E7E">
            <w:pPr>
              <w:pStyle w:val="Tabell"/>
              <w:ind w:left="-70" w:right="-70"/>
              <w:jc w:val="center"/>
              <w:rPr>
                <w:sz w:val="16"/>
              </w:rPr>
            </w:pPr>
            <w:r w:rsidRPr="00075492">
              <w:rPr>
                <w:sz w:val="16"/>
              </w:rPr>
              <w:t>13 470</w:t>
            </w:r>
          </w:p>
        </w:tc>
        <w:tc>
          <w:tcPr>
            <w:tcW w:w="567" w:type="dxa"/>
            <w:vAlign w:val="center"/>
          </w:tcPr>
          <w:p w:rsidR="00547E7E" w:rsidRPr="00075492" w:rsidRDefault="00547E7E">
            <w:pPr>
              <w:pStyle w:val="Tabell"/>
              <w:ind w:left="-70" w:right="-70"/>
              <w:jc w:val="center"/>
              <w:rPr>
                <w:sz w:val="16"/>
              </w:rPr>
            </w:pPr>
            <w:r w:rsidRPr="00075492">
              <w:rPr>
                <w:sz w:val="16"/>
              </w:rPr>
              <w:t>15 820</w:t>
            </w:r>
          </w:p>
        </w:tc>
        <w:tc>
          <w:tcPr>
            <w:tcW w:w="567" w:type="dxa"/>
            <w:tcBorders>
              <w:right w:val="nil"/>
            </w:tcBorders>
            <w:vAlign w:val="center"/>
          </w:tcPr>
          <w:p w:rsidR="00547E7E" w:rsidRPr="00075492" w:rsidRDefault="00547E7E">
            <w:pPr>
              <w:pStyle w:val="Tabell"/>
              <w:ind w:left="-70" w:right="-70"/>
              <w:jc w:val="center"/>
              <w:rPr>
                <w:sz w:val="16"/>
              </w:rPr>
            </w:pPr>
            <w:r w:rsidRPr="00075492">
              <w:rPr>
                <w:sz w:val="16"/>
              </w:rPr>
              <w:t>22 510</w:t>
            </w:r>
          </w:p>
        </w:tc>
        <w:tc>
          <w:tcPr>
            <w:tcW w:w="567" w:type="dxa"/>
            <w:tcBorders>
              <w:left w:val="single" w:sz="18" w:space="0" w:color="auto"/>
            </w:tcBorders>
            <w:vAlign w:val="center"/>
          </w:tcPr>
          <w:p w:rsidR="00547E7E" w:rsidRPr="00075492" w:rsidRDefault="00547E7E">
            <w:pPr>
              <w:pStyle w:val="Tabell"/>
              <w:ind w:left="-70" w:right="-70"/>
              <w:jc w:val="center"/>
              <w:rPr>
                <w:sz w:val="16"/>
              </w:rPr>
            </w:pPr>
            <w:r w:rsidRPr="00075492">
              <w:rPr>
                <w:sz w:val="16"/>
              </w:rPr>
              <w:t>50</w:t>
            </w:r>
          </w:p>
        </w:tc>
        <w:tc>
          <w:tcPr>
            <w:tcW w:w="567" w:type="dxa"/>
            <w:vAlign w:val="center"/>
          </w:tcPr>
          <w:p w:rsidR="00547E7E" w:rsidRPr="00075492" w:rsidRDefault="00547E7E">
            <w:pPr>
              <w:pStyle w:val="Tabell"/>
              <w:ind w:left="-70" w:right="-70"/>
              <w:jc w:val="center"/>
              <w:rPr>
                <w:sz w:val="16"/>
              </w:rPr>
            </w:pPr>
            <w:r w:rsidRPr="00075492">
              <w:rPr>
                <w:sz w:val="16"/>
              </w:rPr>
              <w:t>270</w:t>
            </w:r>
          </w:p>
        </w:tc>
        <w:tc>
          <w:tcPr>
            <w:tcW w:w="567" w:type="dxa"/>
            <w:vAlign w:val="center"/>
          </w:tcPr>
          <w:p w:rsidR="00547E7E" w:rsidRPr="00075492" w:rsidRDefault="00547E7E">
            <w:pPr>
              <w:pStyle w:val="Tabell"/>
              <w:ind w:left="-70" w:right="-70"/>
              <w:jc w:val="center"/>
              <w:rPr>
                <w:sz w:val="16"/>
              </w:rPr>
            </w:pPr>
            <w:r w:rsidRPr="00075492">
              <w:rPr>
                <w:sz w:val="16"/>
              </w:rPr>
              <w:t>440</w:t>
            </w:r>
          </w:p>
        </w:tc>
        <w:tc>
          <w:tcPr>
            <w:tcW w:w="573" w:type="dxa"/>
            <w:tcBorders>
              <w:right w:val="single" w:sz="18" w:space="0" w:color="auto"/>
            </w:tcBorders>
            <w:vAlign w:val="center"/>
          </w:tcPr>
          <w:p w:rsidR="00547E7E" w:rsidRPr="00075492" w:rsidRDefault="00547E7E">
            <w:pPr>
              <w:pStyle w:val="Tabell"/>
              <w:ind w:left="-70" w:right="-70"/>
              <w:jc w:val="center"/>
              <w:rPr>
                <w:sz w:val="16"/>
              </w:rPr>
            </w:pPr>
            <w:r w:rsidRPr="00075492">
              <w:rPr>
                <w:sz w:val="16"/>
              </w:rPr>
              <w:t>210</w:t>
            </w:r>
          </w:p>
        </w:tc>
      </w:tr>
      <w:tr w:rsidR="00000000" w:rsidRPr="00075492">
        <w:tblPrEx>
          <w:tblCellMar>
            <w:top w:w="0" w:type="dxa"/>
            <w:bottom w:w="0" w:type="dxa"/>
          </w:tblCellMar>
        </w:tblPrEx>
        <w:tc>
          <w:tcPr>
            <w:tcW w:w="1488" w:type="dxa"/>
            <w:tcBorders>
              <w:left w:val="single" w:sz="4" w:space="0" w:color="auto"/>
            </w:tcBorders>
            <w:vAlign w:val="center"/>
          </w:tcPr>
          <w:p w:rsidR="00547E7E" w:rsidRPr="00075492" w:rsidRDefault="00547E7E">
            <w:pPr>
              <w:pStyle w:val="Tabell"/>
              <w:jc w:val="left"/>
              <w:rPr>
                <w:sz w:val="16"/>
              </w:rPr>
            </w:pPr>
            <w:r w:rsidRPr="00075492">
              <w:rPr>
                <w:sz w:val="16"/>
              </w:rPr>
              <w:t xml:space="preserve">Gränskontroll av livsmedel från tredje land </w:t>
            </w:r>
          </w:p>
        </w:tc>
        <w:tc>
          <w:tcPr>
            <w:tcW w:w="567" w:type="dxa"/>
            <w:vAlign w:val="center"/>
          </w:tcPr>
          <w:p w:rsidR="00547E7E" w:rsidRPr="00075492" w:rsidRDefault="00547E7E">
            <w:pPr>
              <w:pStyle w:val="Tabell"/>
              <w:ind w:left="-70" w:right="-70"/>
              <w:jc w:val="center"/>
              <w:rPr>
                <w:sz w:val="16"/>
              </w:rPr>
            </w:pPr>
          </w:p>
        </w:tc>
        <w:tc>
          <w:tcPr>
            <w:tcW w:w="567" w:type="dxa"/>
            <w:vAlign w:val="center"/>
          </w:tcPr>
          <w:p w:rsidR="00547E7E" w:rsidRPr="00075492" w:rsidRDefault="00547E7E">
            <w:pPr>
              <w:pStyle w:val="Tabell"/>
              <w:ind w:left="-70" w:right="-70"/>
              <w:jc w:val="center"/>
              <w:rPr>
                <w:sz w:val="16"/>
              </w:rPr>
            </w:pPr>
          </w:p>
        </w:tc>
        <w:tc>
          <w:tcPr>
            <w:tcW w:w="567" w:type="dxa"/>
            <w:vAlign w:val="center"/>
          </w:tcPr>
          <w:p w:rsidR="00547E7E" w:rsidRPr="00075492" w:rsidRDefault="00547E7E">
            <w:pPr>
              <w:pStyle w:val="Tabell"/>
              <w:ind w:left="-70" w:right="-70"/>
              <w:jc w:val="center"/>
              <w:rPr>
                <w:sz w:val="16"/>
              </w:rPr>
            </w:pPr>
          </w:p>
        </w:tc>
        <w:tc>
          <w:tcPr>
            <w:tcW w:w="567" w:type="dxa"/>
            <w:tcBorders>
              <w:right w:val="nil"/>
            </w:tcBorders>
            <w:vAlign w:val="center"/>
          </w:tcPr>
          <w:p w:rsidR="00547E7E" w:rsidRPr="00075492" w:rsidRDefault="00547E7E">
            <w:pPr>
              <w:pStyle w:val="Tabell"/>
              <w:ind w:left="-70" w:right="-70"/>
              <w:jc w:val="center"/>
              <w:rPr>
                <w:sz w:val="16"/>
              </w:rPr>
            </w:pPr>
            <w:r w:rsidRPr="00075492">
              <w:rPr>
                <w:sz w:val="16"/>
              </w:rPr>
              <w:t>560</w:t>
            </w:r>
          </w:p>
        </w:tc>
        <w:tc>
          <w:tcPr>
            <w:tcW w:w="567" w:type="dxa"/>
            <w:tcBorders>
              <w:left w:val="single" w:sz="18" w:space="0" w:color="auto"/>
            </w:tcBorders>
            <w:vAlign w:val="center"/>
          </w:tcPr>
          <w:p w:rsidR="00547E7E" w:rsidRPr="00075492" w:rsidRDefault="00547E7E">
            <w:pPr>
              <w:pStyle w:val="Tabell"/>
              <w:ind w:left="-70" w:right="-70"/>
              <w:jc w:val="center"/>
              <w:rPr>
                <w:sz w:val="16"/>
              </w:rPr>
            </w:pPr>
          </w:p>
        </w:tc>
        <w:tc>
          <w:tcPr>
            <w:tcW w:w="567" w:type="dxa"/>
            <w:vAlign w:val="center"/>
          </w:tcPr>
          <w:p w:rsidR="00547E7E" w:rsidRPr="00075492" w:rsidRDefault="00547E7E">
            <w:pPr>
              <w:pStyle w:val="Tabell"/>
              <w:ind w:left="-70" w:right="-70"/>
              <w:jc w:val="center"/>
              <w:rPr>
                <w:sz w:val="16"/>
              </w:rPr>
            </w:pPr>
          </w:p>
        </w:tc>
        <w:tc>
          <w:tcPr>
            <w:tcW w:w="567" w:type="dxa"/>
            <w:vAlign w:val="center"/>
          </w:tcPr>
          <w:p w:rsidR="00547E7E" w:rsidRPr="00075492" w:rsidRDefault="00547E7E">
            <w:pPr>
              <w:pStyle w:val="Tabell"/>
              <w:ind w:left="-70" w:right="-70"/>
              <w:jc w:val="center"/>
              <w:rPr>
                <w:sz w:val="16"/>
              </w:rPr>
            </w:pPr>
          </w:p>
        </w:tc>
        <w:tc>
          <w:tcPr>
            <w:tcW w:w="573" w:type="dxa"/>
            <w:tcBorders>
              <w:right w:val="single" w:sz="18" w:space="0" w:color="auto"/>
            </w:tcBorders>
            <w:vAlign w:val="center"/>
          </w:tcPr>
          <w:p w:rsidR="00547E7E" w:rsidRPr="00075492" w:rsidRDefault="00547E7E">
            <w:pPr>
              <w:pStyle w:val="Tabell"/>
              <w:ind w:left="-70" w:right="-70"/>
              <w:jc w:val="center"/>
              <w:rPr>
                <w:sz w:val="16"/>
              </w:rPr>
            </w:pPr>
          </w:p>
        </w:tc>
      </w:tr>
      <w:tr w:rsidR="00000000" w:rsidRPr="00075492">
        <w:tblPrEx>
          <w:tblCellMar>
            <w:top w:w="0" w:type="dxa"/>
            <w:bottom w:w="0" w:type="dxa"/>
          </w:tblCellMar>
        </w:tblPrEx>
        <w:tc>
          <w:tcPr>
            <w:tcW w:w="1488" w:type="dxa"/>
            <w:tcBorders>
              <w:left w:val="single" w:sz="4" w:space="0" w:color="auto"/>
              <w:bottom w:val="nil"/>
            </w:tcBorders>
            <w:vAlign w:val="center"/>
          </w:tcPr>
          <w:p w:rsidR="00547E7E" w:rsidRPr="00075492" w:rsidRDefault="00547E7E">
            <w:pPr>
              <w:pStyle w:val="Tabell"/>
              <w:jc w:val="left"/>
              <w:rPr>
                <w:sz w:val="16"/>
              </w:rPr>
            </w:pPr>
            <w:r w:rsidRPr="00075492">
              <w:rPr>
                <w:sz w:val="16"/>
              </w:rPr>
              <w:t>Handläggning av ärenden **</w:t>
            </w:r>
          </w:p>
        </w:tc>
        <w:tc>
          <w:tcPr>
            <w:tcW w:w="567" w:type="dxa"/>
            <w:tcBorders>
              <w:bottom w:val="nil"/>
            </w:tcBorders>
            <w:vAlign w:val="center"/>
          </w:tcPr>
          <w:p w:rsidR="00547E7E" w:rsidRPr="00075492" w:rsidRDefault="00547E7E">
            <w:pPr>
              <w:pStyle w:val="Tabell"/>
              <w:ind w:left="-70" w:right="-70"/>
              <w:jc w:val="center"/>
              <w:rPr>
                <w:sz w:val="16"/>
              </w:rPr>
            </w:pPr>
            <w:r w:rsidRPr="00075492">
              <w:rPr>
                <w:sz w:val="16"/>
              </w:rPr>
              <w:t>770 **</w:t>
            </w:r>
          </w:p>
        </w:tc>
        <w:tc>
          <w:tcPr>
            <w:tcW w:w="567" w:type="dxa"/>
            <w:tcBorders>
              <w:bottom w:val="nil"/>
            </w:tcBorders>
            <w:vAlign w:val="center"/>
          </w:tcPr>
          <w:p w:rsidR="00547E7E" w:rsidRPr="00075492" w:rsidRDefault="00547E7E">
            <w:pPr>
              <w:pStyle w:val="Tabell"/>
              <w:ind w:left="-70" w:right="-70"/>
              <w:jc w:val="center"/>
              <w:rPr>
                <w:sz w:val="16"/>
              </w:rPr>
            </w:pPr>
            <w:r w:rsidRPr="00075492">
              <w:rPr>
                <w:sz w:val="16"/>
              </w:rPr>
              <w:t>560</w:t>
            </w:r>
          </w:p>
        </w:tc>
        <w:tc>
          <w:tcPr>
            <w:tcW w:w="567" w:type="dxa"/>
            <w:tcBorders>
              <w:bottom w:val="nil"/>
            </w:tcBorders>
            <w:vAlign w:val="center"/>
          </w:tcPr>
          <w:p w:rsidR="00547E7E" w:rsidRPr="00075492" w:rsidRDefault="00547E7E">
            <w:pPr>
              <w:pStyle w:val="Tabell"/>
              <w:ind w:left="-70" w:right="-70"/>
              <w:jc w:val="center"/>
              <w:rPr>
                <w:sz w:val="16"/>
              </w:rPr>
            </w:pPr>
            <w:r w:rsidRPr="00075492">
              <w:rPr>
                <w:sz w:val="16"/>
              </w:rPr>
              <w:t>220</w:t>
            </w:r>
          </w:p>
        </w:tc>
        <w:tc>
          <w:tcPr>
            <w:tcW w:w="567" w:type="dxa"/>
            <w:tcBorders>
              <w:bottom w:val="nil"/>
              <w:right w:val="nil"/>
            </w:tcBorders>
            <w:vAlign w:val="center"/>
          </w:tcPr>
          <w:p w:rsidR="00547E7E" w:rsidRPr="00075492" w:rsidRDefault="00547E7E">
            <w:pPr>
              <w:pStyle w:val="Tabell"/>
              <w:ind w:left="-70" w:right="-70"/>
              <w:jc w:val="center"/>
              <w:rPr>
                <w:sz w:val="16"/>
              </w:rPr>
            </w:pPr>
            <w:r w:rsidRPr="00075492">
              <w:rPr>
                <w:sz w:val="16"/>
              </w:rPr>
              <w:t>120</w:t>
            </w:r>
          </w:p>
        </w:tc>
        <w:tc>
          <w:tcPr>
            <w:tcW w:w="567" w:type="dxa"/>
            <w:tcBorders>
              <w:left w:val="single" w:sz="18" w:space="0" w:color="auto"/>
              <w:bottom w:val="nil"/>
            </w:tcBorders>
            <w:vAlign w:val="center"/>
          </w:tcPr>
          <w:p w:rsidR="00547E7E" w:rsidRPr="00075492" w:rsidRDefault="00547E7E">
            <w:pPr>
              <w:pStyle w:val="Tabell"/>
              <w:ind w:left="-70" w:right="-70"/>
              <w:jc w:val="center"/>
              <w:rPr>
                <w:sz w:val="16"/>
              </w:rPr>
            </w:pPr>
            <w:r w:rsidRPr="00075492">
              <w:rPr>
                <w:sz w:val="16"/>
              </w:rPr>
              <w:t>740 **</w:t>
            </w:r>
          </w:p>
        </w:tc>
        <w:tc>
          <w:tcPr>
            <w:tcW w:w="567" w:type="dxa"/>
            <w:tcBorders>
              <w:bottom w:val="nil"/>
            </w:tcBorders>
            <w:vAlign w:val="center"/>
          </w:tcPr>
          <w:p w:rsidR="00547E7E" w:rsidRPr="00075492" w:rsidRDefault="00547E7E">
            <w:pPr>
              <w:pStyle w:val="Tabell"/>
              <w:ind w:left="-70" w:right="-70"/>
              <w:jc w:val="center"/>
              <w:rPr>
                <w:sz w:val="16"/>
              </w:rPr>
            </w:pPr>
            <w:r w:rsidRPr="00075492">
              <w:rPr>
                <w:sz w:val="16"/>
              </w:rPr>
              <w:t>500</w:t>
            </w:r>
          </w:p>
        </w:tc>
        <w:tc>
          <w:tcPr>
            <w:tcW w:w="567" w:type="dxa"/>
            <w:tcBorders>
              <w:bottom w:val="nil"/>
            </w:tcBorders>
            <w:vAlign w:val="center"/>
          </w:tcPr>
          <w:p w:rsidR="00547E7E" w:rsidRPr="00075492" w:rsidRDefault="00547E7E">
            <w:pPr>
              <w:pStyle w:val="Tabell"/>
              <w:ind w:left="-70" w:right="-70"/>
              <w:jc w:val="center"/>
              <w:rPr>
                <w:sz w:val="16"/>
              </w:rPr>
            </w:pPr>
          </w:p>
          <w:p w:rsidR="00547E7E" w:rsidRPr="00075492" w:rsidRDefault="00547E7E">
            <w:pPr>
              <w:pStyle w:val="Tabell"/>
              <w:ind w:left="-70" w:right="-70"/>
              <w:jc w:val="center"/>
              <w:rPr>
                <w:sz w:val="16"/>
              </w:rPr>
            </w:pPr>
            <w:r w:rsidRPr="00075492">
              <w:rPr>
                <w:sz w:val="16"/>
              </w:rPr>
              <w:t>400</w:t>
            </w:r>
          </w:p>
          <w:p w:rsidR="00547E7E" w:rsidRPr="00075492" w:rsidRDefault="00547E7E">
            <w:pPr>
              <w:pStyle w:val="Tabell"/>
              <w:ind w:left="-70" w:right="-70"/>
              <w:jc w:val="center"/>
              <w:rPr>
                <w:sz w:val="16"/>
              </w:rPr>
            </w:pPr>
          </w:p>
        </w:tc>
        <w:tc>
          <w:tcPr>
            <w:tcW w:w="573" w:type="dxa"/>
            <w:tcBorders>
              <w:bottom w:val="nil"/>
              <w:right w:val="single" w:sz="18" w:space="0" w:color="auto"/>
            </w:tcBorders>
            <w:vAlign w:val="center"/>
          </w:tcPr>
          <w:p w:rsidR="00547E7E" w:rsidRPr="00075492" w:rsidRDefault="00547E7E">
            <w:pPr>
              <w:pStyle w:val="Tabell"/>
              <w:ind w:left="-70" w:right="-70"/>
              <w:jc w:val="center"/>
              <w:rPr>
                <w:sz w:val="16"/>
              </w:rPr>
            </w:pPr>
            <w:r w:rsidRPr="00075492">
              <w:rPr>
                <w:sz w:val="16"/>
              </w:rPr>
              <w:t>240</w:t>
            </w:r>
          </w:p>
        </w:tc>
      </w:tr>
      <w:tr w:rsidR="00000000" w:rsidRPr="00075492">
        <w:tblPrEx>
          <w:tblCellMar>
            <w:top w:w="0" w:type="dxa"/>
            <w:bottom w:w="0" w:type="dxa"/>
          </w:tblCellMar>
        </w:tblPrEx>
        <w:trPr>
          <w:trHeight w:val="283"/>
        </w:trPr>
        <w:tc>
          <w:tcPr>
            <w:tcW w:w="1488" w:type="dxa"/>
            <w:tcBorders>
              <w:left w:val="single" w:sz="4" w:space="0" w:color="auto"/>
              <w:bottom w:val="single" w:sz="18" w:space="0" w:color="auto"/>
            </w:tcBorders>
            <w:shd w:val="pct10" w:color="auto" w:fill="FFFFFF"/>
            <w:vAlign w:val="center"/>
          </w:tcPr>
          <w:p w:rsidR="00547E7E" w:rsidRPr="00075492" w:rsidRDefault="00547E7E">
            <w:pPr>
              <w:pStyle w:val="Tabell"/>
              <w:jc w:val="left"/>
              <w:rPr>
                <w:b/>
                <w:sz w:val="16"/>
              </w:rPr>
            </w:pPr>
            <w:r w:rsidRPr="00075492">
              <w:rPr>
                <w:b/>
                <w:sz w:val="16"/>
              </w:rPr>
              <w:t>Summa</w:t>
            </w:r>
          </w:p>
        </w:tc>
        <w:tc>
          <w:tcPr>
            <w:tcW w:w="567" w:type="dxa"/>
            <w:tcBorders>
              <w:bottom w:val="single" w:sz="18" w:space="0" w:color="auto"/>
            </w:tcBorders>
            <w:shd w:val="pct10" w:color="auto" w:fill="FFFFFF"/>
            <w:vAlign w:val="center"/>
          </w:tcPr>
          <w:p w:rsidR="00547E7E" w:rsidRPr="00075492" w:rsidRDefault="00547E7E">
            <w:pPr>
              <w:pStyle w:val="Tabell"/>
              <w:ind w:left="-70" w:right="-70"/>
              <w:jc w:val="center"/>
              <w:rPr>
                <w:sz w:val="16"/>
              </w:rPr>
            </w:pPr>
            <w:r w:rsidRPr="00075492">
              <w:rPr>
                <w:sz w:val="16"/>
              </w:rPr>
              <w:t>143 150</w:t>
            </w:r>
          </w:p>
        </w:tc>
        <w:tc>
          <w:tcPr>
            <w:tcW w:w="567" w:type="dxa"/>
            <w:tcBorders>
              <w:bottom w:val="single" w:sz="18" w:space="0" w:color="auto"/>
            </w:tcBorders>
            <w:shd w:val="pct10" w:color="auto" w:fill="FFFFFF"/>
            <w:vAlign w:val="center"/>
          </w:tcPr>
          <w:p w:rsidR="00547E7E" w:rsidRPr="00075492" w:rsidRDefault="00547E7E">
            <w:pPr>
              <w:pStyle w:val="Tabell"/>
              <w:ind w:left="-70" w:right="-70"/>
              <w:jc w:val="center"/>
              <w:rPr>
                <w:sz w:val="16"/>
              </w:rPr>
            </w:pPr>
            <w:r w:rsidRPr="00075492">
              <w:rPr>
                <w:sz w:val="16"/>
              </w:rPr>
              <w:t>158 28</w:t>
            </w:r>
          </w:p>
        </w:tc>
        <w:tc>
          <w:tcPr>
            <w:tcW w:w="567" w:type="dxa"/>
            <w:tcBorders>
              <w:bottom w:val="single" w:sz="18" w:space="0" w:color="auto"/>
            </w:tcBorders>
            <w:shd w:val="pct10" w:color="auto" w:fill="FFFFFF"/>
            <w:vAlign w:val="center"/>
          </w:tcPr>
          <w:p w:rsidR="00547E7E" w:rsidRPr="00075492" w:rsidRDefault="00547E7E">
            <w:pPr>
              <w:pStyle w:val="Tabell"/>
              <w:ind w:left="-70" w:right="-70"/>
              <w:jc w:val="center"/>
              <w:rPr>
                <w:sz w:val="16"/>
              </w:rPr>
            </w:pPr>
            <w:r w:rsidRPr="00075492">
              <w:rPr>
                <w:sz w:val="16"/>
              </w:rPr>
              <w:t xml:space="preserve">161 615 </w:t>
            </w:r>
          </w:p>
        </w:tc>
        <w:tc>
          <w:tcPr>
            <w:tcW w:w="567" w:type="dxa"/>
            <w:tcBorders>
              <w:bottom w:val="single" w:sz="18" w:space="0" w:color="auto"/>
              <w:right w:val="nil"/>
            </w:tcBorders>
            <w:shd w:val="pct10" w:color="auto" w:fill="FFFFFF"/>
            <w:vAlign w:val="center"/>
          </w:tcPr>
          <w:p w:rsidR="00547E7E" w:rsidRPr="00075492" w:rsidRDefault="00547E7E">
            <w:pPr>
              <w:pStyle w:val="Tabell"/>
              <w:ind w:left="-70" w:right="-70"/>
              <w:jc w:val="center"/>
              <w:rPr>
                <w:sz w:val="16"/>
              </w:rPr>
            </w:pPr>
            <w:r w:rsidRPr="00075492">
              <w:rPr>
                <w:sz w:val="16"/>
              </w:rPr>
              <w:t>166 581</w:t>
            </w:r>
          </w:p>
        </w:tc>
        <w:tc>
          <w:tcPr>
            <w:tcW w:w="567" w:type="dxa"/>
            <w:tcBorders>
              <w:left w:val="single" w:sz="18" w:space="0" w:color="auto"/>
              <w:bottom w:val="single" w:sz="18" w:space="0" w:color="auto"/>
            </w:tcBorders>
            <w:shd w:val="pct10" w:color="auto" w:fill="FFFFFF"/>
            <w:vAlign w:val="center"/>
          </w:tcPr>
          <w:p w:rsidR="00547E7E" w:rsidRPr="00075492" w:rsidRDefault="00547E7E">
            <w:pPr>
              <w:pStyle w:val="Tabell"/>
              <w:ind w:left="-70" w:right="-70"/>
              <w:jc w:val="center"/>
              <w:rPr>
                <w:sz w:val="16"/>
              </w:rPr>
            </w:pPr>
            <w:r w:rsidRPr="00075492">
              <w:rPr>
                <w:sz w:val="16"/>
              </w:rPr>
              <w:t>135 050</w:t>
            </w:r>
          </w:p>
        </w:tc>
        <w:tc>
          <w:tcPr>
            <w:tcW w:w="567" w:type="dxa"/>
            <w:tcBorders>
              <w:bottom w:val="single" w:sz="18" w:space="0" w:color="auto"/>
            </w:tcBorders>
            <w:shd w:val="pct10" w:color="auto" w:fill="FFFFFF"/>
            <w:vAlign w:val="center"/>
          </w:tcPr>
          <w:p w:rsidR="00547E7E" w:rsidRPr="00075492" w:rsidRDefault="00547E7E">
            <w:pPr>
              <w:pStyle w:val="Tabell"/>
              <w:ind w:left="-70" w:right="-70"/>
              <w:jc w:val="center"/>
              <w:rPr>
                <w:sz w:val="16"/>
              </w:rPr>
            </w:pPr>
            <w:r w:rsidRPr="00075492">
              <w:rPr>
                <w:sz w:val="16"/>
              </w:rPr>
              <w:t>143 570</w:t>
            </w:r>
          </w:p>
        </w:tc>
        <w:tc>
          <w:tcPr>
            <w:tcW w:w="567" w:type="dxa"/>
            <w:tcBorders>
              <w:bottom w:val="single" w:sz="18" w:space="0" w:color="auto"/>
            </w:tcBorders>
            <w:shd w:val="pct10" w:color="auto" w:fill="FFFFFF"/>
            <w:vAlign w:val="center"/>
          </w:tcPr>
          <w:p w:rsidR="00547E7E" w:rsidRPr="00075492" w:rsidRDefault="00547E7E">
            <w:pPr>
              <w:pStyle w:val="Tabell"/>
              <w:ind w:left="-70" w:right="-70"/>
              <w:jc w:val="center"/>
              <w:rPr>
                <w:sz w:val="16"/>
              </w:rPr>
            </w:pPr>
            <w:r w:rsidRPr="00075492">
              <w:rPr>
                <w:sz w:val="16"/>
              </w:rPr>
              <w:t>134 960</w:t>
            </w:r>
          </w:p>
        </w:tc>
        <w:tc>
          <w:tcPr>
            <w:tcW w:w="573" w:type="dxa"/>
            <w:tcBorders>
              <w:bottom w:val="single" w:sz="18" w:space="0" w:color="auto"/>
              <w:right w:val="single" w:sz="18" w:space="0" w:color="auto"/>
            </w:tcBorders>
            <w:shd w:val="pct10" w:color="auto" w:fill="FFFFFF"/>
            <w:vAlign w:val="center"/>
          </w:tcPr>
          <w:p w:rsidR="00547E7E" w:rsidRPr="00075492" w:rsidRDefault="00547E7E">
            <w:pPr>
              <w:pStyle w:val="Tabell"/>
              <w:ind w:left="-70" w:right="-70"/>
              <w:jc w:val="center"/>
              <w:rPr>
                <w:sz w:val="16"/>
              </w:rPr>
            </w:pPr>
            <w:r w:rsidRPr="00075492">
              <w:rPr>
                <w:sz w:val="16"/>
              </w:rPr>
              <w:t>128 140</w:t>
            </w:r>
          </w:p>
        </w:tc>
      </w:tr>
    </w:tbl>
    <w:p w:rsidR="00547E7E" w:rsidRPr="00075492" w:rsidRDefault="00547E7E">
      <w:pPr>
        <w:pStyle w:val="Tabell"/>
      </w:pPr>
      <w:r w:rsidRPr="00075492">
        <w:t>* Av Livsmedelsverkets årsredovisningar är det svårt att utläsa BVO:s kostnader och intäkter. Livsmedelsverket har tillhandahållit ett särskilt underlag för åren 1998–2000. ** Handläggning av ärenden redovisades tidigare under regelavdelningen.</w:t>
      </w:r>
    </w:p>
    <w:p w:rsidR="00547E7E" w:rsidRPr="00075492" w:rsidRDefault="00547E7E">
      <w:pPr>
        <w:pStyle w:val="Tabell"/>
      </w:pPr>
    </w:p>
    <w:p w:rsidR="00547E7E" w:rsidRPr="00075492" w:rsidRDefault="00547E7E">
      <w:pPr>
        <w:pStyle w:val="Tabell"/>
      </w:pPr>
      <w:r w:rsidRPr="00075492">
        <w:t>Källa: Livsmedelsverkets årsredovisningar åren 1999 och 2000.</w:t>
      </w:r>
    </w:p>
    <w:p w:rsidR="00547E7E" w:rsidRPr="00075492" w:rsidRDefault="00547E7E">
      <w:pPr>
        <w:pStyle w:val="Beskrivning"/>
        <w:rPr>
          <w:b w:val="0"/>
        </w:rPr>
      </w:pPr>
      <w:r w:rsidRPr="00075492">
        <w:rPr>
          <w:b w:val="0"/>
        </w:rPr>
        <w:t xml:space="preserve">Tabellen visar att det finns en betydande variation i verkets kostnadstäckning för olika tillsyns- och kontrollaktiviteter. I tabell 13 redovisas skillnader mellan intäkter och kostnader för de olika aktiviteterna. </w:t>
      </w:r>
    </w:p>
    <w:p w:rsidR="00547E7E" w:rsidRPr="00075492" w:rsidRDefault="00547E7E">
      <w:pPr>
        <w:pStyle w:val="Beskrivning"/>
      </w:pPr>
      <w:r w:rsidRPr="00075492">
        <w:br w:type="page"/>
        <w:t xml:space="preserve">Tabell </w:t>
      </w:r>
      <w:r w:rsidRPr="00075492">
        <w:t>13</w:t>
      </w:r>
      <w:r w:rsidRPr="00075492">
        <w:t xml:space="preserve"> Intäkter i förhållande till kostnader, tkr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5"/>
        <w:gridCol w:w="944"/>
        <w:gridCol w:w="1039"/>
        <w:gridCol w:w="1039"/>
        <w:gridCol w:w="1039"/>
      </w:tblGrid>
      <w:tr w:rsidR="00000000" w:rsidRPr="00075492">
        <w:tblPrEx>
          <w:tblCellMar>
            <w:top w:w="0" w:type="dxa"/>
            <w:bottom w:w="0" w:type="dxa"/>
          </w:tblCellMar>
        </w:tblPrEx>
        <w:tc>
          <w:tcPr>
            <w:tcW w:w="1975" w:type="dxa"/>
            <w:shd w:val="pct20" w:color="auto" w:fill="FFFFFF"/>
          </w:tcPr>
          <w:p w:rsidR="00547E7E" w:rsidRPr="00075492" w:rsidRDefault="00547E7E">
            <w:pPr>
              <w:pStyle w:val="Tabell"/>
              <w:rPr>
                <w:b/>
                <w:sz w:val="16"/>
              </w:rPr>
            </w:pPr>
            <w:r w:rsidRPr="00075492">
              <w:rPr>
                <w:b/>
                <w:sz w:val="16"/>
              </w:rPr>
              <w:t>Resultatomr</w:t>
            </w:r>
            <w:r w:rsidRPr="00075492">
              <w:rPr>
                <w:b/>
                <w:sz w:val="16"/>
              </w:rPr>
              <w:t>å</w:t>
            </w:r>
            <w:r w:rsidRPr="00075492">
              <w:rPr>
                <w:b/>
                <w:sz w:val="16"/>
              </w:rPr>
              <w:t>de</w:t>
            </w:r>
          </w:p>
        </w:tc>
        <w:tc>
          <w:tcPr>
            <w:tcW w:w="944" w:type="dxa"/>
            <w:shd w:val="pct20" w:color="auto" w:fill="FFFFFF"/>
          </w:tcPr>
          <w:p w:rsidR="00547E7E" w:rsidRPr="00075492" w:rsidRDefault="00547E7E">
            <w:pPr>
              <w:pStyle w:val="Normaltindrag"/>
              <w:ind w:firstLine="0"/>
              <w:rPr>
                <w:b/>
                <w:sz w:val="16"/>
              </w:rPr>
            </w:pPr>
            <w:r w:rsidRPr="00075492">
              <w:rPr>
                <w:b/>
                <w:sz w:val="16"/>
              </w:rPr>
              <w:t>1997</w:t>
            </w:r>
          </w:p>
        </w:tc>
        <w:tc>
          <w:tcPr>
            <w:tcW w:w="1039" w:type="dxa"/>
            <w:shd w:val="pct20" w:color="auto" w:fill="FFFFFF"/>
          </w:tcPr>
          <w:p w:rsidR="00547E7E" w:rsidRPr="00075492" w:rsidRDefault="00547E7E">
            <w:pPr>
              <w:pStyle w:val="Normaltindrag"/>
              <w:ind w:firstLine="0"/>
              <w:rPr>
                <w:b/>
                <w:sz w:val="16"/>
              </w:rPr>
            </w:pPr>
            <w:r w:rsidRPr="00075492">
              <w:rPr>
                <w:b/>
                <w:sz w:val="16"/>
              </w:rPr>
              <w:t>1998</w:t>
            </w:r>
          </w:p>
        </w:tc>
        <w:tc>
          <w:tcPr>
            <w:tcW w:w="1039" w:type="dxa"/>
            <w:shd w:val="pct20" w:color="auto" w:fill="FFFFFF"/>
          </w:tcPr>
          <w:p w:rsidR="00547E7E" w:rsidRPr="00075492" w:rsidRDefault="00547E7E">
            <w:pPr>
              <w:pStyle w:val="Normaltindrag"/>
              <w:ind w:firstLine="0"/>
              <w:rPr>
                <w:b/>
                <w:sz w:val="16"/>
              </w:rPr>
            </w:pPr>
            <w:r w:rsidRPr="00075492">
              <w:rPr>
                <w:b/>
                <w:sz w:val="16"/>
              </w:rPr>
              <w:t>1999</w:t>
            </w:r>
          </w:p>
        </w:tc>
        <w:tc>
          <w:tcPr>
            <w:tcW w:w="1039" w:type="dxa"/>
            <w:shd w:val="pct20" w:color="auto" w:fill="FFFFFF"/>
          </w:tcPr>
          <w:p w:rsidR="00547E7E" w:rsidRPr="00075492" w:rsidRDefault="00547E7E">
            <w:pPr>
              <w:pStyle w:val="Normaltindrag"/>
              <w:ind w:firstLine="0"/>
              <w:rPr>
                <w:b/>
                <w:sz w:val="16"/>
              </w:rPr>
            </w:pPr>
            <w:r w:rsidRPr="00075492">
              <w:rPr>
                <w:b/>
                <w:sz w:val="16"/>
              </w:rPr>
              <w:t>2000</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Besiktningsveterinärsorg</w:t>
            </w:r>
            <w:r w:rsidRPr="00075492">
              <w:rPr>
                <w:sz w:val="16"/>
              </w:rPr>
              <w:t>a</w:t>
            </w:r>
            <w:r w:rsidRPr="00075492">
              <w:rPr>
                <w:sz w:val="16"/>
              </w:rPr>
              <w:t>nisationen (BVO)</w:t>
            </w:r>
          </w:p>
          <w:p w:rsidR="00547E7E" w:rsidRPr="00075492" w:rsidRDefault="00547E7E">
            <w:pPr>
              <w:pStyle w:val="Tabell"/>
              <w:rPr>
                <w:sz w:val="16"/>
              </w:rPr>
            </w:pPr>
          </w:p>
        </w:tc>
        <w:tc>
          <w:tcPr>
            <w:tcW w:w="944" w:type="dxa"/>
          </w:tcPr>
          <w:p w:rsidR="00547E7E" w:rsidRPr="00075492" w:rsidRDefault="00547E7E">
            <w:pPr>
              <w:pStyle w:val="Normaltindrag"/>
              <w:ind w:firstLine="0"/>
              <w:jc w:val="right"/>
              <w:rPr>
                <w:sz w:val="16"/>
              </w:rPr>
            </w:pPr>
            <w:r w:rsidRPr="00075492">
              <w:rPr>
                <w:sz w:val="16"/>
              </w:rPr>
              <w:t>+ 4 250</w:t>
            </w:r>
          </w:p>
        </w:tc>
        <w:tc>
          <w:tcPr>
            <w:tcW w:w="1039" w:type="dxa"/>
          </w:tcPr>
          <w:p w:rsidR="00547E7E" w:rsidRPr="00075492" w:rsidRDefault="00547E7E">
            <w:pPr>
              <w:pStyle w:val="Normaltindrag"/>
              <w:ind w:firstLine="0"/>
              <w:jc w:val="right"/>
              <w:rPr>
                <w:sz w:val="16"/>
              </w:rPr>
            </w:pPr>
            <w:r w:rsidRPr="00075492">
              <w:rPr>
                <w:sz w:val="16"/>
              </w:rPr>
              <w:t>+ 5 570</w:t>
            </w:r>
          </w:p>
        </w:tc>
        <w:tc>
          <w:tcPr>
            <w:tcW w:w="1039" w:type="dxa"/>
          </w:tcPr>
          <w:p w:rsidR="00547E7E" w:rsidRPr="00075492" w:rsidRDefault="00547E7E">
            <w:pPr>
              <w:pStyle w:val="Normaltindrag"/>
              <w:ind w:firstLine="0"/>
              <w:jc w:val="right"/>
              <w:rPr>
                <w:sz w:val="16"/>
              </w:rPr>
            </w:pPr>
            <w:r w:rsidRPr="00075492">
              <w:rPr>
                <w:sz w:val="16"/>
              </w:rPr>
              <w:t>+ 1 180</w:t>
            </w:r>
          </w:p>
        </w:tc>
        <w:tc>
          <w:tcPr>
            <w:tcW w:w="1039" w:type="dxa"/>
          </w:tcPr>
          <w:p w:rsidR="00547E7E" w:rsidRPr="00075492" w:rsidRDefault="00547E7E">
            <w:pPr>
              <w:pStyle w:val="Normaltindrag"/>
              <w:ind w:firstLine="0"/>
              <w:jc w:val="right"/>
              <w:rPr>
                <w:sz w:val="16"/>
              </w:rPr>
            </w:pPr>
            <w:r w:rsidRPr="00075492">
              <w:rPr>
                <w:sz w:val="16"/>
              </w:rPr>
              <w:t>- 9500</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Samordning och stöd till lokala tillsynsmyndigh</w:t>
            </w:r>
            <w:r w:rsidRPr="00075492">
              <w:rPr>
                <w:sz w:val="16"/>
              </w:rPr>
              <w:t>e</w:t>
            </w:r>
            <w:r w:rsidRPr="00075492">
              <w:rPr>
                <w:sz w:val="16"/>
              </w:rPr>
              <w:t>ter</w:t>
            </w:r>
          </w:p>
          <w:p w:rsidR="00547E7E" w:rsidRPr="00075492" w:rsidRDefault="00547E7E">
            <w:pPr>
              <w:pStyle w:val="Tabell"/>
              <w:rPr>
                <w:sz w:val="16"/>
              </w:rPr>
            </w:pPr>
          </w:p>
        </w:tc>
        <w:tc>
          <w:tcPr>
            <w:tcW w:w="944" w:type="dxa"/>
          </w:tcPr>
          <w:p w:rsidR="00547E7E" w:rsidRPr="00075492" w:rsidRDefault="00547E7E">
            <w:pPr>
              <w:pStyle w:val="Normaltindrag"/>
              <w:ind w:firstLine="0"/>
              <w:jc w:val="right"/>
              <w:rPr>
                <w:sz w:val="16"/>
              </w:rPr>
            </w:pPr>
            <w:r w:rsidRPr="00075492">
              <w:rPr>
                <w:sz w:val="16"/>
              </w:rPr>
              <w:t>+ 5 330</w:t>
            </w:r>
          </w:p>
        </w:tc>
        <w:tc>
          <w:tcPr>
            <w:tcW w:w="1039" w:type="dxa"/>
          </w:tcPr>
          <w:p w:rsidR="00547E7E" w:rsidRPr="00075492" w:rsidRDefault="00547E7E">
            <w:pPr>
              <w:pStyle w:val="Normaltindrag"/>
              <w:ind w:firstLine="0"/>
              <w:jc w:val="right"/>
              <w:rPr>
                <w:sz w:val="16"/>
              </w:rPr>
            </w:pPr>
            <w:r w:rsidRPr="00075492">
              <w:rPr>
                <w:sz w:val="16"/>
              </w:rPr>
              <w:t>+ 2 220</w:t>
            </w:r>
          </w:p>
        </w:tc>
        <w:tc>
          <w:tcPr>
            <w:tcW w:w="1039" w:type="dxa"/>
          </w:tcPr>
          <w:p w:rsidR="00547E7E" w:rsidRPr="00075492" w:rsidRDefault="00547E7E">
            <w:pPr>
              <w:pStyle w:val="Normaltindrag"/>
              <w:ind w:firstLine="0"/>
              <w:jc w:val="right"/>
              <w:rPr>
                <w:sz w:val="16"/>
              </w:rPr>
            </w:pPr>
            <w:r w:rsidRPr="00075492">
              <w:rPr>
                <w:sz w:val="16"/>
              </w:rPr>
              <w:t>+ 1 910</w:t>
            </w:r>
          </w:p>
        </w:tc>
        <w:tc>
          <w:tcPr>
            <w:tcW w:w="1039" w:type="dxa"/>
          </w:tcPr>
          <w:p w:rsidR="00547E7E" w:rsidRPr="00075492" w:rsidRDefault="00547E7E">
            <w:pPr>
              <w:pStyle w:val="Normaltindrag"/>
              <w:ind w:firstLine="0"/>
              <w:jc w:val="right"/>
              <w:rPr>
                <w:sz w:val="16"/>
              </w:rPr>
            </w:pPr>
            <w:r w:rsidRPr="00075492">
              <w:rPr>
                <w:sz w:val="16"/>
              </w:rPr>
              <w:t>+ 5 560</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Tillsyn av livsmedelsa</w:t>
            </w:r>
            <w:r w:rsidRPr="00075492">
              <w:rPr>
                <w:sz w:val="16"/>
              </w:rPr>
              <w:t>n</w:t>
            </w:r>
            <w:r w:rsidRPr="00075492">
              <w:rPr>
                <w:sz w:val="16"/>
              </w:rPr>
              <w:t xml:space="preserve">läggningar </w:t>
            </w:r>
          </w:p>
          <w:p w:rsidR="00547E7E" w:rsidRPr="00075492" w:rsidRDefault="00547E7E">
            <w:pPr>
              <w:pStyle w:val="Tabell"/>
              <w:rPr>
                <w:sz w:val="16"/>
              </w:rPr>
            </w:pPr>
          </w:p>
        </w:tc>
        <w:tc>
          <w:tcPr>
            <w:tcW w:w="944" w:type="dxa"/>
          </w:tcPr>
          <w:p w:rsidR="00547E7E" w:rsidRPr="00075492" w:rsidRDefault="00547E7E">
            <w:pPr>
              <w:pStyle w:val="Normaltindrag"/>
              <w:ind w:firstLine="0"/>
              <w:jc w:val="right"/>
              <w:rPr>
                <w:sz w:val="16"/>
              </w:rPr>
            </w:pPr>
            <w:r w:rsidRPr="00075492">
              <w:rPr>
                <w:sz w:val="16"/>
              </w:rPr>
              <w:t>- 7 400</w:t>
            </w:r>
          </w:p>
        </w:tc>
        <w:tc>
          <w:tcPr>
            <w:tcW w:w="1039" w:type="dxa"/>
          </w:tcPr>
          <w:p w:rsidR="00547E7E" w:rsidRPr="00075492" w:rsidRDefault="00547E7E">
            <w:pPr>
              <w:pStyle w:val="Normaltindrag"/>
              <w:ind w:firstLine="0"/>
              <w:jc w:val="right"/>
              <w:rPr>
                <w:sz w:val="16"/>
              </w:rPr>
            </w:pPr>
            <w:r w:rsidRPr="00075492">
              <w:rPr>
                <w:sz w:val="16"/>
              </w:rPr>
              <w:t>- 670</w:t>
            </w:r>
          </w:p>
        </w:tc>
        <w:tc>
          <w:tcPr>
            <w:tcW w:w="1039" w:type="dxa"/>
          </w:tcPr>
          <w:p w:rsidR="00547E7E" w:rsidRPr="00075492" w:rsidRDefault="00547E7E">
            <w:pPr>
              <w:pStyle w:val="Normaltindrag"/>
              <w:ind w:firstLine="0"/>
              <w:jc w:val="right"/>
              <w:rPr>
                <w:sz w:val="16"/>
              </w:rPr>
            </w:pPr>
            <w:r w:rsidRPr="00075492">
              <w:rPr>
                <w:sz w:val="16"/>
              </w:rPr>
              <w:t>- 2 540</w:t>
            </w:r>
          </w:p>
        </w:tc>
        <w:tc>
          <w:tcPr>
            <w:tcW w:w="1039" w:type="dxa"/>
          </w:tcPr>
          <w:p w:rsidR="00547E7E" w:rsidRPr="00075492" w:rsidRDefault="00547E7E">
            <w:pPr>
              <w:pStyle w:val="Normaltindrag"/>
              <w:ind w:firstLine="0"/>
              <w:jc w:val="right"/>
              <w:rPr>
                <w:sz w:val="16"/>
              </w:rPr>
            </w:pPr>
            <w:r w:rsidRPr="00075492">
              <w:rPr>
                <w:sz w:val="16"/>
              </w:rPr>
              <w:t>- 1 970</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Kontroll av främmande ämnen i animaliska livsm</w:t>
            </w:r>
            <w:r w:rsidRPr="00075492">
              <w:rPr>
                <w:sz w:val="16"/>
              </w:rPr>
              <w:t>e</w:t>
            </w:r>
            <w:r w:rsidRPr="00075492">
              <w:rPr>
                <w:sz w:val="16"/>
              </w:rPr>
              <w:t>del</w:t>
            </w:r>
          </w:p>
        </w:tc>
        <w:tc>
          <w:tcPr>
            <w:tcW w:w="944" w:type="dxa"/>
          </w:tcPr>
          <w:p w:rsidR="00547E7E" w:rsidRPr="00075492" w:rsidRDefault="00547E7E">
            <w:pPr>
              <w:pStyle w:val="Normaltindrag"/>
              <w:ind w:firstLine="0"/>
              <w:jc w:val="right"/>
              <w:rPr>
                <w:sz w:val="16"/>
              </w:rPr>
            </w:pPr>
            <w:r w:rsidRPr="00075492">
              <w:rPr>
                <w:sz w:val="16"/>
              </w:rPr>
              <w:t>+ 1 350</w:t>
            </w:r>
          </w:p>
        </w:tc>
        <w:tc>
          <w:tcPr>
            <w:tcW w:w="1039" w:type="dxa"/>
          </w:tcPr>
          <w:p w:rsidR="00547E7E" w:rsidRPr="00075492" w:rsidRDefault="00547E7E">
            <w:pPr>
              <w:pStyle w:val="Normaltindrag"/>
              <w:ind w:firstLine="0"/>
              <w:jc w:val="right"/>
              <w:rPr>
                <w:sz w:val="16"/>
              </w:rPr>
            </w:pPr>
            <w:r w:rsidRPr="00075492">
              <w:rPr>
                <w:sz w:val="16"/>
              </w:rPr>
              <w:t>- 818</w:t>
            </w:r>
          </w:p>
        </w:tc>
        <w:tc>
          <w:tcPr>
            <w:tcW w:w="1039" w:type="dxa"/>
          </w:tcPr>
          <w:p w:rsidR="00547E7E" w:rsidRPr="00075492" w:rsidRDefault="00547E7E">
            <w:pPr>
              <w:pStyle w:val="Normaltindrag"/>
              <w:ind w:firstLine="0"/>
              <w:jc w:val="right"/>
              <w:rPr>
                <w:sz w:val="16"/>
              </w:rPr>
            </w:pPr>
            <w:r w:rsidRPr="00075492">
              <w:rPr>
                <w:sz w:val="16"/>
              </w:rPr>
              <w:t>- 2 725</w:t>
            </w:r>
          </w:p>
        </w:tc>
        <w:tc>
          <w:tcPr>
            <w:tcW w:w="1039" w:type="dxa"/>
          </w:tcPr>
          <w:p w:rsidR="00547E7E" w:rsidRPr="00075492" w:rsidRDefault="00547E7E">
            <w:pPr>
              <w:pStyle w:val="Normaltindrag"/>
              <w:ind w:firstLine="0"/>
              <w:jc w:val="right"/>
              <w:rPr>
                <w:sz w:val="16"/>
              </w:rPr>
            </w:pPr>
            <w:r w:rsidRPr="00075492">
              <w:rPr>
                <w:sz w:val="16"/>
              </w:rPr>
              <w:t>-2 121</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Kontroll av rester av b</w:t>
            </w:r>
            <w:r w:rsidRPr="00075492">
              <w:rPr>
                <w:sz w:val="16"/>
              </w:rPr>
              <w:t>e</w:t>
            </w:r>
            <w:r w:rsidRPr="00075492">
              <w:rPr>
                <w:sz w:val="16"/>
              </w:rPr>
              <w:t>kämpningsmedel i vegeta- bilier</w:t>
            </w:r>
          </w:p>
        </w:tc>
        <w:tc>
          <w:tcPr>
            <w:tcW w:w="944" w:type="dxa"/>
          </w:tcPr>
          <w:p w:rsidR="00547E7E" w:rsidRPr="00075492" w:rsidRDefault="00547E7E">
            <w:pPr>
              <w:pStyle w:val="Normaltindrag"/>
              <w:ind w:firstLine="0"/>
              <w:jc w:val="right"/>
              <w:rPr>
                <w:sz w:val="16"/>
              </w:rPr>
            </w:pPr>
            <w:r w:rsidRPr="00075492">
              <w:rPr>
                <w:sz w:val="16"/>
              </w:rPr>
              <w:t>- 9 620</w:t>
            </w:r>
          </w:p>
        </w:tc>
        <w:tc>
          <w:tcPr>
            <w:tcW w:w="1039" w:type="dxa"/>
          </w:tcPr>
          <w:p w:rsidR="00547E7E" w:rsidRPr="00075492" w:rsidRDefault="00547E7E">
            <w:pPr>
              <w:pStyle w:val="Normaltindrag"/>
              <w:ind w:firstLine="0"/>
              <w:jc w:val="right"/>
              <w:rPr>
                <w:sz w:val="16"/>
              </w:rPr>
            </w:pPr>
            <w:r w:rsidRPr="00075492">
              <w:rPr>
                <w:sz w:val="16"/>
              </w:rPr>
              <w:t>- 7 800</w:t>
            </w:r>
          </w:p>
        </w:tc>
        <w:tc>
          <w:tcPr>
            <w:tcW w:w="1039" w:type="dxa"/>
          </w:tcPr>
          <w:p w:rsidR="00547E7E" w:rsidRPr="00075492" w:rsidRDefault="00547E7E">
            <w:pPr>
              <w:pStyle w:val="Normaltindrag"/>
              <w:ind w:firstLine="0"/>
              <w:jc w:val="right"/>
              <w:rPr>
                <w:sz w:val="16"/>
              </w:rPr>
            </w:pPr>
            <w:r w:rsidRPr="00075492">
              <w:rPr>
                <w:sz w:val="16"/>
              </w:rPr>
              <w:t>- 9 280</w:t>
            </w:r>
          </w:p>
        </w:tc>
        <w:tc>
          <w:tcPr>
            <w:tcW w:w="1039" w:type="dxa"/>
          </w:tcPr>
          <w:p w:rsidR="00547E7E" w:rsidRPr="00075492" w:rsidRDefault="00547E7E">
            <w:pPr>
              <w:pStyle w:val="Normaltindrag"/>
              <w:ind w:firstLine="0"/>
              <w:jc w:val="right"/>
              <w:rPr>
                <w:sz w:val="16"/>
              </w:rPr>
            </w:pPr>
            <w:r w:rsidRPr="00075492">
              <w:rPr>
                <w:sz w:val="16"/>
              </w:rPr>
              <w:t>- 7 670</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Övrigt (bl.a. laboratorietil</w:t>
            </w:r>
            <w:r w:rsidRPr="00075492">
              <w:rPr>
                <w:sz w:val="16"/>
              </w:rPr>
              <w:t>l</w:t>
            </w:r>
            <w:r w:rsidRPr="00075492">
              <w:rPr>
                <w:sz w:val="16"/>
              </w:rPr>
              <w:t>syn, smittskydd, införse</w:t>
            </w:r>
            <w:r w:rsidRPr="00075492">
              <w:rPr>
                <w:sz w:val="16"/>
              </w:rPr>
              <w:t>l</w:t>
            </w:r>
            <w:r w:rsidRPr="00075492">
              <w:rPr>
                <w:sz w:val="16"/>
              </w:rPr>
              <w:t xml:space="preserve">kontroll) </w:t>
            </w:r>
          </w:p>
        </w:tc>
        <w:tc>
          <w:tcPr>
            <w:tcW w:w="944" w:type="dxa"/>
          </w:tcPr>
          <w:p w:rsidR="00547E7E" w:rsidRPr="00075492" w:rsidRDefault="00547E7E">
            <w:pPr>
              <w:pStyle w:val="Normaltindrag"/>
              <w:ind w:firstLine="0"/>
              <w:jc w:val="right"/>
              <w:rPr>
                <w:sz w:val="16"/>
              </w:rPr>
            </w:pPr>
            <w:r w:rsidRPr="00075492">
              <w:rPr>
                <w:sz w:val="16"/>
              </w:rPr>
              <w:t>- 1 980</w:t>
            </w:r>
          </w:p>
        </w:tc>
        <w:tc>
          <w:tcPr>
            <w:tcW w:w="1039" w:type="dxa"/>
          </w:tcPr>
          <w:p w:rsidR="00547E7E" w:rsidRPr="00075492" w:rsidRDefault="00547E7E">
            <w:pPr>
              <w:pStyle w:val="Normaltindrag"/>
              <w:ind w:firstLine="0"/>
              <w:jc w:val="right"/>
              <w:rPr>
                <w:sz w:val="16"/>
              </w:rPr>
            </w:pPr>
            <w:r w:rsidRPr="00075492">
              <w:rPr>
                <w:sz w:val="16"/>
              </w:rPr>
              <w:t>- 13 200</w:t>
            </w:r>
          </w:p>
        </w:tc>
        <w:tc>
          <w:tcPr>
            <w:tcW w:w="1039" w:type="dxa"/>
          </w:tcPr>
          <w:p w:rsidR="00547E7E" w:rsidRPr="00075492" w:rsidRDefault="00547E7E">
            <w:pPr>
              <w:pStyle w:val="Normaltindrag"/>
              <w:ind w:firstLine="0"/>
              <w:jc w:val="right"/>
              <w:rPr>
                <w:sz w:val="16"/>
              </w:rPr>
            </w:pPr>
            <w:r w:rsidRPr="00075492">
              <w:rPr>
                <w:sz w:val="16"/>
              </w:rPr>
              <w:t>- 15 380</w:t>
            </w:r>
          </w:p>
        </w:tc>
        <w:tc>
          <w:tcPr>
            <w:tcW w:w="1039" w:type="dxa"/>
          </w:tcPr>
          <w:p w:rsidR="00547E7E" w:rsidRPr="00075492" w:rsidRDefault="00547E7E">
            <w:pPr>
              <w:pStyle w:val="Normaltindrag"/>
              <w:ind w:firstLine="0"/>
              <w:jc w:val="right"/>
              <w:rPr>
                <w:sz w:val="16"/>
              </w:rPr>
            </w:pPr>
            <w:r w:rsidRPr="00075492">
              <w:rPr>
                <w:sz w:val="16"/>
              </w:rPr>
              <w:t>- 22 300</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Gränskontroll av livsmedel från tredje land</w:t>
            </w:r>
          </w:p>
          <w:p w:rsidR="00547E7E" w:rsidRPr="00075492" w:rsidRDefault="00547E7E">
            <w:pPr>
              <w:pStyle w:val="Tabell"/>
              <w:rPr>
                <w:sz w:val="16"/>
              </w:rPr>
            </w:pPr>
          </w:p>
        </w:tc>
        <w:tc>
          <w:tcPr>
            <w:tcW w:w="944" w:type="dxa"/>
          </w:tcPr>
          <w:p w:rsidR="00547E7E" w:rsidRPr="00075492" w:rsidRDefault="00547E7E">
            <w:pPr>
              <w:pStyle w:val="Normaltindrag"/>
              <w:jc w:val="right"/>
              <w:rPr>
                <w:sz w:val="16"/>
              </w:rPr>
            </w:pPr>
          </w:p>
        </w:tc>
        <w:tc>
          <w:tcPr>
            <w:tcW w:w="1039" w:type="dxa"/>
          </w:tcPr>
          <w:p w:rsidR="00547E7E" w:rsidRPr="00075492" w:rsidRDefault="00547E7E">
            <w:pPr>
              <w:pStyle w:val="Normaltindrag"/>
              <w:jc w:val="right"/>
              <w:rPr>
                <w:sz w:val="16"/>
              </w:rPr>
            </w:pPr>
          </w:p>
        </w:tc>
        <w:tc>
          <w:tcPr>
            <w:tcW w:w="1039" w:type="dxa"/>
          </w:tcPr>
          <w:p w:rsidR="00547E7E" w:rsidRPr="00075492" w:rsidRDefault="00547E7E">
            <w:pPr>
              <w:pStyle w:val="Normaltindrag"/>
              <w:jc w:val="right"/>
              <w:rPr>
                <w:sz w:val="16"/>
              </w:rPr>
            </w:pPr>
          </w:p>
        </w:tc>
        <w:tc>
          <w:tcPr>
            <w:tcW w:w="1039" w:type="dxa"/>
          </w:tcPr>
          <w:p w:rsidR="00547E7E" w:rsidRPr="00075492" w:rsidRDefault="00547E7E">
            <w:pPr>
              <w:pStyle w:val="Normaltindrag"/>
              <w:jc w:val="right"/>
              <w:rPr>
                <w:sz w:val="16"/>
              </w:rPr>
            </w:pPr>
            <w:r w:rsidRPr="00075492">
              <w:rPr>
                <w:sz w:val="16"/>
              </w:rPr>
              <w:t>-560</w:t>
            </w:r>
          </w:p>
        </w:tc>
      </w:tr>
      <w:tr w:rsidR="00000000" w:rsidRPr="00075492">
        <w:tblPrEx>
          <w:tblCellMar>
            <w:top w:w="0" w:type="dxa"/>
            <w:bottom w:w="0" w:type="dxa"/>
          </w:tblCellMar>
        </w:tblPrEx>
        <w:tc>
          <w:tcPr>
            <w:tcW w:w="1975" w:type="dxa"/>
          </w:tcPr>
          <w:p w:rsidR="00547E7E" w:rsidRPr="00075492" w:rsidRDefault="00547E7E">
            <w:pPr>
              <w:pStyle w:val="Tabell"/>
              <w:rPr>
                <w:sz w:val="16"/>
              </w:rPr>
            </w:pPr>
            <w:r w:rsidRPr="00075492">
              <w:rPr>
                <w:sz w:val="16"/>
              </w:rPr>
              <w:t xml:space="preserve">Handläggning av ärenden </w:t>
            </w:r>
          </w:p>
          <w:p w:rsidR="00547E7E" w:rsidRPr="00075492" w:rsidRDefault="00547E7E">
            <w:pPr>
              <w:pStyle w:val="Tabell"/>
              <w:rPr>
                <w:sz w:val="16"/>
              </w:rPr>
            </w:pPr>
          </w:p>
          <w:p w:rsidR="00547E7E" w:rsidRPr="00075492" w:rsidRDefault="00547E7E">
            <w:pPr>
              <w:pStyle w:val="Tabell"/>
              <w:rPr>
                <w:sz w:val="16"/>
              </w:rPr>
            </w:pPr>
          </w:p>
        </w:tc>
        <w:tc>
          <w:tcPr>
            <w:tcW w:w="944" w:type="dxa"/>
          </w:tcPr>
          <w:p w:rsidR="00547E7E" w:rsidRPr="00075492" w:rsidRDefault="00547E7E">
            <w:pPr>
              <w:pStyle w:val="Normaltindrag"/>
              <w:jc w:val="right"/>
              <w:rPr>
                <w:sz w:val="16"/>
              </w:rPr>
            </w:pPr>
            <w:r w:rsidRPr="00075492">
              <w:rPr>
                <w:sz w:val="16"/>
              </w:rPr>
              <w:t>-30</w:t>
            </w:r>
          </w:p>
        </w:tc>
        <w:tc>
          <w:tcPr>
            <w:tcW w:w="1039" w:type="dxa"/>
          </w:tcPr>
          <w:p w:rsidR="00547E7E" w:rsidRPr="00075492" w:rsidRDefault="00547E7E">
            <w:pPr>
              <w:pStyle w:val="Normaltindrag"/>
              <w:jc w:val="right"/>
              <w:rPr>
                <w:sz w:val="16"/>
              </w:rPr>
            </w:pPr>
            <w:r w:rsidRPr="00075492">
              <w:rPr>
                <w:sz w:val="16"/>
              </w:rPr>
              <w:t>-60</w:t>
            </w:r>
          </w:p>
        </w:tc>
        <w:tc>
          <w:tcPr>
            <w:tcW w:w="1039" w:type="dxa"/>
          </w:tcPr>
          <w:p w:rsidR="00547E7E" w:rsidRPr="00075492" w:rsidRDefault="00547E7E">
            <w:pPr>
              <w:pStyle w:val="Normaltindrag"/>
              <w:jc w:val="right"/>
              <w:rPr>
                <w:sz w:val="16"/>
              </w:rPr>
            </w:pPr>
            <w:r w:rsidRPr="00075492">
              <w:rPr>
                <w:sz w:val="16"/>
              </w:rPr>
              <w:t>+180</w:t>
            </w:r>
          </w:p>
        </w:tc>
        <w:tc>
          <w:tcPr>
            <w:tcW w:w="1039" w:type="dxa"/>
          </w:tcPr>
          <w:p w:rsidR="00547E7E" w:rsidRPr="00075492" w:rsidRDefault="00547E7E">
            <w:pPr>
              <w:pStyle w:val="Normaltindrag"/>
              <w:jc w:val="right"/>
              <w:rPr>
                <w:sz w:val="16"/>
              </w:rPr>
            </w:pPr>
            <w:r w:rsidRPr="00075492">
              <w:rPr>
                <w:sz w:val="16"/>
              </w:rPr>
              <w:t>+120</w:t>
            </w:r>
          </w:p>
        </w:tc>
      </w:tr>
    </w:tbl>
    <w:p w:rsidR="00547E7E" w:rsidRPr="00075492" w:rsidRDefault="00547E7E">
      <w:r w:rsidRPr="00075492">
        <w:t>Av tabellen framgår att BVO har en god kostnadstäckning sett över tiden. Kostnader och intäkter balanseras över en tidsperiod.</w:t>
      </w:r>
    </w:p>
    <w:p w:rsidR="00547E7E" w:rsidRPr="00075492" w:rsidRDefault="00547E7E">
      <w:pPr>
        <w:pStyle w:val="Normaltindrag"/>
      </w:pPr>
      <w:r w:rsidRPr="00075492">
        <w:t>Verkets tillsyn över större livsmedelsanläggningar har inte full kostnad</w:t>
      </w:r>
      <w:r w:rsidRPr="00075492">
        <w:t>s</w:t>
      </w:r>
      <w:r w:rsidRPr="00075492">
        <w:t>täckning. Detta uppges bero på utformningen av EU-regleringen.</w:t>
      </w:r>
    </w:p>
    <w:p w:rsidR="00547E7E" w:rsidRPr="00075492" w:rsidRDefault="00547E7E">
      <w:pPr>
        <w:pStyle w:val="Normaltindrag"/>
      </w:pPr>
      <w:r w:rsidRPr="00075492">
        <w:t>Däremot överstiger verkets intäkter utöver anslag de insatser som redov</w:t>
      </w:r>
      <w:r w:rsidRPr="00075492">
        <w:t>i</w:t>
      </w:r>
      <w:r w:rsidRPr="00075492">
        <w:t>sas för samordning och stöd till lokala tillsynsmyndigheter. Både för år 1997 och för år 2000 redovisas ett betydande överskott på över 5 miljoner kronor vartdera året. Intäkterna är de avgiftsintäkter som kommunerna betalar till Livsmedelsverket. Enligt riksdagsbeslutet betalar kommunerna in 15 % av sina intäkter för årliga til</w:t>
      </w:r>
      <w:r w:rsidRPr="00075492">
        <w:t>l</w:t>
      </w:r>
      <w:r w:rsidRPr="00075492">
        <w:t>synsavgifter till verket.</w:t>
      </w:r>
    </w:p>
    <w:p w:rsidR="00547E7E" w:rsidRPr="00075492" w:rsidRDefault="00547E7E">
      <w:pPr>
        <w:pStyle w:val="Normaltindrag"/>
      </w:pPr>
      <w:r w:rsidRPr="00075492">
        <w:t>Skäl till att avgiftsintäkterna från kommunerna överstiger kostnaderna är, enligt Livsmedelsverket, att intäkterna ska bekosta betydligt fler uppgifter än</w:t>
      </w:r>
      <w:r w:rsidRPr="00075492">
        <w:t xml:space="preserve"> samordning och stöd till de lokala tillsynsmyndigheterna, i enlighet med riksdagsbeslutet. Livsmedelsverket har dock inte redogjort för hur redovisat överskott av de komm</w:t>
      </w:r>
      <w:r w:rsidRPr="00075492">
        <w:t>u</w:t>
      </w:r>
      <w:r w:rsidRPr="00075492">
        <w:t xml:space="preserve">nala avgiftsintäkterna har använts. </w:t>
      </w:r>
    </w:p>
    <w:p w:rsidR="00547E7E" w:rsidRPr="00075492" w:rsidRDefault="00547E7E">
      <w:pPr>
        <w:pStyle w:val="Normaltindrag"/>
      </w:pPr>
      <w:r w:rsidRPr="00075492">
        <w:t>År 2000 tillförde regeringen 4 miljoner kronor till Livsmedelsverket. De</w:t>
      </w:r>
      <w:r w:rsidRPr="00075492">
        <w:t>s</w:t>
      </w:r>
      <w:r w:rsidRPr="00075492">
        <w:t>sa medel skulle bl.a. användas till normerande inspektioner i syfte att se till att företag uppfyller EG-lagstiftningen och att den kommunala tillsynen fungerar tillfred</w:t>
      </w:r>
      <w:r w:rsidRPr="00075492">
        <w:t>s</w:t>
      </w:r>
      <w:r w:rsidRPr="00075492">
        <w:t>ställande</w:t>
      </w:r>
      <w:r w:rsidRPr="00075492">
        <w:rPr>
          <w:rStyle w:val="Fotnotsreferens"/>
        </w:rPr>
        <w:footnoteReference w:id="59"/>
      </w:r>
      <w:r w:rsidRPr="00075492">
        <w:t>.</w:t>
      </w:r>
    </w:p>
    <w:p w:rsidR="00547E7E" w:rsidRPr="00075492" w:rsidRDefault="00547E7E">
      <w:pPr>
        <w:pStyle w:val="Normaltindrag"/>
      </w:pPr>
      <w:r w:rsidRPr="00075492">
        <w:t>Livsmedelsverket genomförde dock inte fler normerande inspektioner år 2000 än året innan. Verket genomförde 39 normerande inspektioner både år 1999 och år 2000.</w:t>
      </w:r>
    </w:p>
    <w:p w:rsidR="00547E7E" w:rsidRPr="00075492" w:rsidRDefault="00547E7E">
      <w:pPr>
        <w:pStyle w:val="Normaltindrag"/>
      </w:pPr>
      <w:r w:rsidRPr="00075492">
        <w:t>I budgetunderlag för år 2001 begärde Livsmedelsverket 3 miljoner kronor i extra medel för tillsyn och utbildning av lokala inspektörer</w:t>
      </w:r>
      <w:r w:rsidRPr="00075492">
        <w:rPr>
          <w:rStyle w:val="Fotnotsreferens"/>
        </w:rPr>
        <w:footnoteReference w:id="60"/>
      </w:r>
      <w:r w:rsidRPr="00075492">
        <w:t xml:space="preserve">. Som motiv framfördes brister i tillsynen i synnerhet på den lokala nivån, vilket enligt verket beror på bristande resurser. </w:t>
      </w:r>
    </w:p>
    <w:p w:rsidR="00547E7E" w:rsidRPr="00075492" w:rsidRDefault="00547E7E">
      <w:pPr>
        <w:pStyle w:val="Normaltindrag"/>
      </w:pPr>
      <w:r w:rsidRPr="00075492">
        <w:t>Regering och riksdag beviljade dock inga särskilda medel för budgetåret 2001</w:t>
      </w:r>
      <w:r w:rsidRPr="00075492">
        <w:rPr>
          <w:rStyle w:val="Fotnotsreferens"/>
        </w:rPr>
        <w:footnoteReference w:id="61"/>
      </w:r>
      <w:r w:rsidRPr="00075492">
        <w:t>.</w:t>
      </w:r>
    </w:p>
    <w:p w:rsidR="00547E7E" w:rsidRPr="00075492" w:rsidRDefault="00547E7E">
      <w:pPr>
        <w:pStyle w:val="Rubrik2"/>
      </w:pPr>
      <w:bookmarkStart w:id="625" w:name="_Toc532284548"/>
      <w:bookmarkStart w:id="626" w:name="_Toc532292115"/>
      <w:bookmarkStart w:id="627" w:name="_Toc84662"/>
      <w:bookmarkStart w:id="628" w:name="_Toc6634621"/>
      <w:bookmarkStart w:id="629" w:name="_Toc6637203"/>
      <w:r w:rsidRPr="00075492">
        <w:t>Kommunerna</w:t>
      </w:r>
      <w:bookmarkEnd w:id="625"/>
      <w:bookmarkEnd w:id="626"/>
      <w:bookmarkEnd w:id="627"/>
      <w:bookmarkEnd w:id="628"/>
      <w:bookmarkEnd w:id="629"/>
      <w:r w:rsidRPr="00075492">
        <w:t xml:space="preserve"> </w:t>
      </w:r>
    </w:p>
    <w:p w:rsidR="00547E7E" w:rsidRPr="00075492" w:rsidRDefault="00547E7E">
      <w:r w:rsidRPr="00075492">
        <w:t>Uppgifterna om kommunernas kostnader för tillsynsverksamheten varierar.</w:t>
      </w:r>
    </w:p>
    <w:p w:rsidR="00547E7E" w:rsidRPr="00075492" w:rsidRDefault="00547E7E">
      <w:pPr>
        <w:pStyle w:val="Normaltindrag"/>
      </w:pPr>
      <w:r w:rsidRPr="00075492">
        <w:t>Utredningen om livsmedelstillsynen konstaterade att ”de kostnadsuppgifter som kommunerna rapporterar till Livsmedelsverket är så osäkra att de i praktiken är oanvändbara”.</w:t>
      </w:r>
      <w:r w:rsidRPr="00075492">
        <w:rPr>
          <w:rStyle w:val="Fotnotsreferens"/>
        </w:rPr>
        <w:footnoteReference w:id="62"/>
      </w:r>
      <w:r w:rsidRPr="00075492">
        <w:t xml:space="preserve"> En anledning till detta är att grundmaterialet som hämtas från den kommunala redovisningen inte är anpassat till det i</w:t>
      </w:r>
      <w:r w:rsidRPr="00075492">
        <w:t>n</w:t>
      </w:r>
      <w:r w:rsidRPr="00075492">
        <w:t xml:space="preserve">formationsbehov som finns för livsmedelstillsynen. </w:t>
      </w:r>
    </w:p>
    <w:p w:rsidR="00547E7E" w:rsidRPr="00075492" w:rsidRDefault="00547E7E">
      <w:pPr>
        <w:pStyle w:val="Normaltindrag"/>
      </w:pPr>
      <w:r w:rsidRPr="00075492">
        <w:t>På uppdrag av utredningen gjorde Svenska Kommunförbundet år 1997 en beräkning av kommunernas totala kostnader för livsmedelstillsynen. De totala kostnaderna beräknades till ca 250 miljoner kronor per år inklusive hyror och andra omkostnader samt analyskostnader</w:t>
      </w:r>
      <w:r w:rsidRPr="00075492">
        <w:rPr>
          <w:rStyle w:val="Fotnotsreferens"/>
        </w:rPr>
        <w:footnoteReference w:id="63"/>
      </w:r>
      <w:r w:rsidRPr="00075492">
        <w:t xml:space="preserve">. </w:t>
      </w:r>
    </w:p>
    <w:p w:rsidR="00547E7E" w:rsidRPr="00075492" w:rsidRDefault="00547E7E">
      <w:pPr>
        <w:pStyle w:val="Normaltindrag"/>
      </w:pPr>
      <w:r w:rsidRPr="00075492">
        <w:t>I likhet med utredningen om livsmedelstillsynen konstaterade Livsmedel</w:t>
      </w:r>
      <w:r w:rsidRPr="00075492">
        <w:t>s</w:t>
      </w:r>
      <w:r w:rsidRPr="00075492">
        <w:t>verket att det ”inte går att säkert beräkna hur mycket livsmedelstillsynen kostar för de lokala tillsynsmyndigheterna”</w:t>
      </w:r>
      <w:r w:rsidRPr="00075492">
        <w:rPr>
          <w:rStyle w:val="Fotnotsreferens"/>
        </w:rPr>
        <w:footnoteReference w:id="64"/>
      </w:r>
      <w:r w:rsidRPr="00075492">
        <w:t>. Verkets bedömning var att kostnaderna uppgår till ca 200–250 miljoner kronor per år, vilket baserades på olika beräkningsexempel. I rapporten anges att ca 50 % av den komm</w:t>
      </w:r>
      <w:r w:rsidRPr="00075492">
        <w:t>u</w:t>
      </w:r>
      <w:r w:rsidRPr="00075492">
        <w:t>nala tillsynsver</w:t>
      </w:r>
      <w:r w:rsidRPr="00075492">
        <w:t>k</w:t>
      </w:r>
      <w:r w:rsidRPr="00075492">
        <w:t>samheten finansieras via avgifter.</w:t>
      </w:r>
    </w:p>
    <w:p w:rsidR="00547E7E" w:rsidRPr="00075492" w:rsidRDefault="00547E7E">
      <w:pPr>
        <w:pStyle w:val="Normaltindrag"/>
      </w:pPr>
      <w:r w:rsidRPr="00075492">
        <w:t>Svenska Kommunförbundet genomförde en undersökning år 2000 som bl.a. omfattade kommunernas kostnader för livsmedelstillsynen. Uppgifterna i Kommunförbundets enkät har grundats på en fördjupad analys i 28 ko</w:t>
      </w:r>
      <w:r w:rsidRPr="00075492">
        <w:t>m</w:t>
      </w:r>
      <w:r w:rsidRPr="00075492">
        <w:t xml:space="preserve">muner. Enligt denna uppgår avgiftsfinansieringen för livsmedelstillsynen till 71 % av kommunernas kostnader. </w:t>
      </w:r>
    </w:p>
    <w:p w:rsidR="00547E7E" w:rsidRPr="00075492" w:rsidRDefault="00547E7E">
      <w:pPr>
        <w:pStyle w:val="Normaltindrag"/>
      </w:pPr>
      <w:r w:rsidRPr="00075492">
        <w:t>Svenska Kommunförbundet har i underlag till revisorerna beräknat de t</w:t>
      </w:r>
      <w:r w:rsidRPr="00075492">
        <w:t>o</w:t>
      </w:r>
      <w:r w:rsidRPr="00075492">
        <w:t>tala kostnaderna för livsmedelstillsynen år 1999</w:t>
      </w:r>
      <w:r w:rsidRPr="00075492">
        <w:rPr>
          <w:rStyle w:val="Fotnotsreferens"/>
        </w:rPr>
        <w:footnoteReference w:id="65"/>
      </w:r>
      <w:r w:rsidRPr="00075492">
        <w:t>. Enligt förbundets berä</w:t>
      </w:r>
      <w:r w:rsidRPr="00075492">
        <w:t>k</w:t>
      </w:r>
      <w:r w:rsidRPr="00075492">
        <w:t>ningar uppgick kostnaderna till ca 240 miljoner kronor. Intäkter för provta</w:t>
      </w:r>
      <w:r w:rsidRPr="00075492">
        <w:t>g</w:t>
      </w:r>
      <w:r w:rsidRPr="00075492">
        <w:t>ning och undersökning uppgick till ca 97 miljoner kronor varav 15 % av intäkterna inbetalades till Livsmedelsverket. Detta skulle innebära att ca 34 % av kostnaderna finansierades genom avgifter och 66 % finansierades g</w:t>
      </w:r>
      <w:r w:rsidRPr="00075492">
        <w:t>e</w:t>
      </w:r>
      <w:r w:rsidRPr="00075492">
        <w:t xml:space="preserve">nom kommunalskatt. </w:t>
      </w:r>
    </w:p>
    <w:p w:rsidR="00547E7E" w:rsidRPr="00075492" w:rsidRDefault="00547E7E">
      <w:pPr>
        <w:pStyle w:val="Normaltindrag"/>
      </w:pPr>
      <w:r w:rsidRPr="00075492">
        <w:t>Sammanfattningsvis kan konstateras att uppgifter om kommunernas kos</w:t>
      </w:r>
      <w:r w:rsidRPr="00075492">
        <w:t>t</w:t>
      </w:r>
      <w:r w:rsidRPr="00075492">
        <w:t>nader är varierande och osäkra.</w:t>
      </w:r>
    </w:p>
    <w:p w:rsidR="00547E7E" w:rsidRPr="00075492" w:rsidRDefault="00547E7E">
      <w:pPr>
        <w:pStyle w:val="Rubrik2"/>
      </w:pPr>
      <w:bookmarkStart w:id="630" w:name="_Toc532284549"/>
      <w:bookmarkStart w:id="631" w:name="_Toc532292116"/>
      <w:bookmarkStart w:id="632" w:name="_Toc84663"/>
      <w:bookmarkStart w:id="633" w:name="_Toc6634622"/>
      <w:bookmarkStart w:id="634" w:name="_Toc6637204"/>
      <w:r w:rsidRPr="00075492">
        <w:t>Kostnadsredovisning i rapporteringssystemet</w:t>
      </w:r>
      <w:bookmarkEnd w:id="630"/>
      <w:bookmarkEnd w:id="631"/>
      <w:bookmarkEnd w:id="632"/>
      <w:bookmarkEnd w:id="633"/>
      <w:bookmarkEnd w:id="634"/>
    </w:p>
    <w:p w:rsidR="00547E7E" w:rsidRPr="00075492" w:rsidRDefault="00547E7E">
      <w:r w:rsidRPr="00075492">
        <w:t>Livsmedelsverket har i den årliga rapporteringen frågat kommunerna om storleken på nämndens totala kostnader för livsmedelstillsyn enligt bokslutet. Dessa uppgifter, är som tidigare redovisats, mycket osäkra. Från kommunalt håll uppges att Livsmedelsverket inte har specificerat vad som ska ingå i kostnadsred</w:t>
      </w:r>
      <w:r w:rsidRPr="00075492">
        <w:t>o</w:t>
      </w:r>
      <w:r w:rsidRPr="00075492">
        <w:t xml:space="preserve">visningen.  </w:t>
      </w:r>
    </w:p>
    <w:p w:rsidR="00547E7E" w:rsidRPr="00075492" w:rsidRDefault="00547E7E">
      <w:pPr>
        <w:pStyle w:val="Normaltindrag"/>
      </w:pPr>
      <w:r w:rsidRPr="00075492">
        <w:t>Livsmedelsverket har tillsammans med Svenska Kommunförbudet utfo</w:t>
      </w:r>
      <w:r w:rsidRPr="00075492">
        <w:t>r</w:t>
      </w:r>
      <w:r w:rsidRPr="00075492">
        <w:t>mat ett nytt rapporteringssystem. I det nya rapporteringssystemet har frågan om kommunernas kostnader utgått. Enligt Livsmedelsverket beror detta på att det förefaller vara omöjligt att få fram tillförlitliga uppgifter om kostn</w:t>
      </w:r>
      <w:r w:rsidRPr="00075492">
        <w:t>a</w:t>
      </w:r>
      <w:r w:rsidRPr="00075492">
        <w:t>derna. Däremot kommer kommunerna även fortsättningsvis att lämna up</w:t>
      </w:r>
      <w:r w:rsidRPr="00075492">
        <w:t>p</w:t>
      </w:r>
      <w:r w:rsidRPr="00075492">
        <w:t>gifter om antalet årsarbetskrafter. Enligt verkets uppfattning är dessa up</w:t>
      </w:r>
      <w:r w:rsidRPr="00075492">
        <w:t>p</w:t>
      </w:r>
      <w:r w:rsidRPr="00075492">
        <w:t>gifter mer tillförlitliga och ger en bra uppfattning om kommunernas tillsyn</w:t>
      </w:r>
      <w:r w:rsidRPr="00075492">
        <w:t>s</w:t>
      </w:r>
      <w:r w:rsidRPr="00075492">
        <w:t xml:space="preserve">resurser. </w:t>
      </w:r>
    </w:p>
    <w:p w:rsidR="00547E7E" w:rsidRPr="00075492" w:rsidRDefault="00547E7E">
      <w:pPr>
        <w:pStyle w:val="Rubrik2"/>
      </w:pPr>
      <w:bookmarkStart w:id="635" w:name="_Toc532284550"/>
      <w:bookmarkStart w:id="636" w:name="_Toc532292117"/>
      <w:bookmarkStart w:id="637" w:name="_Toc84664"/>
      <w:bookmarkStart w:id="638" w:name="_Toc6634623"/>
      <w:bookmarkStart w:id="639" w:name="_Toc6637205"/>
      <w:r w:rsidRPr="00075492">
        <w:t>Bedömning av de totala kostnaderna</w:t>
      </w:r>
      <w:bookmarkEnd w:id="635"/>
      <w:bookmarkEnd w:id="636"/>
      <w:bookmarkEnd w:id="637"/>
      <w:bookmarkEnd w:id="638"/>
      <w:bookmarkEnd w:id="639"/>
    </w:p>
    <w:p w:rsidR="00547E7E" w:rsidRPr="00075492" w:rsidRDefault="00547E7E">
      <w:r w:rsidRPr="00075492">
        <w:t xml:space="preserve">I tabell 14 finns en bedömning av kostnader och redovisade intäkter för livsmedelstillsynen i Sverige på grundval av underlag som finns att tillgå. </w:t>
      </w:r>
    </w:p>
    <w:p w:rsidR="00547E7E" w:rsidRPr="00075492" w:rsidRDefault="00547E7E">
      <w:pPr>
        <w:pStyle w:val="Beskrivning"/>
      </w:pPr>
      <w:r w:rsidRPr="00075492">
        <w:t xml:space="preserve">Tabell </w:t>
      </w:r>
      <w:r w:rsidRPr="00075492">
        <w:t>14</w:t>
      </w:r>
      <w:r w:rsidRPr="00075492">
        <w:t xml:space="preserve"> Kostnader och intäkter samt antal årsarbetskrafter för liv</w:t>
      </w:r>
      <w:r w:rsidRPr="00075492">
        <w:t>s</w:t>
      </w:r>
      <w:r w:rsidRPr="00075492">
        <w:t xml:space="preserve">medelstillsynen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1"/>
        <w:gridCol w:w="1332"/>
        <w:gridCol w:w="789"/>
        <w:gridCol w:w="1384"/>
      </w:tblGrid>
      <w:tr w:rsidR="00000000" w:rsidRPr="00075492">
        <w:tblPrEx>
          <w:tblCellMar>
            <w:top w:w="0" w:type="dxa"/>
            <w:bottom w:w="0" w:type="dxa"/>
          </w:tblCellMar>
        </w:tblPrEx>
        <w:tc>
          <w:tcPr>
            <w:tcW w:w="2531" w:type="dxa"/>
            <w:shd w:val="pct20" w:color="auto" w:fill="FFFFFF"/>
          </w:tcPr>
          <w:p w:rsidR="00547E7E" w:rsidRPr="00075492" w:rsidRDefault="00547E7E">
            <w:pPr>
              <w:pStyle w:val="Normaltindrag"/>
              <w:ind w:firstLine="0"/>
              <w:jc w:val="center"/>
              <w:rPr>
                <w:sz w:val="16"/>
              </w:rPr>
            </w:pPr>
          </w:p>
        </w:tc>
        <w:tc>
          <w:tcPr>
            <w:tcW w:w="1332" w:type="dxa"/>
            <w:shd w:val="pct20" w:color="auto" w:fill="FFFFFF"/>
          </w:tcPr>
          <w:p w:rsidR="00547E7E" w:rsidRPr="00075492" w:rsidRDefault="00547E7E">
            <w:pPr>
              <w:pStyle w:val="Normaltindrag"/>
              <w:ind w:firstLine="0"/>
              <w:jc w:val="center"/>
              <w:rPr>
                <w:b/>
                <w:sz w:val="16"/>
              </w:rPr>
            </w:pPr>
            <w:r w:rsidRPr="00075492">
              <w:rPr>
                <w:b/>
                <w:sz w:val="16"/>
              </w:rPr>
              <w:t xml:space="preserve">Kostnader mnkr </w:t>
            </w:r>
          </w:p>
        </w:tc>
        <w:tc>
          <w:tcPr>
            <w:tcW w:w="789" w:type="dxa"/>
            <w:shd w:val="pct20" w:color="auto" w:fill="FFFFFF"/>
          </w:tcPr>
          <w:p w:rsidR="00547E7E" w:rsidRPr="00075492" w:rsidRDefault="00547E7E">
            <w:pPr>
              <w:pStyle w:val="Normaltindrag"/>
              <w:ind w:firstLine="0"/>
              <w:jc w:val="center"/>
              <w:rPr>
                <w:b/>
                <w:sz w:val="16"/>
              </w:rPr>
            </w:pPr>
            <w:r w:rsidRPr="00075492">
              <w:rPr>
                <w:b/>
                <w:sz w:val="16"/>
              </w:rPr>
              <w:t>Intäkter</w:t>
            </w:r>
          </w:p>
        </w:tc>
        <w:tc>
          <w:tcPr>
            <w:tcW w:w="1384" w:type="dxa"/>
            <w:shd w:val="pct20" w:color="auto" w:fill="FFFFFF"/>
          </w:tcPr>
          <w:p w:rsidR="00547E7E" w:rsidRPr="00075492" w:rsidRDefault="00547E7E">
            <w:pPr>
              <w:pStyle w:val="Normaltindrag"/>
              <w:ind w:firstLine="0"/>
              <w:jc w:val="center"/>
              <w:rPr>
                <w:b/>
                <w:sz w:val="16"/>
              </w:rPr>
            </w:pPr>
            <w:r w:rsidRPr="00075492">
              <w:rPr>
                <w:b/>
                <w:sz w:val="16"/>
              </w:rPr>
              <w:t>Årsarbetskra</w:t>
            </w:r>
            <w:r w:rsidRPr="00075492">
              <w:rPr>
                <w:b/>
                <w:sz w:val="16"/>
              </w:rPr>
              <w:t>f</w:t>
            </w:r>
            <w:r w:rsidRPr="00075492">
              <w:rPr>
                <w:b/>
                <w:sz w:val="16"/>
              </w:rPr>
              <w:t>ter</w:t>
            </w:r>
          </w:p>
        </w:tc>
      </w:tr>
      <w:tr w:rsidR="00000000" w:rsidRPr="00075492">
        <w:tblPrEx>
          <w:tblCellMar>
            <w:top w:w="0" w:type="dxa"/>
            <w:bottom w:w="0" w:type="dxa"/>
          </w:tblCellMar>
        </w:tblPrEx>
        <w:tc>
          <w:tcPr>
            <w:tcW w:w="2531" w:type="dxa"/>
          </w:tcPr>
          <w:p w:rsidR="00547E7E" w:rsidRPr="00075492" w:rsidRDefault="00547E7E">
            <w:pPr>
              <w:pStyle w:val="Normaltindrag"/>
              <w:ind w:firstLine="0"/>
              <w:jc w:val="left"/>
              <w:rPr>
                <w:sz w:val="16"/>
              </w:rPr>
            </w:pPr>
            <w:r w:rsidRPr="00075492">
              <w:rPr>
                <w:sz w:val="16"/>
              </w:rPr>
              <w:t>Livsmedelsverket, tillsyn av större anläggningar (år 2000)</w:t>
            </w:r>
          </w:p>
        </w:tc>
        <w:tc>
          <w:tcPr>
            <w:tcW w:w="1332"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8,8</w:t>
            </w:r>
          </w:p>
        </w:tc>
        <w:tc>
          <w:tcPr>
            <w:tcW w:w="789"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6,9</w:t>
            </w:r>
          </w:p>
        </w:tc>
        <w:tc>
          <w:tcPr>
            <w:tcW w:w="1384"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12</w:t>
            </w:r>
          </w:p>
        </w:tc>
      </w:tr>
      <w:tr w:rsidR="00000000" w:rsidRPr="00075492">
        <w:tblPrEx>
          <w:tblCellMar>
            <w:top w:w="0" w:type="dxa"/>
            <w:bottom w:w="0" w:type="dxa"/>
          </w:tblCellMar>
        </w:tblPrEx>
        <w:tc>
          <w:tcPr>
            <w:tcW w:w="2531" w:type="dxa"/>
          </w:tcPr>
          <w:p w:rsidR="00547E7E" w:rsidRPr="00075492" w:rsidRDefault="00547E7E">
            <w:pPr>
              <w:pStyle w:val="Normaltindrag"/>
              <w:ind w:firstLine="0"/>
              <w:jc w:val="left"/>
              <w:rPr>
                <w:sz w:val="16"/>
              </w:rPr>
            </w:pPr>
            <w:r w:rsidRPr="00075492">
              <w:rPr>
                <w:sz w:val="16"/>
              </w:rPr>
              <w:t>Livsmedelsverket, BVO (år 2000)</w:t>
            </w:r>
          </w:p>
          <w:p w:rsidR="00547E7E" w:rsidRPr="00075492" w:rsidRDefault="00547E7E">
            <w:pPr>
              <w:pStyle w:val="Normaltindrag"/>
              <w:ind w:firstLine="0"/>
              <w:jc w:val="left"/>
              <w:rPr>
                <w:sz w:val="16"/>
              </w:rPr>
            </w:pPr>
          </w:p>
        </w:tc>
        <w:tc>
          <w:tcPr>
            <w:tcW w:w="1332"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101,9</w:t>
            </w:r>
          </w:p>
        </w:tc>
        <w:tc>
          <w:tcPr>
            <w:tcW w:w="789"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92,4</w:t>
            </w:r>
          </w:p>
        </w:tc>
        <w:tc>
          <w:tcPr>
            <w:tcW w:w="1384"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173</w:t>
            </w:r>
          </w:p>
        </w:tc>
      </w:tr>
      <w:tr w:rsidR="00000000" w:rsidRPr="00075492">
        <w:tblPrEx>
          <w:tblCellMar>
            <w:top w:w="0" w:type="dxa"/>
            <w:bottom w:w="0" w:type="dxa"/>
          </w:tblCellMar>
        </w:tblPrEx>
        <w:tc>
          <w:tcPr>
            <w:tcW w:w="2531" w:type="dxa"/>
          </w:tcPr>
          <w:p w:rsidR="00547E7E" w:rsidRPr="00075492" w:rsidRDefault="00547E7E">
            <w:pPr>
              <w:pStyle w:val="Normaltindrag"/>
              <w:ind w:firstLine="0"/>
              <w:jc w:val="left"/>
              <w:rPr>
                <w:sz w:val="16"/>
              </w:rPr>
            </w:pPr>
            <w:r w:rsidRPr="00075492">
              <w:rPr>
                <w:sz w:val="16"/>
              </w:rPr>
              <w:t>Livsmedelsverket, övrigt tillsyn, inkl. samordning och stöd till ko</w:t>
            </w:r>
            <w:r w:rsidRPr="00075492">
              <w:rPr>
                <w:sz w:val="16"/>
              </w:rPr>
              <w:t>m</w:t>
            </w:r>
            <w:r w:rsidRPr="00075492">
              <w:rPr>
                <w:sz w:val="16"/>
              </w:rPr>
              <w:t>mune</w:t>
            </w:r>
            <w:r w:rsidRPr="00075492">
              <w:rPr>
                <w:sz w:val="16"/>
              </w:rPr>
              <w:t>r</w:t>
            </w:r>
            <w:r w:rsidRPr="00075492">
              <w:rPr>
                <w:sz w:val="16"/>
              </w:rPr>
              <w:t xml:space="preserve">na (år 2000) </w:t>
            </w:r>
          </w:p>
        </w:tc>
        <w:tc>
          <w:tcPr>
            <w:tcW w:w="1332"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55,8</w:t>
            </w:r>
          </w:p>
        </w:tc>
        <w:tc>
          <w:tcPr>
            <w:tcW w:w="789"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28,4 **</w:t>
            </w:r>
          </w:p>
        </w:tc>
        <w:tc>
          <w:tcPr>
            <w:tcW w:w="1384"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53</w:t>
            </w:r>
          </w:p>
        </w:tc>
      </w:tr>
      <w:tr w:rsidR="00000000" w:rsidRPr="00075492">
        <w:tblPrEx>
          <w:tblCellMar>
            <w:top w:w="0" w:type="dxa"/>
            <w:bottom w:w="0" w:type="dxa"/>
          </w:tblCellMar>
        </w:tblPrEx>
        <w:tc>
          <w:tcPr>
            <w:tcW w:w="2531" w:type="dxa"/>
          </w:tcPr>
          <w:p w:rsidR="00547E7E" w:rsidRPr="00075492" w:rsidRDefault="00547E7E">
            <w:pPr>
              <w:pStyle w:val="Normaltindrag"/>
              <w:ind w:firstLine="0"/>
              <w:jc w:val="left"/>
              <w:rPr>
                <w:sz w:val="16"/>
              </w:rPr>
            </w:pPr>
            <w:r w:rsidRPr="00075492">
              <w:rPr>
                <w:sz w:val="16"/>
              </w:rPr>
              <w:t>Länsstyrelserna (år 2000)</w:t>
            </w:r>
          </w:p>
          <w:p w:rsidR="00547E7E" w:rsidRPr="00075492" w:rsidRDefault="00547E7E">
            <w:pPr>
              <w:pStyle w:val="Normaltindrag"/>
              <w:ind w:firstLine="0"/>
              <w:jc w:val="left"/>
              <w:rPr>
                <w:sz w:val="16"/>
              </w:rPr>
            </w:pPr>
          </w:p>
        </w:tc>
        <w:tc>
          <w:tcPr>
            <w:tcW w:w="1332"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5 *</w:t>
            </w:r>
          </w:p>
        </w:tc>
        <w:tc>
          <w:tcPr>
            <w:tcW w:w="789"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w:t>
            </w:r>
          </w:p>
        </w:tc>
        <w:tc>
          <w:tcPr>
            <w:tcW w:w="1384"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6</w:t>
            </w:r>
          </w:p>
        </w:tc>
      </w:tr>
      <w:tr w:rsidR="00000000" w:rsidRPr="00075492">
        <w:tblPrEx>
          <w:tblCellMar>
            <w:top w:w="0" w:type="dxa"/>
            <w:bottom w:w="0" w:type="dxa"/>
          </w:tblCellMar>
        </w:tblPrEx>
        <w:tc>
          <w:tcPr>
            <w:tcW w:w="2531" w:type="dxa"/>
          </w:tcPr>
          <w:p w:rsidR="00547E7E" w:rsidRPr="00075492" w:rsidRDefault="00547E7E">
            <w:pPr>
              <w:pStyle w:val="Normaltindrag"/>
              <w:ind w:firstLine="0"/>
              <w:jc w:val="left"/>
              <w:rPr>
                <w:sz w:val="16"/>
              </w:rPr>
            </w:pPr>
            <w:r w:rsidRPr="00075492">
              <w:rPr>
                <w:sz w:val="16"/>
              </w:rPr>
              <w:t>Kommunerna  (år 1999)</w:t>
            </w:r>
          </w:p>
          <w:p w:rsidR="00547E7E" w:rsidRPr="00075492" w:rsidRDefault="00547E7E">
            <w:pPr>
              <w:pStyle w:val="Normaltindrag"/>
              <w:ind w:firstLine="0"/>
              <w:jc w:val="left"/>
              <w:rPr>
                <w:sz w:val="16"/>
              </w:rPr>
            </w:pPr>
          </w:p>
        </w:tc>
        <w:tc>
          <w:tcPr>
            <w:tcW w:w="1332"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240</w:t>
            </w:r>
          </w:p>
        </w:tc>
        <w:tc>
          <w:tcPr>
            <w:tcW w:w="789"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82,6</w:t>
            </w:r>
          </w:p>
        </w:tc>
        <w:tc>
          <w:tcPr>
            <w:tcW w:w="1384" w:type="dxa"/>
          </w:tcPr>
          <w:p w:rsidR="00547E7E" w:rsidRPr="00075492" w:rsidRDefault="00547E7E">
            <w:pPr>
              <w:pStyle w:val="Normaltindrag"/>
              <w:ind w:firstLine="0"/>
              <w:jc w:val="right"/>
              <w:rPr>
                <w:sz w:val="16"/>
              </w:rPr>
            </w:pPr>
          </w:p>
          <w:p w:rsidR="00547E7E" w:rsidRPr="00075492" w:rsidRDefault="00547E7E">
            <w:pPr>
              <w:pStyle w:val="Normaltindrag"/>
              <w:ind w:firstLine="0"/>
              <w:jc w:val="right"/>
              <w:rPr>
                <w:sz w:val="16"/>
              </w:rPr>
            </w:pPr>
            <w:r w:rsidRPr="00075492">
              <w:rPr>
                <w:sz w:val="16"/>
              </w:rPr>
              <w:t>337 ***</w:t>
            </w:r>
          </w:p>
        </w:tc>
      </w:tr>
      <w:tr w:rsidR="00000000" w:rsidRPr="00075492">
        <w:tblPrEx>
          <w:tblCellMar>
            <w:top w:w="0" w:type="dxa"/>
            <w:bottom w:w="0" w:type="dxa"/>
          </w:tblCellMar>
        </w:tblPrEx>
        <w:tc>
          <w:tcPr>
            <w:tcW w:w="2531" w:type="dxa"/>
          </w:tcPr>
          <w:p w:rsidR="00547E7E" w:rsidRPr="00075492" w:rsidRDefault="00547E7E">
            <w:pPr>
              <w:pStyle w:val="Normaltindrag"/>
              <w:ind w:firstLine="0"/>
              <w:jc w:val="left"/>
              <w:rPr>
                <w:b/>
                <w:sz w:val="16"/>
              </w:rPr>
            </w:pPr>
            <w:r w:rsidRPr="00075492">
              <w:rPr>
                <w:b/>
                <w:sz w:val="16"/>
              </w:rPr>
              <w:t>Totalt</w:t>
            </w:r>
          </w:p>
        </w:tc>
        <w:tc>
          <w:tcPr>
            <w:tcW w:w="1332" w:type="dxa"/>
          </w:tcPr>
          <w:p w:rsidR="00547E7E" w:rsidRPr="00075492" w:rsidRDefault="00547E7E">
            <w:pPr>
              <w:pStyle w:val="Normaltindrag"/>
              <w:ind w:firstLine="0"/>
              <w:jc w:val="right"/>
              <w:rPr>
                <w:b/>
                <w:sz w:val="16"/>
              </w:rPr>
            </w:pPr>
            <w:r w:rsidRPr="00075492">
              <w:rPr>
                <w:b/>
                <w:sz w:val="16"/>
              </w:rPr>
              <w:t>411,5</w:t>
            </w:r>
          </w:p>
        </w:tc>
        <w:tc>
          <w:tcPr>
            <w:tcW w:w="789" w:type="dxa"/>
          </w:tcPr>
          <w:p w:rsidR="00547E7E" w:rsidRPr="00075492" w:rsidRDefault="00547E7E">
            <w:pPr>
              <w:pStyle w:val="Normaltindrag"/>
              <w:ind w:firstLine="0"/>
              <w:jc w:val="right"/>
              <w:rPr>
                <w:b/>
                <w:sz w:val="16"/>
              </w:rPr>
            </w:pPr>
            <w:r w:rsidRPr="00075492">
              <w:rPr>
                <w:b/>
                <w:sz w:val="16"/>
              </w:rPr>
              <w:t>210,3</w:t>
            </w:r>
          </w:p>
        </w:tc>
        <w:tc>
          <w:tcPr>
            <w:tcW w:w="1384" w:type="dxa"/>
          </w:tcPr>
          <w:p w:rsidR="00547E7E" w:rsidRPr="00075492" w:rsidRDefault="00547E7E">
            <w:pPr>
              <w:pStyle w:val="Normaltindrag"/>
              <w:ind w:firstLine="0"/>
              <w:jc w:val="right"/>
              <w:rPr>
                <w:b/>
                <w:sz w:val="16"/>
              </w:rPr>
            </w:pPr>
            <w:r w:rsidRPr="00075492">
              <w:rPr>
                <w:b/>
                <w:sz w:val="16"/>
              </w:rPr>
              <w:t>581</w:t>
            </w:r>
          </w:p>
        </w:tc>
      </w:tr>
    </w:tbl>
    <w:p w:rsidR="00547E7E" w:rsidRPr="00075492" w:rsidRDefault="00547E7E">
      <w:pPr>
        <w:pStyle w:val="Normaltindrag"/>
      </w:pPr>
    </w:p>
    <w:p w:rsidR="00547E7E" w:rsidRPr="00075492" w:rsidRDefault="00547E7E">
      <w:pPr>
        <w:pStyle w:val="Tabell"/>
      </w:pPr>
      <w:r w:rsidRPr="00075492">
        <w:t>*    Länsstyrelsernas kostnader är beräknade på grundval av kostnaderna per årsa</w:t>
      </w:r>
      <w:r w:rsidRPr="00075492">
        <w:t>r</w:t>
      </w:r>
      <w:r w:rsidRPr="00075492">
        <w:t xml:space="preserve">betskraft inklusive overheadkostnader. </w:t>
      </w:r>
    </w:p>
    <w:p w:rsidR="00547E7E" w:rsidRPr="00075492" w:rsidRDefault="00547E7E">
      <w:pPr>
        <w:pStyle w:val="Tabell"/>
      </w:pPr>
      <w:r w:rsidRPr="00075492">
        <w:t>**  varav 14, 6 miljoner kronor utgörs av intäkter från kommunerna.</w:t>
      </w:r>
    </w:p>
    <w:p w:rsidR="00547E7E" w:rsidRPr="00075492" w:rsidRDefault="00547E7E">
      <w:pPr>
        <w:pStyle w:val="Tabell"/>
      </w:pPr>
      <w:r w:rsidRPr="00075492">
        <w:t>*** 6 kommuner har inte lämnat uppgifter om antal årsarbetskrafter.</w:t>
      </w:r>
    </w:p>
    <w:p w:rsidR="00547E7E" w:rsidRPr="00075492" w:rsidRDefault="00547E7E">
      <w:pPr>
        <w:pStyle w:val="Tabell"/>
      </w:pPr>
    </w:p>
    <w:p w:rsidR="00547E7E" w:rsidRPr="00075492" w:rsidRDefault="00547E7E">
      <w:pPr>
        <w:pStyle w:val="Tabell"/>
      </w:pPr>
      <w:r w:rsidRPr="00075492">
        <w:t>Källa: Livsmedelsverkets årsredovisning och underlag från Svenska Kommunförbu</w:t>
      </w:r>
      <w:r w:rsidRPr="00075492">
        <w:t>n</w:t>
      </w:r>
      <w:r w:rsidRPr="00075492">
        <w:t xml:space="preserve">det </w:t>
      </w:r>
    </w:p>
    <w:p w:rsidR="00547E7E" w:rsidRPr="00075492" w:rsidRDefault="00547E7E">
      <w:r w:rsidRPr="00075492">
        <w:t>Utifrån befintligt underlag har kostnaderna för livsmedelstillsynen i Sverige uppskattats till drygt 400 miljoner kronor. Avgiftsintäkterna uppgår till ca 210 miljoner kronor. Kommunernas kostnader är dock varierande och osä</w:t>
      </w:r>
      <w:r w:rsidRPr="00075492">
        <w:t>k</w:t>
      </w:r>
      <w:r w:rsidRPr="00075492">
        <w:t>ra. Totalt arbetar ca 580 årsarbetskrafter med livsmedelstillsyn i Sv</w:t>
      </w:r>
      <w:r w:rsidRPr="00075492">
        <w:t>e</w:t>
      </w:r>
      <w:r w:rsidRPr="00075492">
        <w:t>rige.</w:t>
      </w:r>
    </w:p>
    <w:p w:rsidR="00547E7E" w:rsidRPr="00075492" w:rsidRDefault="00547E7E">
      <w:pPr>
        <w:pStyle w:val="Normaltindrag"/>
      </w:pPr>
      <w:r w:rsidRPr="00075492">
        <w:t>Uppgifterna för Livsmedelsverkets tillsyn av större livsmedelsanläggnin</w:t>
      </w:r>
      <w:r w:rsidRPr="00075492">
        <w:t>g</w:t>
      </w:r>
      <w:r w:rsidRPr="00075492">
        <w:t>ar är dock delvis missvisande. BVO utför också tillsyn över större anläg</w:t>
      </w:r>
      <w:r w:rsidRPr="00075492">
        <w:t>g</w:t>
      </w:r>
      <w:r w:rsidRPr="00075492">
        <w:t>ningar. Kostnaderna för besiktningsveterinärsorganisationens tillsyn av större anläggningar är inte förd</w:t>
      </w:r>
      <w:r w:rsidRPr="00075492">
        <w:t>e</w:t>
      </w:r>
      <w:r w:rsidRPr="00075492">
        <w:t xml:space="preserve">lade på slakterier och större anläggningar. </w:t>
      </w:r>
    </w:p>
    <w:p w:rsidR="00547E7E" w:rsidRPr="00075492" w:rsidRDefault="00547E7E">
      <w:pPr>
        <w:pStyle w:val="Rubrik2"/>
      </w:pPr>
      <w:bookmarkStart w:id="640" w:name="_Toc532284551"/>
      <w:bookmarkStart w:id="641" w:name="_Toc532292118"/>
      <w:bookmarkStart w:id="642" w:name="_Toc84665"/>
      <w:bookmarkStart w:id="643" w:name="_Toc6634624"/>
      <w:bookmarkStart w:id="644" w:name="_Toc6637206"/>
      <w:r w:rsidRPr="00075492">
        <w:t>Sammanfattning</w:t>
      </w:r>
      <w:bookmarkEnd w:id="640"/>
      <w:bookmarkEnd w:id="641"/>
      <w:bookmarkEnd w:id="642"/>
      <w:bookmarkEnd w:id="643"/>
      <w:bookmarkEnd w:id="644"/>
    </w:p>
    <w:p w:rsidR="00547E7E" w:rsidRPr="00075492" w:rsidRDefault="00547E7E">
      <w:r w:rsidRPr="00075492">
        <w:t>Livsmedelstillsynen i Sverige finansieras genom skatter och a</w:t>
      </w:r>
      <w:r w:rsidRPr="00075492">
        <w:t>v</w:t>
      </w:r>
      <w:r w:rsidRPr="00075492">
        <w:t xml:space="preserve">gifter. </w:t>
      </w:r>
    </w:p>
    <w:p w:rsidR="00547E7E" w:rsidRPr="00075492" w:rsidRDefault="00547E7E">
      <w:pPr>
        <w:pStyle w:val="Normaltindrag"/>
      </w:pPr>
      <w:r w:rsidRPr="00075492">
        <w:t xml:space="preserve">Kostnaderna för livsmedelstillsynen bedöms uppgå till drygt 400 miljoner kronor. Kostnadsuppgifterna från kommunerna är varierande och osäkra. Avgiftsintäkterna uppgår till ca 210 miljoner kronor. </w:t>
      </w:r>
    </w:p>
    <w:p w:rsidR="00547E7E" w:rsidRPr="00075492" w:rsidRDefault="00547E7E">
      <w:pPr>
        <w:pStyle w:val="Normaltindrag"/>
      </w:pPr>
      <w:r w:rsidRPr="00075492">
        <w:t>Det finns en betydande osäkerhet om kommunernas kostnader för livsm</w:t>
      </w:r>
      <w:r w:rsidRPr="00075492">
        <w:t>e</w:t>
      </w:r>
      <w:r w:rsidRPr="00075492">
        <w:t xml:space="preserve">delstillsynen. I betänkandet Livsmedelstillsynen i Sverige konstaterades att kommunernas uppgifter om kostnaderna är så osäkra att de i praktiken är oanvändbara. </w:t>
      </w:r>
    </w:p>
    <w:p w:rsidR="00547E7E" w:rsidRPr="00075492" w:rsidRDefault="00547E7E">
      <w:pPr>
        <w:pStyle w:val="Normaltindrag"/>
      </w:pPr>
      <w:r w:rsidRPr="00075492">
        <w:t>I det nya rapporteringssystem som Livsmedelsverket har utformat i sama</w:t>
      </w:r>
      <w:r w:rsidRPr="00075492">
        <w:t>r</w:t>
      </w:r>
      <w:r w:rsidRPr="00075492">
        <w:t>bete med Svenska Kommunförbundet har frågan om kommunernas kostn</w:t>
      </w:r>
      <w:r w:rsidRPr="00075492">
        <w:t>a</w:t>
      </w:r>
      <w:r w:rsidRPr="00075492">
        <w:t>der för livsmedelstillsynen utgått. Därmed föreligger numera inga krav på kommunerna att rapportera kostnaderna och att komma till rätta med de brister som finns vad gäller kostnadsred</w:t>
      </w:r>
      <w:r w:rsidRPr="00075492">
        <w:t>o</w:t>
      </w:r>
      <w:r w:rsidRPr="00075492">
        <w:t>visningen av livsmedelstillsynen.</w:t>
      </w:r>
    </w:p>
    <w:p w:rsidR="00547E7E" w:rsidRPr="00075492" w:rsidRDefault="00547E7E">
      <w:pPr>
        <w:pStyle w:val="Rubrik1"/>
      </w:pPr>
      <w:bookmarkStart w:id="645" w:name="_Toc532284552"/>
      <w:r w:rsidRPr="00075492">
        <w:br w:type="page"/>
      </w:r>
      <w:bookmarkStart w:id="646" w:name="_Toc532292119"/>
      <w:bookmarkStart w:id="647" w:name="_Toc84666"/>
      <w:bookmarkStart w:id="648" w:name="_Toc6634625"/>
      <w:bookmarkStart w:id="649" w:name="_Toc6637207"/>
      <w:r w:rsidRPr="00075492">
        <w:t>Företagens ansvar</w:t>
      </w:r>
      <w:bookmarkEnd w:id="645"/>
      <w:bookmarkEnd w:id="646"/>
      <w:bookmarkEnd w:id="647"/>
      <w:bookmarkEnd w:id="648"/>
      <w:bookmarkEnd w:id="649"/>
    </w:p>
    <w:p w:rsidR="00547E7E" w:rsidRPr="00075492" w:rsidRDefault="00547E7E">
      <w:pPr>
        <w:pStyle w:val="Rubrik2"/>
      </w:pPr>
      <w:bookmarkStart w:id="650" w:name="_Toc532284553"/>
      <w:bookmarkStart w:id="651" w:name="_Toc532292120"/>
      <w:bookmarkStart w:id="652" w:name="_Toc84667"/>
      <w:bookmarkStart w:id="653" w:name="_Toc6634626"/>
      <w:bookmarkStart w:id="654" w:name="_Toc6637208"/>
      <w:r w:rsidRPr="00075492">
        <w:t>Inledning</w:t>
      </w:r>
      <w:bookmarkEnd w:id="650"/>
      <w:bookmarkEnd w:id="651"/>
      <w:bookmarkEnd w:id="652"/>
      <w:bookmarkEnd w:id="653"/>
      <w:bookmarkEnd w:id="654"/>
    </w:p>
    <w:p w:rsidR="00547E7E" w:rsidRPr="00075492" w:rsidRDefault="00547E7E">
      <w:r w:rsidRPr="00075492">
        <w:t>Detta kapitel innehåller en beskrivning av företagens ansvar enligt livsm</w:t>
      </w:r>
      <w:r w:rsidRPr="00075492">
        <w:t>e</w:t>
      </w:r>
      <w:r w:rsidRPr="00075492">
        <w:t>delslagstiftningen, uppmärksammade problem och vilka åtgärder som bra</w:t>
      </w:r>
      <w:r w:rsidRPr="00075492">
        <w:t>n</w:t>
      </w:r>
      <w:r w:rsidRPr="00075492">
        <w:t>schen vidtar för att komma till rätta med pr</w:t>
      </w:r>
      <w:r w:rsidRPr="00075492">
        <w:t>o</w:t>
      </w:r>
      <w:r w:rsidRPr="00075492">
        <w:t xml:space="preserve">blemen. </w:t>
      </w:r>
    </w:p>
    <w:p w:rsidR="00547E7E" w:rsidRPr="00075492" w:rsidRDefault="00547E7E">
      <w:pPr>
        <w:pStyle w:val="Rubrik2"/>
      </w:pPr>
      <w:bookmarkStart w:id="655" w:name="_Toc532284554"/>
      <w:bookmarkStart w:id="656" w:name="_Toc532292121"/>
      <w:bookmarkStart w:id="657" w:name="_Toc84668"/>
      <w:bookmarkStart w:id="658" w:name="_Toc6634627"/>
      <w:bookmarkStart w:id="659" w:name="_Toc6637209"/>
      <w:r w:rsidRPr="00075492">
        <w:t>Livsmedelslagstiftningen</w:t>
      </w:r>
      <w:bookmarkEnd w:id="655"/>
      <w:bookmarkEnd w:id="656"/>
      <w:bookmarkEnd w:id="657"/>
      <w:bookmarkEnd w:id="658"/>
      <w:bookmarkEnd w:id="659"/>
    </w:p>
    <w:p w:rsidR="00547E7E" w:rsidRPr="00075492" w:rsidRDefault="00547E7E">
      <w:r w:rsidRPr="00075492">
        <w:t>I livsmedelslagen är företagens ansvar mycket tydligt. Företagen ansvarar för att de produkter som tillverkas och saluhålls uppfyller angivna krav så att människor inte blir sjuka av den mat de konsumerar. Ansvaret omfattar bl.a. märkning, hantering, personalhygien och livsmedelslokal. Grundläggande krav måste uppfyllas för att livsmedel ska få hanteras dels för försäljning, dels i sto</w:t>
      </w:r>
      <w:r w:rsidRPr="00075492">
        <w:t>r</w:t>
      </w:r>
      <w:r w:rsidRPr="00075492">
        <w:t xml:space="preserve">hushåll. </w:t>
      </w:r>
    </w:p>
    <w:p w:rsidR="00547E7E" w:rsidRPr="00075492" w:rsidRDefault="00547E7E">
      <w:pPr>
        <w:pStyle w:val="Normaltindrag"/>
      </w:pPr>
      <w:r w:rsidRPr="00075492">
        <w:t>Företagens ansvar för att livsmedelshanteringen bedrivs med ansvar och kunskap har bl.a. kommit till uttryck genom att de själva ska utföra olika typer av kontroller. Dessa kontroller betecknas som egenkontroll eller ege</w:t>
      </w:r>
      <w:r w:rsidRPr="00075492">
        <w:t>n</w:t>
      </w:r>
      <w:r w:rsidRPr="00075492">
        <w:t>tillsyn. De omfattar rutiner och kontroller som görs i livsmedelsföretagen för att säkerställa att de livsmedel som produceras, distribueras och säljs up</w:t>
      </w:r>
      <w:r w:rsidRPr="00075492">
        <w:t>p</w:t>
      </w:r>
      <w:r w:rsidRPr="00075492">
        <w:t>fyller uppställda krav. I livsmedelslagstiftningen används begreppet egentil</w:t>
      </w:r>
      <w:r w:rsidRPr="00075492">
        <w:t>l</w:t>
      </w:r>
      <w:r w:rsidRPr="00075492">
        <w:t>syn. Syftet med egentillsynen är att både förebygga hälsorisker och säke</w:t>
      </w:r>
      <w:r w:rsidRPr="00075492">
        <w:t>r</w:t>
      </w:r>
      <w:r w:rsidRPr="00075492">
        <w:t xml:space="preserve">ställa redligheten. </w:t>
      </w:r>
    </w:p>
    <w:p w:rsidR="00547E7E" w:rsidRPr="00075492" w:rsidRDefault="00547E7E">
      <w:pPr>
        <w:pStyle w:val="Rubrik2"/>
      </w:pPr>
      <w:bookmarkStart w:id="660" w:name="_Toc532284555"/>
      <w:bookmarkStart w:id="661" w:name="_Toc532292122"/>
      <w:bookmarkStart w:id="662" w:name="_Toc84669"/>
      <w:bookmarkStart w:id="663" w:name="_Toc6634628"/>
      <w:bookmarkStart w:id="664" w:name="_Toc6637210"/>
      <w:r w:rsidRPr="00075492">
        <w:t>Företagens egentillsyn</w:t>
      </w:r>
      <w:bookmarkEnd w:id="660"/>
      <w:bookmarkEnd w:id="661"/>
      <w:bookmarkEnd w:id="662"/>
      <w:bookmarkEnd w:id="663"/>
      <w:bookmarkEnd w:id="664"/>
    </w:p>
    <w:p w:rsidR="00547E7E" w:rsidRPr="00075492" w:rsidRDefault="00547E7E">
      <w:pPr>
        <w:pStyle w:val="Rubrik3"/>
      </w:pPr>
      <w:bookmarkStart w:id="665" w:name="_Toc532284556"/>
      <w:bookmarkStart w:id="666" w:name="_Toc532292123"/>
      <w:bookmarkStart w:id="667" w:name="_Toc84670"/>
      <w:bookmarkStart w:id="668" w:name="_Toc6634629"/>
      <w:bookmarkStart w:id="669" w:name="_Toc6637211"/>
      <w:r w:rsidRPr="00075492">
        <w:t>Riksdagsbeslutet år 1989</w:t>
      </w:r>
      <w:bookmarkEnd w:id="665"/>
      <w:bookmarkEnd w:id="666"/>
      <w:bookmarkEnd w:id="667"/>
      <w:bookmarkEnd w:id="668"/>
      <w:bookmarkEnd w:id="669"/>
    </w:p>
    <w:p w:rsidR="00547E7E" w:rsidRPr="00075492" w:rsidRDefault="00547E7E">
      <w:r w:rsidRPr="00075492">
        <w:t>Riksdagsbeslutet år 1989 innebar bl.a. att företagens egentillsyn blev obl</w:t>
      </w:r>
      <w:r w:rsidRPr="00075492">
        <w:t>i</w:t>
      </w:r>
      <w:r w:rsidRPr="00075492">
        <w:t xml:space="preserve">gatorisk för i princip all livsmedelshantering. </w:t>
      </w:r>
    </w:p>
    <w:p w:rsidR="00547E7E" w:rsidRPr="00075492" w:rsidRDefault="00547E7E">
      <w:pPr>
        <w:pStyle w:val="Normaltindrag"/>
      </w:pPr>
      <w:r w:rsidRPr="00075492">
        <w:t>Enligt regeringens proposition skulle företagens egentillsyn ligga till grund för den löpande tillsynen. Samtidigt underströk regeringen att egentillsyn ”aldrig får innebära att tillsynsmyndigheterna tar den som intäkt för en min</w:t>
      </w:r>
      <w:r w:rsidRPr="00075492">
        <w:t>s</w:t>
      </w:r>
      <w:r w:rsidRPr="00075492">
        <w:t>kad verksamhet. Avsikten är den motsatta. Egentillsynen ska bidra till ökad hygien och redlighet i livsmedelshanteringen</w:t>
      </w:r>
      <w:r w:rsidRPr="00075492">
        <w:rPr>
          <w:rStyle w:val="Fotnotsreferens"/>
        </w:rPr>
        <w:footnoteReference w:id="66"/>
      </w:r>
      <w:r w:rsidRPr="00075492">
        <w:t>.”</w:t>
      </w:r>
    </w:p>
    <w:p w:rsidR="00547E7E" w:rsidRPr="00075492" w:rsidRDefault="00547E7E">
      <w:pPr>
        <w:pStyle w:val="Normaltindrag"/>
      </w:pPr>
      <w:r w:rsidRPr="00075492">
        <w:t>I propositionen sades att den obligatoriska egentillsynen, i den utsträc</w:t>
      </w:r>
      <w:r w:rsidRPr="00075492">
        <w:t>k</w:t>
      </w:r>
      <w:r w:rsidRPr="00075492">
        <w:t>ning som det är möjligt, borde anpassas till den kontroll som på företagens initiativ finns för hantering. Därvid avsågs att vissa företag hade en utvec</w:t>
      </w:r>
      <w:r w:rsidRPr="00075492">
        <w:t>k</w:t>
      </w:r>
      <w:r w:rsidRPr="00075492">
        <w:t>lad egentillsyn med bl.a. provtagning, analysföreskrifter och driftsinstrukti</w:t>
      </w:r>
      <w:r w:rsidRPr="00075492">
        <w:t>o</w:t>
      </w:r>
      <w:r w:rsidRPr="00075492">
        <w:t>ner. Ofta utfördes såväl kemiska som mikrobiologiska undersökningar av råvaror och färdi</w:t>
      </w:r>
      <w:r w:rsidRPr="00075492">
        <w:t>g</w:t>
      </w:r>
      <w:r w:rsidRPr="00075492">
        <w:t xml:space="preserve">varor. </w:t>
      </w:r>
    </w:p>
    <w:p w:rsidR="00547E7E" w:rsidRPr="00075492" w:rsidRDefault="00547E7E">
      <w:pPr>
        <w:pStyle w:val="Normaltindrag"/>
      </w:pPr>
      <w:r w:rsidRPr="00075492">
        <w:t>Enligt regeringen skulle företag på egen bekostnad utarbeta egenkontrol</w:t>
      </w:r>
      <w:r w:rsidRPr="00075492">
        <w:t>l</w:t>
      </w:r>
      <w:r w:rsidRPr="00075492">
        <w:t>program. Efter begäran från tillsynsmyndigheten var företagen skyldiga att lämna förslag till egenkontrollprogram.</w:t>
      </w:r>
    </w:p>
    <w:p w:rsidR="00547E7E" w:rsidRPr="00075492" w:rsidRDefault="00547E7E">
      <w:pPr>
        <w:pStyle w:val="Normaltindrag"/>
      </w:pPr>
      <w:r w:rsidRPr="00075492">
        <w:t>Tillsynsmyndigheten skulle, med vissa undantag, sedan fastställa kontrol</w:t>
      </w:r>
      <w:r w:rsidRPr="00075492">
        <w:t>l</w:t>
      </w:r>
      <w:r w:rsidRPr="00075492">
        <w:t>program för alla verksamheter som bedrivs i livsm</w:t>
      </w:r>
      <w:r w:rsidRPr="00075492">
        <w:t>e</w:t>
      </w:r>
      <w:r w:rsidRPr="00075492">
        <w:t>delslokal.</w:t>
      </w:r>
    </w:p>
    <w:p w:rsidR="00547E7E" w:rsidRPr="00075492" w:rsidRDefault="00547E7E">
      <w:pPr>
        <w:pStyle w:val="Normaltindrag"/>
      </w:pPr>
      <w:r w:rsidRPr="00075492">
        <w:t>Livsmedelsverket fick med stöd av befintliga regler i livsmedelslagen (29 §) samt livsmedelsförordningen (53 §) befogenhet att meddela föreskrifter om obligatorisk egenkontroll och om företagens skyldighet att upprätta och inkomma med förslag till ko</w:t>
      </w:r>
      <w:r w:rsidRPr="00075492">
        <w:t>n</w:t>
      </w:r>
      <w:r w:rsidRPr="00075492">
        <w:t>trollprogram.</w:t>
      </w:r>
    </w:p>
    <w:p w:rsidR="00547E7E" w:rsidRPr="00075492" w:rsidRDefault="00547E7E">
      <w:pPr>
        <w:pStyle w:val="Normaltindrag"/>
      </w:pPr>
      <w:r w:rsidRPr="00075492">
        <w:t xml:space="preserve">Det är straffbart att inte följa föreskrifter om egentillsyn. </w:t>
      </w:r>
    </w:p>
    <w:p w:rsidR="00547E7E" w:rsidRPr="00075492" w:rsidRDefault="00547E7E">
      <w:pPr>
        <w:pStyle w:val="Normaltindrag"/>
      </w:pPr>
      <w:r w:rsidRPr="00075492">
        <w:t>Utskottet anslöt sig till regeringens förslag. Riksdagen följde utskottets förslag.</w:t>
      </w:r>
    </w:p>
    <w:p w:rsidR="00547E7E" w:rsidRPr="00075492" w:rsidRDefault="00547E7E">
      <w:pPr>
        <w:pStyle w:val="Rubrik3"/>
      </w:pPr>
      <w:bookmarkStart w:id="670" w:name="_Toc532284557"/>
      <w:bookmarkStart w:id="671" w:name="_Toc532292124"/>
      <w:bookmarkStart w:id="672" w:name="_Toc84671"/>
      <w:bookmarkStart w:id="673" w:name="_Toc6634630"/>
      <w:bookmarkStart w:id="674" w:name="_Toc6637212"/>
      <w:r w:rsidRPr="00075492">
        <w:t>Nuvarande regler</w:t>
      </w:r>
      <w:bookmarkEnd w:id="670"/>
      <w:bookmarkEnd w:id="671"/>
      <w:bookmarkEnd w:id="672"/>
      <w:bookmarkEnd w:id="673"/>
      <w:bookmarkEnd w:id="674"/>
      <w:r w:rsidRPr="00075492">
        <w:t xml:space="preserve"> </w:t>
      </w:r>
    </w:p>
    <w:p w:rsidR="00547E7E" w:rsidRPr="00075492" w:rsidRDefault="00547E7E">
      <w:r w:rsidRPr="00075492">
        <w:t>På grundval av regeringens bemyndigande har Livsmedelsverket angivit regler för företagens egentillsyn och kontrollprogram. Dessa återfinns i för</w:t>
      </w:r>
      <w:r w:rsidRPr="00075492">
        <w:t>e</w:t>
      </w:r>
      <w:r w:rsidRPr="00075492">
        <w:t>skrift och allmänna råd om livsmedelstillsyn m.m.</w:t>
      </w:r>
      <w:r w:rsidRPr="00075492">
        <w:rPr>
          <w:rStyle w:val="Fotnotsreferens"/>
        </w:rPr>
        <w:footnoteReference w:id="67"/>
      </w:r>
      <w:r w:rsidRPr="00075492">
        <w:t xml:space="preserve"> </w:t>
      </w:r>
    </w:p>
    <w:p w:rsidR="00547E7E" w:rsidRPr="00075492" w:rsidRDefault="00547E7E">
      <w:pPr>
        <w:pStyle w:val="Normaltindrag"/>
      </w:pPr>
      <w:r w:rsidRPr="00075492">
        <w:t>Av föreskriften framgår bl.a. att den som yrkesmässigt bedriver verksa</w:t>
      </w:r>
      <w:r w:rsidRPr="00075492">
        <w:t>m</w:t>
      </w:r>
      <w:r w:rsidRPr="00075492">
        <w:t>het där livsmedel hanteras ska identifiera de steg som är kritiska från livsm</w:t>
      </w:r>
      <w:r w:rsidRPr="00075492">
        <w:t>e</w:t>
      </w:r>
      <w:r w:rsidRPr="00075492">
        <w:t>delshygienisk synpunkt. För att eliminera eventuella risker ska nödvändiga säkerhetsförf</w:t>
      </w:r>
      <w:r w:rsidRPr="00075492">
        <w:t>a</w:t>
      </w:r>
      <w:r w:rsidRPr="00075492">
        <w:t xml:space="preserve">randen tillämpas. </w:t>
      </w:r>
    </w:p>
    <w:p w:rsidR="00547E7E" w:rsidRPr="00075492" w:rsidRDefault="00547E7E">
      <w:pPr>
        <w:pStyle w:val="Normaltindrag"/>
      </w:pPr>
      <w:r w:rsidRPr="00075492">
        <w:t>Vidare anges ett antal principer som ska tillämpas vid det förebyggande arbetet. Dessa principer syftar till att identifiera tänkbara livsmedelshygi</w:t>
      </w:r>
      <w:r w:rsidRPr="00075492">
        <w:t>e</w:t>
      </w:r>
      <w:r w:rsidRPr="00075492">
        <w:t>niska risker, kritiska styrpunkter och övervakning av dessa punkter. En öve</w:t>
      </w:r>
      <w:r w:rsidRPr="00075492">
        <w:t>r</w:t>
      </w:r>
      <w:r w:rsidRPr="00075492">
        <w:t>syn ska göras när verksamheten ändras.</w:t>
      </w:r>
    </w:p>
    <w:p w:rsidR="00547E7E" w:rsidRPr="00075492" w:rsidRDefault="00547E7E">
      <w:pPr>
        <w:pStyle w:val="Normaltindrag"/>
      </w:pPr>
      <w:r w:rsidRPr="00075492">
        <w:t>Av föreskriften framgår att företaget ska komma in med förslag till pr</w:t>
      </w:r>
      <w:r w:rsidRPr="00075492">
        <w:t>o</w:t>
      </w:r>
      <w:r w:rsidRPr="00075492">
        <w:t>gram för egentillsynen (kontrollprogram). Företaget ska följa fastställt pr</w:t>
      </w:r>
      <w:r w:rsidRPr="00075492">
        <w:t>o</w:t>
      </w:r>
      <w:r w:rsidRPr="00075492">
        <w:t>gram. Resultatet ska dok</w:t>
      </w:r>
      <w:r w:rsidRPr="00075492">
        <w:t>u</w:t>
      </w:r>
      <w:r w:rsidRPr="00075492">
        <w:t xml:space="preserve">menteras. </w:t>
      </w:r>
    </w:p>
    <w:p w:rsidR="00547E7E" w:rsidRPr="00075492" w:rsidRDefault="00547E7E">
      <w:pPr>
        <w:pStyle w:val="Normaltindrag"/>
      </w:pPr>
      <w:r w:rsidRPr="00075492">
        <w:t>Tillsynsmyndigheten ska fastställa kontrollprogrammet. I programmet ska bl.a. fastställas i vilken utsträckning resultatet av egentillsynen ska dok</w:t>
      </w:r>
      <w:r w:rsidRPr="00075492">
        <w:t>u</w:t>
      </w:r>
      <w:r w:rsidRPr="00075492">
        <w:t xml:space="preserve">menteras och hur länge dokumentationen ska sparas. </w:t>
      </w:r>
    </w:p>
    <w:p w:rsidR="00547E7E" w:rsidRPr="00075492" w:rsidRDefault="00547E7E">
      <w:pPr>
        <w:pStyle w:val="Normaltindrag"/>
      </w:pPr>
      <w:r w:rsidRPr="00075492">
        <w:t>I Livsmedelsverkets allmänna råd definieras vissa begrepp i föreskrifterna. Därutöver anges vad kontrollprogrammen bör inn</w:t>
      </w:r>
      <w:r w:rsidRPr="00075492">
        <w:t>e</w:t>
      </w:r>
      <w:r w:rsidRPr="00075492">
        <w:t>hålla.</w:t>
      </w:r>
    </w:p>
    <w:p w:rsidR="00547E7E" w:rsidRPr="00075492" w:rsidRDefault="00547E7E">
      <w:pPr>
        <w:pStyle w:val="Normaltindrag"/>
      </w:pPr>
      <w:r w:rsidRPr="00075492">
        <w:t>I egenkontrollprogram kan HACCP (Hazard Analysis Critical Control Points) användas som ett verktyg för att minimera hälsoriskerna med livsm</w:t>
      </w:r>
      <w:r w:rsidRPr="00075492">
        <w:t>e</w:t>
      </w:r>
      <w:r w:rsidRPr="00075492">
        <w:t>del och främja produktsäkerheten</w:t>
      </w:r>
      <w:r w:rsidRPr="00075492">
        <w:rPr>
          <w:rStyle w:val="Fotnotsreferens"/>
        </w:rPr>
        <w:footnoteReference w:id="68"/>
      </w:r>
      <w:r w:rsidRPr="00075492">
        <w:t xml:space="preserve">. </w:t>
      </w:r>
    </w:p>
    <w:p w:rsidR="00547E7E" w:rsidRPr="00075492" w:rsidRDefault="00547E7E">
      <w:pPr>
        <w:pStyle w:val="Rubrik2"/>
      </w:pPr>
      <w:bookmarkStart w:id="675" w:name="_Toc532284558"/>
      <w:bookmarkStart w:id="676" w:name="_Toc532292125"/>
      <w:bookmarkStart w:id="677" w:name="_Toc84672"/>
      <w:bookmarkStart w:id="678" w:name="_Toc6634631"/>
      <w:bookmarkStart w:id="679" w:name="_Toc6637213"/>
      <w:r w:rsidRPr="00075492">
        <w:t>Tillämpningen av företagens egenkontroll</w:t>
      </w:r>
      <w:bookmarkEnd w:id="675"/>
      <w:bookmarkEnd w:id="676"/>
      <w:bookmarkEnd w:id="677"/>
      <w:bookmarkEnd w:id="678"/>
      <w:bookmarkEnd w:id="679"/>
    </w:p>
    <w:p w:rsidR="00547E7E" w:rsidRPr="00075492" w:rsidRDefault="00547E7E">
      <w:pPr>
        <w:pStyle w:val="Rubrik3"/>
      </w:pPr>
      <w:bookmarkStart w:id="680" w:name="_Toc532284559"/>
      <w:bookmarkStart w:id="681" w:name="_Toc532292126"/>
      <w:bookmarkStart w:id="682" w:name="_Toc84673"/>
      <w:bookmarkStart w:id="683" w:name="_Toc6634632"/>
      <w:bookmarkStart w:id="684" w:name="_Toc6637214"/>
      <w:r w:rsidRPr="00075492">
        <w:t>Utvärdering av egentillsynen</w:t>
      </w:r>
      <w:bookmarkEnd w:id="680"/>
      <w:bookmarkEnd w:id="681"/>
      <w:bookmarkEnd w:id="682"/>
      <w:bookmarkEnd w:id="683"/>
      <w:bookmarkEnd w:id="684"/>
    </w:p>
    <w:p w:rsidR="00547E7E" w:rsidRPr="00075492" w:rsidRDefault="00547E7E">
      <w:r w:rsidRPr="00075492">
        <w:t>Riksdagens revisorer genomförde 1993/94 en granskning av livsmedelsko</w:t>
      </w:r>
      <w:r w:rsidRPr="00075492">
        <w:t>n</w:t>
      </w:r>
      <w:r w:rsidRPr="00075492">
        <w:t>trollen. I skrivelse</w:t>
      </w:r>
      <w:r w:rsidRPr="00075492">
        <w:rPr>
          <w:rStyle w:val="Fotnotsreferens"/>
        </w:rPr>
        <w:footnoteReference w:id="69"/>
      </w:r>
      <w:r w:rsidRPr="00075492">
        <w:t xml:space="preserve"> till riksdagen konstaterades att inför riksdagsbeslutet om egenkontroll underströk särskilt jordbruksutskottet att ”egentillsynen som en del av den offentliga kontrollen” inte fick inkräkta på en aktiv tillsyn från myndigheternas sida. Revisorerna konstaterade att myndigheternas arbete med företagens egentillsyn hade inkräktat på den aktiva tillsynen. Därför föreslogs en utvärdering av kommunernas insatser för egenkontroll respekt</w:t>
      </w:r>
      <w:r w:rsidRPr="00075492">
        <w:t>i</w:t>
      </w:r>
      <w:r w:rsidRPr="00075492">
        <w:t>ve direkt tillsyn med avseende på den risk som finns att den direkta oanmä</w:t>
      </w:r>
      <w:r w:rsidRPr="00075492">
        <w:t>l</w:t>
      </w:r>
      <w:r w:rsidRPr="00075492">
        <w:t>d</w:t>
      </w:r>
      <w:r w:rsidRPr="00075492">
        <w:t>a tillsynen och de egna mätningarna inte ges tillräcklig prioritet. Vid r</w:t>
      </w:r>
      <w:r w:rsidRPr="00075492">
        <w:t>e</w:t>
      </w:r>
      <w:r w:rsidRPr="00075492">
        <w:t>missbehandlingen tillstyrkte samtliga remissinsta</w:t>
      </w:r>
      <w:r w:rsidRPr="00075492">
        <w:t>n</w:t>
      </w:r>
      <w:r w:rsidRPr="00075492">
        <w:t xml:space="preserve">ser revisorernas förslag. </w:t>
      </w:r>
    </w:p>
    <w:p w:rsidR="00547E7E" w:rsidRPr="00075492" w:rsidRDefault="00547E7E">
      <w:pPr>
        <w:pStyle w:val="Normaltindrag"/>
      </w:pPr>
      <w:r w:rsidRPr="00075492">
        <w:t>Revisorernas förslag till riksdagen föranledde ett tillkännagivande av rik</w:t>
      </w:r>
      <w:r w:rsidRPr="00075492">
        <w:t>s</w:t>
      </w:r>
      <w:r w:rsidRPr="00075492">
        <w:t>dagen.</w:t>
      </w:r>
    </w:p>
    <w:p w:rsidR="00547E7E" w:rsidRPr="00075492" w:rsidRDefault="00547E7E">
      <w:pPr>
        <w:pStyle w:val="Normaltindrag"/>
      </w:pPr>
      <w:r w:rsidRPr="00075492">
        <w:t>I utredningen om livsmedelstillsynen</w:t>
      </w:r>
      <w:r w:rsidRPr="00075492">
        <w:rPr>
          <w:rStyle w:val="Fotnotsreferens"/>
        </w:rPr>
        <w:footnoteReference w:id="70"/>
      </w:r>
      <w:r w:rsidRPr="00075492">
        <w:t xml:space="preserve"> år 1998 genomfördes, i enlighet med direktivet, en utvärdering av den obligatoriska egentillsynen. Utvärd</w:t>
      </w:r>
      <w:r w:rsidRPr="00075492">
        <w:t>e</w:t>
      </w:r>
      <w:r w:rsidRPr="00075492">
        <w:t>ringen visar på en rad problem med systemet med egenkontroll och egentil</w:t>
      </w:r>
      <w:r w:rsidRPr="00075492">
        <w:t>l</w:t>
      </w:r>
      <w:r w:rsidRPr="00075492">
        <w:t>syn. Problemen är information, utbildning och de mindre företagens svaga incitament för egenko</w:t>
      </w:r>
      <w:r w:rsidRPr="00075492">
        <w:t>n</w:t>
      </w:r>
      <w:r w:rsidRPr="00075492">
        <w:t>troll.</w:t>
      </w:r>
    </w:p>
    <w:p w:rsidR="00547E7E" w:rsidRPr="00075492" w:rsidRDefault="00547E7E">
      <w:pPr>
        <w:pStyle w:val="Normaltindrag"/>
      </w:pPr>
      <w:r w:rsidRPr="00075492">
        <w:t>Av utvärderingen framgår att när införandet av egenkontroll beslutades år 1989 var den stora majoriteten av företag oförberedda på reformen och kr</w:t>
      </w:r>
      <w:r w:rsidRPr="00075492">
        <w:t>a</w:t>
      </w:r>
      <w:r w:rsidRPr="00075492">
        <w:t>vet på ett fastställt egenkontrollprogram. Många företagare förstod inte ny</w:t>
      </w:r>
      <w:r w:rsidRPr="00075492">
        <w:t>t</w:t>
      </w:r>
      <w:r w:rsidRPr="00075492">
        <w:t>tan av egentillsyn i den egna verksamheten. Det saknades även förståelse för att egenkontrollen skulle dokumenteras och att programmen skulle fastställas av til</w:t>
      </w:r>
      <w:r w:rsidRPr="00075492">
        <w:t>l</w:t>
      </w:r>
      <w:r w:rsidRPr="00075492">
        <w:t xml:space="preserve">synsmyndigheten. </w:t>
      </w:r>
    </w:p>
    <w:p w:rsidR="00547E7E" w:rsidRPr="00075492" w:rsidRDefault="00547E7E">
      <w:pPr>
        <w:pStyle w:val="Normaltindrag"/>
      </w:pPr>
      <w:r w:rsidRPr="00075492">
        <w:t>Enligt utredningen var inte statsmakternas beslut så förberett att det från början fanns en tillräcklig beredskap för att ge kunna ge tillräcklig inform</w:t>
      </w:r>
      <w:r w:rsidRPr="00075492">
        <w:t>a</w:t>
      </w:r>
      <w:r w:rsidRPr="00075492">
        <w:t>tion. Tillsynsmyndigheternas kunskaper var, enligt Livsmedelsverket, myc</w:t>
      </w:r>
      <w:r w:rsidRPr="00075492">
        <w:t>k</w:t>
      </w:r>
      <w:r w:rsidRPr="00075492">
        <w:t>et varierande. Sammantaget ledde detta till en stor osäkerhet i samband med införandet.</w:t>
      </w:r>
    </w:p>
    <w:p w:rsidR="00547E7E" w:rsidRPr="00075492" w:rsidRDefault="00547E7E">
      <w:pPr>
        <w:pStyle w:val="Normaltindrag"/>
      </w:pPr>
      <w:r w:rsidRPr="00075492">
        <w:t>De negativa attityder som fanns hos många företag ansågs bero på att til</w:t>
      </w:r>
      <w:r w:rsidRPr="00075492">
        <w:t>l</w:t>
      </w:r>
      <w:r w:rsidRPr="00075492">
        <w:t>synsavgifter infördes samtidigt. Synpunkter framfördes till Livsmedelsverket om att ” först ska vi betala för kontrollen, sen ska vi göra den själva”</w:t>
      </w:r>
      <w:r w:rsidRPr="00075492">
        <w:rPr>
          <w:rStyle w:val="Fotnotsreferens"/>
        </w:rPr>
        <w:footnoteReference w:id="71"/>
      </w:r>
      <w:r w:rsidRPr="00075492">
        <w:t>. För flertalet industrier var dock inte egentillsynen någon nyhet. Företagens kv</w:t>
      </w:r>
      <w:r w:rsidRPr="00075492">
        <w:t>a</w:t>
      </w:r>
      <w:r w:rsidRPr="00075492">
        <w:t>litetssäkring var ofta mer omfattande än ställda krav på egentillsyn. Större företag var i vissa fall kritiska mot att de handlingar som ingick i beslutet om fastställande av programmet blev offentliga.</w:t>
      </w:r>
    </w:p>
    <w:p w:rsidR="00547E7E" w:rsidRPr="00075492" w:rsidRDefault="00547E7E">
      <w:pPr>
        <w:pStyle w:val="Normaltindrag"/>
      </w:pPr>
      <w:r w:rsidRPr="00075492">
        <w:t>Detta innebar att det krävdes särskilt stora informations- och utbildningsi</w:t>
      </w:r>
      <w:r w:rsidRPr="00075492">
        <w:t>n</w:t>
      </w:r>
      <w:r w:rsidRPr="00075492">
        <w:t xml:space="preserve">satser för att genomföra lagstiftningens intentioner. </w:t>
      </w:r>
    </w:p>
    <w:p w:rsidR="00547E7E" w:rsidRPr="00075492" w:rsidRDefault="00547E7E">
      <w:pPr>
        <w:pStyle w:val="Normaltindrag"/>
      </w:pPr>
      <w:r w:rsidRPr="00075492">
        <w:t>Arbetet med att fastställa och revidera egenkontrollprogram upplevs av kommunerna som mycket arbetskrävande. Dessutom lägger kommunerna ned mycket tid på att få företag att följa fastställda egenkontrollprogram. Generellt förefaller inte arbetet ha givit önskvärda resultat. Andelen faststäl</w:t>
      </w:r>
      <w:r w:rsidRPr="00075492">
        <w:t>l</w:t>
      </w:r>
      <w:r w:rsidRPr="00075492">
        <w:t>da egenkontrollprogram har visserligen ökat över tiden, enligt kommunernas årliga rapportering. Enligt Livsmedelsverket är tillsynsmyndigheternas up</w:t>
      </w:r>
      <w:r w:rsidRPr="00075492">
        <w:t>p</w:t>
      </w:r>
      <w:r w:rsidRPr="00075492">
        <w:t xml:space="preserve">följning av egentillsynsprogrammen bristfällig. </w:t>
      </w:r>
    </w:p>
    <w:p w:rsidR="00547E7E" w:rsidRPr="00075492" w:rsidRDefault="00547E7E">
      <w:pPr>
        <w:pStyle w:val="Rubrik3"/>
      </w:pPr>
      <w:bookmarkStart w:id="685" w:name="_Toc532284560"/>
      <w:bookmarkStart w:id="686" w:name="_Toc532292127"/>
      <w:bookmarkStart w:id="687" w:name="_Toc84674"/>
      <w:bookmarkStart w:id="688" w:name="_Toc6634633"/>
      <w:bookmarkStart w:id="689" w:name="_Toc6637215"/>
      <w:r w:rsidRPr="00075492">
        <w:t>Var finns problemen?</w:t>
      </w:r>
      <w:bookmarkEnd w:id="685"/>
      <w:bookmarkEnd w:id="686"/>
      <w:bookmarkEnd w:id="687"/>
      <w:bookmarkEnd w:id="688"/>
      <w:bookmarkEnd w:id="689"/>
    </w:p>
    <w:p w:rsidR="00547E7E" w:rsidRPr="00075492" w:rsidRDefault="00547E7E">
      <w:r w:rsidRPr="00075492">
        <w:t>Enligt bedömningar från Livsmedelsverket och kommuner finns de största problemen med egentillsyn bland mindre privata storhushåll och mindre detaljhandelsföretag. Vid större livsmedelsindustrier är läget gott. Vid o</w:t>
      </w:r>
      <w:r w:rsidRPr="00075492">
        <w:t>f</w:t>
      </w:r>
      <w:r w:rsidRPr="00075492">
        <w:t>fentliga storhushåll fungerar egenko</w:t>
      </w:r>
      <w:r w:rsidRPr="00075492">
        <w:t>n</w:t>
      </w:r>
      <w:r w:rsidRPr="00075492">
        <w:t xml:space="preserve">trollen tillfredsställande. </w:t>
      </w:r>
    </w:p>
    <w:p w:rsidR="00547E7E" w:rsidRPr="00075492" w:rsidRDefault="00547E7E">
      <w:pPr>
        <w:pStyle w:val="Normaltindrag"/>
      </w:pPr>
      <w:r w:rsidRPr="00075492">
        <w:t>Enligt tillsynsmyndigheterna beror den bristfälliga efterlevnaden av ege</w:t>
      </w:r>
      <w:r w:rsidRPr="00075492">
        <w:t>n</w:t>
      </w:r>
      <w:r w:rsidRPr="00075492">
        <w:t>kontrollen på låg kunskapsnivå hos personal vid många livsmedelsanläg</w:t>
      </w:r>
      <w:r w:rsidRPr="00075492">
        <w:t>g</w:t>
      </w:r>
      <w:r w:rsidRPr="00075492">
        <w:t>ningar. Personalen inser inte behovet av kontroller och rutiner då kunskap saknas om risker med hanteringen.</w:t>
      </w:r>
    </w:p>
    <w:p w:rsidR="00547E7E" w:rsidRPr="00075492" w:rsidRDefault="00547E7E">
      <w:pPr>
        <w:pStyle w:val="Normaltindrag"/>
      </w:pPr>
      <w:r w:rsidRPr="00075492">
        <w:t xml:space="preserve">Ett annat problem är att företag, särskilt i storstäder, ofta byter ägare. </w:t>
      </w:r>
    </w:p>
    <w:p w:rsidR="00547E7E" w:rsidRPr="00075492" w:rsidRDefault="00547E7E">
      <w:pPr>
        <w:pStyle w:val="Normaltindrag"/>
      </w:pPr>
      <w:r w:rsidRPr="00075492">
        <w:t>Branschföreträdare</w:t>
      </w:r>
      <w:r w:rsidRPr="00075492">
        <w:rPr>
          <w:rStyle w:val="Fotnotsreferens"/>
        </w:rPr>
        <w:footnoteReference w:id="72"/>
      </w:r>
      <w:r w:rsidRPr="00075492">
        <w:t xml:space="preserve"> konstaterar att livsmedelshygien och redligheten v</w:t>
      </w:r>
      <w:r w:rsidRPr="00075492">
        <w:t>a</w:t>
      </w:r>
      <w:r w:rsidRPr="00075492">
        <w:t>rierar mellan olika företag. Detta anses bl.a. bero på att de lokala tillsyn</w:t>
      </w:r>
      <w:r w:rsidRPr="00075492">
        <w:t>s</w:t>
      </w:r>
      <w:r w:rsidRPr="00075492">
        <w:t>myndi</w:t>
      </w:r>
      <w:r w:rsidRPr="00075492">
        <w:t>g</w:t>
      </w:r>
      <w:r w:rsidRPr="00075492">
        <w:t xml:space="preserve">heterna gör olika bedömningar. </w:t>
      </w:r>
    </w:p>
    <w:p w:rsidR="00547E7E" w:rsidRPr="00075492" w:rsidRDefault="00547E7E">
      <w:pPr>
        <w:pStyle w:val="Normaltindrag"/>
      </w:pPr>
      <w:r w:rsidRPr="00075492">
        <w:t>Företrädare för Livsmedelshandlareförbundet, SSLF, anser att det största problemet med efterlevnaden av egenkontrollprogrammen är att företagare upplever att det tar för mycket tid att dokumentera resultatet av olika ko</w:t>
      </w:r>
      <w:r w:rsidRPr="00075492">
        <w:t>n</w:t>
      </w:r>
      <w:r w:rsidRPr="00075492">
        <w:t>troller. Det är också en fråga om kunskap om hur kontrollerna ska utföras. Vid exempelvis temperaturkontroll av kylar och frysar måste kontrollen göras där liv</w:t>
      </w:r>
      <w:r w:rsidRPr="00075492">
        <w:t>s</w:t>
      </w:r>
      <w:r w:rsidRPr="00075492">
        <w:t xml:space="preserve">medel finns. </w:t>
      </w:r>
    </w:p>
    <w:p w:rsidR="00547E7E" w:rsidRPr="00075492" w:rsidRDefault="00547E7E">
      <w:pPr>
        <w:pStyle w:val="Rubrik3"/>
      </w:pPr>
      <w:bookmarkStart w:id="690" w:name="_Toc532284561"/>
      <w:bookmarkStart w:id="691" w:name="_Toc532292128"/>
      <w:bookmarkStart w:id="692" w:name="_Toc84675"/>
      <w:bookmarkStart w:id="693" w:name="_Toc6634634"/>
      <w:bookmarkStart w:id="694" w:name="_Toc6637216"/>
      <w:r w:rsidRPr="00075492">
        <w:t>Branschens krav på företagare och åtgärder för att förbättra egentillsynen</w:t>
      </w:r>
      <w:bookmarkEnd w:id="690"/>
      <w:bookmarkEnd w:id="691"/>
      <w:bookmarkEnd w:id="692"/>
      <w:bookmarkEnd w:id="693"/>
      <w:bookmarkEnd w:id="694"/>
      <w:r w:rsidRPr="00075492">
        <w:t xml:space="preserve"> </w:t>
      </w:r>
    </w:p>
    <w:p w:rsidR="00547E7E" w:rsidRPr="00075492" w:rsidRDefault="00547E7E">
      <w:r w:rsidRPr="00075492">
        <w:t>Inom detaljhandeln samt hotell- och restaurangbranschen finns inga särskilda krav på företagare som ska starta en restaurang eller en butik, för att dessa ska få ingå i en kedja eller få medlemskap i branschorganisationen. Däremot uppges att det finns sådana indirekta krav i form av krav på branschkunna</w:t>
      </w:r>
      <w:r w:rsidRPr="00075492">
        <w:t>n</w:t>
      </w:r>
      <w:r w:rsidRPr="00075492">
        <w:t xml:space="preserve">de. </w:t>
      </w:r>
    </w:p>
    <w:p w:rsidR="00547E7E" w:rsidRPr="00075492" w:rsidRDefault="00547E7E">
      <w:pPr>
        <w:pStyle w:val="Normaltindrag"/>
      </w:pPr>
      <w:r w:rsidRPr="00075492">
        <w:t>Branschen tillhandahåller olika typer av informationsmaterial till föret</w:t>
      </w:r>
      <w:r w:rsidRPr="00075492">
        <w:t>a</w:t>
      </w:r>
      <w:r w:rsidRPr="00075492">
        <w:t>gen. Livsmedelshandlarna, SLLF, har t.ex. en lathund, s.k. laghund, som bl.a. omfattar lagar och regler inom livsmedelsområdet. Samarbetsgruppen för hushållsfrågor (SAMS)</w:t>
      </w:r>
      <w:r w:rsidRPr="00075492">
        <w:rPr>
          <w:rStyle w:val="Fotnotsreferens"/>
        </w:rPr>
        <w:footnoteReference w:id="73"/>
      </w:r>
      <w:r w:rsidRPr="00075492">
        <w:t xml:space="preserve"> har t.ex. tagit fram en guide för god livsmedelsh</w:t>
      </w:r>
      <w:r w:rsidRPr="00075492">
        <w:t>y</w:t>
      </w:r>
      <w:r w:rsidRPr="00075492">
        <w:t>gien. Sveriges hotell- och restaurangföretagare, SHR, har även olika typer av information</w:t>
      </w:r>
      <w:r w:rsidRPr="00075492">
        <w:t>s</w:t>
      </w:r>
      <w:r w:rsidRPr="00075492">
        <w:t xml:space="preserve">material. </w:t>
      </w:r>
    </w:p>
    <w:p w:rsidR="00547E7E" w:rsidRPr="00075492" w:rsidRDefault="00547E7E">
      <w:pPr>
        <w:pStyle w:val="Normaltindrag"/>
      </w:pPr>
      <w:r w:rsidRPr="00075492">
        <w:t xml:space="preserve">SSLF har utarbetat förslag till egenkontrollprogram. För närvarande genomförs en översyn av programmen bl.a. mot bakgrund av att alltfler livsmedelsbutiker tillreder mat. Detta innebär att det blir fler moment att kontrollera, t.ex. hygien vid beredning och märkning. </w:t>
      </w:r>
    </w:p>
    <w:p w:rsidR="00547E7E" w:rsidRPr="00075492" w:rsidRDefault="00547E7E">
      <w:pPr>
        <w:pStyle w:val="Normaltindrag"/>
      </w:pPr>
      <w:r w:rsidRPr="00075492">
        <w:t xml:space="preserve">Branschen anordnar även utbildningar eller har träffat avtal med företag som anordnar utbildningar i livsmedelshygien. Enligt Livsmedelsverket har branschvisa hygienutbildningsprogram utarbetats inom restauranger och storhushåll, butiker samt bagerier. Utbildningarna har utarbetats i samarbete med Livsmedelsverket. </w:t>
      </w:r>
    </w:p>
    <w:p w:rsidR="00547E7E" w:rsidRPr="00075492" w:rsidRDefault="00547E7E">
      <w:pPr>
        <w:pStyle w:val="Normaltindrag"/>
      </w:pPr>
      <w:r w:rsidRPr="00075492">
        <w:t>Vid SSLF:s utbildningar deltar inspektörer från den kommunala tillsyn</w:t>
      </w:r>
      <w:r w:rsidRPr="00075492">
        <w:t>s</w:t>
      </w:r>
      <w:r w:rsidRPr="00075492">
        <w:t>myndigheten. SAMS har även i samarbetet med Livsmedelsverket anordnat seminarier om bl.a. livsmedel</w:t>
      </w:r>
      <w:r w:rsidRPr="00075492">
        <w:t>s</w:t>
      </w:r>
      <w:r w:rsidRPr="00075492">
        <w:t>hygien.</w:t>
      </w:r>
    </w:p>
    <w:p w:rsidR="00547E7E" w:rsidRPr="00075492" w:rsidRDefault="00547E7E">
      <w:pPr>
        <w:pStyle w:val="Normaltindrag"/>
      </w:pPr>
      <w:r w:rsidRPr="00075492">
        <w:t xml:space="preserve">Det finns några exempel på olika insatser när det gäller centralt utformade program för att förbättra livsmedelshanteringen inom detaljhandeln. </w:t>
      </w:r>
    </w:p>
    <w:p w:rsidR="00547E7E" w:rsidRPr="00075492" w:rsidRDefault="00547E7E">
      <w:pPr>
        <w:pStyle w:val="Normaltindrag"/>
      </w:pPr>
      <w:r w:rsidRPr="00075492">
        <w:t>Inom ICA har vissa insatser inom livsmedelshygienområdet initierats. År 2001 genomförde ICA för första gången en bakteriologisk kontroll i ett antal butiker för att få en uppfattning om tillståndet i ICA-butikerna. Syftet med kontrollen är att den ska resultera i en åtgärd</w:t>
      </w:r>
      <w:r w:rsidRPr="00075492">
        <w:t>s</w:t>
      </w:r>
      <w:r w:rsidRPr="00075492">
        <w:t>plan.</w:t>
      </w:r>
    </w:p>
    <w:p w:rsidR="00547E7E" w:rsidRPr="00075492" w:rsidRDefault="00547E7E">
      <w:pPr>
        <w:pStyle w:val="Normaltindrag"/>
      </w:pPr>
      <w:r w:rsidRPr="00075492">
        <w:t>Föreningen Vivo Stockholm har det senaste året påbörjat ett arbete som syftar till att lägga en grund för ett mer systematiskt arbete med livsmedel</w:t>
      </w:r>
      <w:r w:rsidRPr="00075492">
        <w:t>s</w:t>
      </w:r>
      <w:r w:rsidRPr="00075492">
        <w:t xml:space="preserve">hygien och redlighet. I samarbete med företaget Rentokil genomförs en besiktning av städningen i alla butiker för få en uppfattning om kvalitet och problem. </w:t>
      </w:r>
    </w:p>
    <w:p w:rsidR="00547E7E" w:rsidRPr="00075492" w:rsidRDefault="00547E7E">
      <w:pPr>
        <w:pStyle w:val="Normaltindrag"/>
      </w:pPr>
      <w:r w:rsidRPr="00075492">
        <w:t>Vivo Stockholm har även anlitat Anticimex som har inventerat hanteringen av livsmedel i butikerna. Arbetet har resulterat i ett tolvpunktsprogram som t.ex. omfattar krav på städprogram, kontroller av temperaturer i kyl och frys, utformning av egentillsynsprogram m.m. Programmet ska sedan ligga till grund för de krav som Vivo Stockholm ska ställa på si</w:t>
      </w:r>
      <w:r w:rsidRPr="00075492">
        <w:t>na medlemmar. Pr</w:t>
      </w:r>
      <w:r w:rsidRPr="00075492">
        <w:t>o</w:t>
      </w:r>
      <w:r w:rsidRPr="00075492">
        <w:t xml:space="preserve">grammet ska införas successivt de närmaste åren. </w:t>
      </w:r>
    </w:p>
    <w:p w:rsidR="00547E7E" w:rsidRPr="00075492" w:rsidRDefault="00547E7E">
      <w:pPr>
        <w:pStyle w:val="Normaltindrag"/>
      </w:pPr>
      <w:r w:rsidRPr="00075492">
        <w:t>KF har inom Gröna Konsum ett centralt organiserat inspektionsprogram. Inom Gröna Konsum finns en s.k. konceptbesiktning där bl.a. butikernas livsmedelshantering poängbedöms. Två gånger per år besöks Gröna Ko</w:t>
      </w:r>
      <w:r w:rsidRPr="00075492">
        <w:t>n</w:t>
      </w:r>
      <w:r w:rsidRPr="00075492">
        <w:t>sum-butikerna av oanmälda inspektörer som poängsätter butikerna utifrån 248 punkter. Resultatet utgör också 20 % av basen för beräkningen av den bonus som de anställda får varje år. Således finns ekonomiska incitament för de anställda att bl.a. förbättra hygien och redlighet i butike</w:t>
      </w:r>
      <w:r w:rsidRPr="00075492">
        <w:t>r</w:t>
      </w:r>
      <w:r w:rsidRPr="00075492">
        <w:t xml:space="preserve">na. </w:t>
      </w:r>
    </w:p>
    <w:p w:rsidR="00547E7E" w:rsidRPr="00075492" w:rsidRDefault="00547E7E">
      <w:pPr>
        <w:pStyle w:val="Normaltindrag"/>
      </w:pPr>
      <w:r w:rsidRPr="00075492">
        <w:t>När butiker får anmärkningar vid inspektioner av tillsynsmyndigheterna ska butikscheferna informera den regionansvarige. Den regionansvarige löser i första hand problemet tillsammans med butikschefen. Om detta inte lyckas</w:t>
      </w:r>
      <w:r w:rsidRPr="00075492">
        <w:t xml:space="preserve"> får KF:s huvudkontor information av den region</w:t>
      </w:r>
      <w:r w:rsidRPr="00075492">
        <w:t>s</w:t>
      </w:r>
      <w:r w:rsidRPr="00075492">
        <w:t xml:space="preserve">ansvarige. </w:t>
      </w:r>
    </w:p>
    <w:p w:rsidR="00547E7E" w:rsidRPr="00075492" w:rsidRDefault="00547E7E">
      <w:pPr>
        <w:pStyle w:val="Normaltindrag"/>
      </w:pPr>
      <w:r w:rsidRPr="00075492">
        <w:t>För att få en bättre bild av livsmedelshygien och produktsäkerhet i butike</w:t>
      </w:r>
      <w:r w:rsidRPr="00075492">
        <w:t>r</w:t>
      </w:r>
      <w:r w:rsidRPr="00075492">
        <w:t>na skickade KF hösten 2001 en skrivelse till samtliga kommuner i södra och mellersta Sverige. I skrivelsen framförde KF önskemål till kommunerna om att få kopior av protokoll och analysresultat från inspektioner i KF:s butiker. De butiker som avsågs var Gröna Konsum samt stormarknaderna Obs, B&amp;W och Robin Hood. Syftet var att få en överblick och komma till rätta med eventuellt konstaterade brister.</w:t>
      </w:r>
    </w:p>
    <w:p w:rsidR="00547E7E" w:rsidRPr="00075492" w:rsidRDefault="00547E7E">
      <w:pPr>
        <w:pStyle w:val="Normaltindrag"/>
      </w:pPr>
      <w:r w:rsidRPr="00075492">
        <w:t>Enligt företrädare för KF fick skrivelsen ett blandat mottagande. Vissa kommuner berömde initiativet, medan a</w:t>
      </w:r>
      <w:r w:rsidRPr="00075492">
        <w:t>ndra kommuner ansåg att en sådan informationsförmedling borde skötas internt inom KF.</w:t>
      </w:r>
    </w:p>
    <w:p w:rsidR="00547E7E" w:rsidRPr="00075492" w:rsidRDefault="00547E7E">
      <w:pPr>
        <w:pStyle w:val="Normaltindrag"/>
      </w:pPr>
      <w:r w:rsidRPr="00075492">
        <w:t xml:space="preserve">Samtliga företrädare för de olika kedjorna inom dagligvaruhandeln anser att det skulle vara en fördel om tillsynsmyndigheterna rutinmässigt skickade kopior på inspektionsprotokoll till kedjornas huvudkontor. På så sätt skulle branschen själv kunna åtgärda problem betydligt snabbare än vad den kan göra i dag. </w:t>
      </w:r>
    </w:p>
    <w:p w:rsidR="00547E7E" w:rsidRPr="00075492" w:rsidRDefault="00547E7E">
      <w:pPr>
        <w:pStyle w:val="Normaltindrag"/>
      </w:pPr>
      <w:r w:rsidRPr="00075492">
        <w:t>Livsmedelsverket anser att det skulle vara positivt om tillsynsmyndigh</w:t>
      </w:r>
      <w:r w:rsidRPr="00075492">
        <w:t>e</w:t>
      </w:r>
      <w:r w:rsidRPr="00075492">
        <w:t xml:space="preserve">terna rutinmässigt informerade huvudkontoren om konstaterade brister, men att det är svårt att ställa ett sådant krav. </w:t>
      </w:r>
    </w:p>
    <w:p w:rsidR="00547E7E" w:rsidRPr="00075492" w:rsidRDefault="00547E7E">
      <w:pPr>
        <w:pStyle w:val="Rubrik2"/>
      </w:pPr>
      <w:bookmarkStart w:id="695" w:name="_Toc532284562"/>
      <w:bookmarkStart w:id="696" w:name="_Toc532292129"/>
      <w:bookmarkStart w:id="697" w:name="_Toc84676"/>
      <w:bookmarkStart w:id="698" w:name="_Toc6634635"/>
      <w:bookmarkStart w:id="699" w:name="_Toc6637217"/>
      <w:r w:rsidRPr="00075492">
        <w:t>Aktuella förslag om egenkontroll</w:t>
      </w:r>
      <w:bookmarkEnd w:id="695"/>
      <w:bookmarkEnd w:id="696"/>
      <w:bookmarkEnd w:id="697"/>
      <w:bookmarkEnd w:id="698"/>
      <w:bookmarkEnd w:id="699"/>
    </w:p>
    <w:p w:rsidR="00547E7E" w:rsidRPr="00075492" w:rsidRDefault="00547E7E">
      <w:r w:rsidRPr="00075492">
        <w:t>I utredningen om livsmedelstillsynen i Sverige föreslogs att kravet på att tillsynsmyndigheterna ska fastställa företagens egenkontrollprogram skulle tas bort. Motiven till förslaget var dels att myndighetens fastställande ledde till en låsning vid en given tidpunkt, dels att nuvarande ordning kunde skapa oklara ansvarsfö</w:t>
      </w:r>
      <w:r w:rsidRPr="00075492">
        <w:t>r</w:t>
      </w:r>
      <w:r w:rsidRPr="00075492">
        <w:t>hållanden.</w:t>
      </w:r>
    </w:p>
    <w:p w:rsidR="00547E7E" w:rsidRPr="00075492" w:rsidRDefault="00547E7E">
      <w:pPr>
        <w:pStyle w:val="Normaltindrag"/>
      </w:pPr>
      <w:r w:rsidRPr="00075492">
        <w:t>I Livsmedelsverkets rapport 9–2000 framförs också förslag om att avskaffa kravet på att egenkontrollprogram ska fastställas av tillsynsmyndigheten. Förslaget innebär att Livsmedelsverket skulle informera tillsynsmyndigh</w:t>
      </w:r>
      <w:r w:rsidRPr="00075492">
        <w:t>e</w:t>
      </w:r>
      <w:r w:rsidRPr="00075492">
        <w:t>terna om vilka åtgärder som kan vidtas om egenkontrollprogram saknas, eller om de inte överensstämmer med verksamheten eller om de inte efterlevs. Branschorganisationerna ska, enligt verket, uppmuntras till att ta fram vä</w:t>
      </w:r>
      <w:r w:rsidRPr="00075492">
        <w:t>g</w:t>
      </w:r>
      <w:r w:rsidRPr="00075492">
        <w:t>ledningar.</w:t>
      </w:r>
    </w:p>
    <w:p w:rsidR="00547E7E" w:rsidRPr="00075492" w:rsidRDefault="00547E7E">
      <w:pPr>
        <w:pStyle w:val="Normaltindrag"/>
      </w:pPr>
      <w:r w:rsidRPr="00075492">
        <w:t>Regeringen har ännu inte tagit ställning till förslaget om att avskaffa kravet på att egenkontrollprogram ska fastställas av til</w:t>
      </w:r>
      <w:r w:rsidRPr="00075492">
        <w:t>l</w:t>
      </w:r>
      <w:r w:rsidRPr="00075492">
        <w:t>synsmyndigheten.</w:t>
      </w:r>
    </w:p>
    <w:p w:rsidR="00547E7E" w:rsidRPr="00075492" w:rsidRDefault="00547E7E">
      <w:pPr>
        <w:pStyle w:val="Rubrik2"/>
      </w:pPr>
      <w:bookmarkStart w:id="700" w:name="_Toc532284563"/>
      <w:bookmarkStart w:id="701" w:name="_Toc532292130"/>
      <w:bookmarkStart w:id="702" w:name="_Toc84677"/>
      <w:bookmarkStart w:id="703" w:name="_Toc6634636"/>
      <w:bookmarkStart w:id="704" w:name="_Toc6637218"/>
      <w:r w:rsidRPr="00075492">
        <w:t>Sammanfattning</w:t>
      </w:r>
      <w:bookmarkEnd w:id="700"/>
      <w:bookmarkEnd w:id="701"/>
      <w:bookmarkEnd w:id="702"/>
      <w:bookmarkEnd w:id="703"/>
      <w:bookmarkEnd w:id="704"/>
    </w:p>
    <w:p w:rsidR="00547E7E" w:rsidRPr="00075492" w:rsidRDefault="00547E7E">
      <w:r w:rsidRPr="00075492">
        <w:t>Enligt livsmedelslagen är företagens ansvar mycket tydligt. Ansvaret omfa</w:t>
      </w:r>
      <w:r w:rsidRPr="00075492">
        <w:t>t</w:t>
      </w:r>
      <w:r w:rsidRPr="00075492">
        <w:t>tar bl.a. märkning, hantering, personalhygien och  livsmedelslokal. Grun</w:t>
      </w:r>
      <w:r w:rsidRPr="00075492">
        <w:t>d</w:t>
      </w:r>
      <w:r w:rsidRPr="00075492">
        <w:t>läggande krav måste uppfyllas för att livsmedel ska få hanteras för försäl</w:t>
      </w:r>
      <w:r w:rsidRPr="00075492">
        <w:t>j</w:t>
      </w:r>
      <w:r w:rsidRPr="00075492">
        <w:t>ning och i sto</w:t>
      </w:r>
      <w:r w:rsidRPr="00075492">
        <w:t>r</w:t>
      </w:r>
      <w:r w:rsidRPr="00075492">
        <w:t xml:space="preserve">hushåll. </w:t>
      </w:r>
    </w:p>
    <w:p w:rsidR="00547E7E" w:rsidRPr="00075492" w:rsidRDefault="00547E7E">
      <w:pPr>
        <w:pStyle w:val="Normaltindrag"/>
      </w:pPr>
      <w:r w:rsidRPr="00075492">
        <w:t>Företagens ansvar har kommit till uttryck genom att de själva ska utföra olika kontroller. Dessa kontroller betecknas som egenkontroll eller egentil</w:t>
      </w:r>
      <w:r w:rsidRPr="00075492">
        <w:t>l</w:t>
      </w:r>
      <w:r w:rsidRPr="00075492">
        <w:t>syn. Enligt 1989 års riksdagsbeslut ska företagen på egen bekostnad utarbeta egenkontrollprogram.</w:t>
      </w:r>
    </w:p>
    <w:p w:rsidR="00547E7E" w:rsidRPr="00075492" w:rsidRDefault="00547E7E">
      <w:pPr>
        <w:pStyle w:val="Normaltindrag"/>
      </w:pPr>
      <w:r w:rsidRPr="00075492">
        <w:t>Statsmakternas intentioner med beslutet om obligatorisk egentillsyn för företagen förefaller inte ha uppnåtts. Det finns ett relativt omfattande unde</w:t>
      </w:r>
      <w:r w:rsidRPr="00075492">
        <w:t>r</w:t>
      </w:r>
      <w:r w:rsidRPr="00075492">
        <w:t>lag som visar att det fortfarande finns problem, framför allt inom mindre företag. Problemen är information, utbildning och de mindre företagens svaga incitament till egenkontroll. Tillsynsmyndigheternas arbete med att fastställa företagens egenkontrollprogram har varit omfattande. Arbetet för</w:t>
      </w:r>
      <w:r w:rsidRPr="00075492">
        <w:t>e</w:t>
      </w:r>
      <w:r w:rsidRPr="00075492">
        <w:t>faller inte alltid ha givit önskvärda resultat.</w:t>
      </w:r>
    </w:p>
    <w:p w:rsidR="00547E7E" w:rsidRPr="00075492" w:rsidRDefault="00547E7E">
      <w:pPr>
        <w:pStyle w:val="Normaltindrag"/>
      </w:pPr>
      <w:r w:rsidRPr="00075492">
        <w:t>Förslag finns om att avskaffa kravet på att tillsynsmyndigheterna ska fas</w:t>
      </w:r>
      <w:r w:rsidRPr="00075492">
        <w:t>t</w:t>
      </w:r>
      <w:r w:rsidRPr="00075492">
        <w:t>ställa företagens egenkontrollprogram. Motivet är bl.a. att tydliggöra föret</w:t>
      </w:r>
      <w:r w:rsidRPr="00075492">
        <w:t>a</w:t>
      </w:r>
      <w:r w:rsidRPr="00075492">
        <w:t>gens ansvar för efterlevnaden av livsmedelsla</w:t>
      </w:r>
      <w:r w:rsidRPr="00075492">
        <w:t>g</w:t>
      </w:r>
      <w:r w:rsidRPr="00075492">
        <w:t>stiftningen.</w:t>
      </w:r>
    </w:p>
    <w:p w:rsidR="00547E7E" w:rsidRPr="00075492" w:rsidRDefault="00547E7E">
      <w:pPr>
        <w:pStyle w:val="Normaltindrag"/>
      </w:pPr>
      <w:r w:rsidRPr="00075492">
        <w:t xml:space="preserve">Några branschorganisationer och kedjor inom detaljhandeln har påbörjat ett arbete med att bl.a. förbättra livsmedelshygienen vid företagen. </w:t>
      </w:r>
    </w:p>
    <w:p w:rsidR="00547E7E" w:rsidRPr="00075492" w:rsidRDefault="00547E7E">
      <w:pPr>
        <w:pStyle w:val="Rubrik1"/>
      </w:pPr>
      <w:r w:rsidRPr="00075492">
        <w:br w:type="page"/>
      </w:r>
      <w:bookmarkStart w:id="705" w:name="_Toc532284564"/>
      <w:bookmarkStart w:id="706" w:name="_Toc532292131"/>
      <w:bookmarkStart w:id="707" w:name="_Toc84678"/>
      <w:bookmarkStart w:id="708" w:name="_Toc6634637"/>
      <w:bookmarkStart w:id="709" w:name="_Toc6637219"/>
      <w:r w:rsidRPr="00075492">
        <w:t>Sanktioner och andra åtgärder</w:t>
      </w:r>
      <w:bookmarkEnd w:id="705"/>
      <w:bookmarkEnd w:id="706"/>
      <w:bookmarkEnd w:id="707"/>
      <w:bookmarkEnd w:id="708"/>
      <w:bookmarkEnd w:id="709"/>
    </w:p>
    <w:p w:rsidR="00547E7E" w:rsidRPr="00075492" w:rsidRDefault="00547E7E">
      <w:pPr>
        <w:pStyle w:val="Rubrik2"/>
      </w:pPr>
      <w:bookmarkStart w:id="710" w:name="_Toc532284565"/>
      <w:bookmarkStart w:id="711" w:name="_Toc532292132"/>
      <w:bookmarkStart w:id="712" w:name="_Toc84679"/>
      <w:bookmarkStart w:id="713" w:name="_Toc6634638"/>
      <w:bookmarkStart w:id="714" w:name="_Toc6637220"/>
      <w:r w:rsidRPr="00075492">
        <w:t>Inledning</w:t>
      </w:r>
      <w:bookmarkEnd w:id="710"/>
      <w:bookmarkEnd w:id="711"/>
      <w:bookmarkEnd w:id="712"/>
      <w:bookmarkEnd w:id="713"/>
      <w:bookmarkEnd w:id="714"/>
    </w:p>
    <w:p w:rsidR="00547E7E" w:rsidRPr="00075492" w:rsidRDefault="00547E7E">
      <w:r w:rsidRPr="00075492">
        <w:t>Detta kapitel innehåller en redovisning av de sanktionsmöjligheter som finns enligt livsmedelslagen och erfarenheter av tillämpnin</w:t>
      </w:r>
      <w:r w:rsidRPr="00075492">
        <w:t>g</w:t>
      </w:r>
      <w:r w:rsidRPr="00075492">
        <w:t xml:space="preserve">en av dessa sanktioner. </w:t>
      </w:r>
    </w:p>
    <w:p w:rsidR="00547E7E" w:rsidRPr="00075492" w:rsidRDefault="00547E7E">
      <w:pPr>
        <w:pStyle w:val="Normaltindrag"/>
      </w:pPr>
      <w:r w:rsidRPr="00075492">
        <w:t>Syftet är att belysa om det nuvarande sanktionssystemet är ett verksamt medel för att komma till rätta med brister i företagens hantering av livsmedel och i re</w:t>
      </w:r>
      <w:r w:rsidRPr="00075492">
        <w:t>d</w:t>
      </w:r>
      <w:r w:rsidRPr="00075492">
        <w:t xml:space="preserve">lighet vid denna hantering. </w:t>
      </w:r>
    </w:p>
    <w:p w:rsidR="00547E7E" w:rsidRPr="00075492" w:rsidRDefault="00547E7E">
      <w:pPr>
        <w:pStyle w:val="Rubrik2"/>
      </w:pPr>
      <w:bookmarkStart w:id="715" w:name="_Toc532284566"/>
      <w:bookmarkStart w:id="716" w:name="_Toc532292133"/>
      <w:bookmarkStart w:id="717" w:name="_Toc84680"/>
      <w:bookmarkStart w:id="718" w:name="_Toc6634639"/>
      <w:bookmarkStart w:id="719" w:name="_Toc6637221"/>
      <w:r w:rsidRPr="00075492">
        <w:t>Sanktioner</w:t>
      </w:r>
      <w:bookmarkEnd w:id="715"/>
      <w:bookmarkEnd w:id="716"/>
      <w:bookmarkEnd w:id="717"/>
      <w:bookmarkEnd w:id="718"/>
      <w:bookmarkEnd w:id="719"/>
    </w:p>
    <w:p w:rsidR="00547E7E" w:rsidRPr="00075492" w:rsidRDefault="00547E7E">
      <w:r w:rsidRPr="00075492">
        <w:t>Genom riksdagens beslut om livsmedelskontrollen år 1989 infördes en al</w:t>
      </w:r>
      <w:r w:rsidRPr="00075492">
        <w:t>l</w:t>
      </w:r>
      <w:r w:rsidRPr="00075492">
        <w:t>män skyldighet för tillsynsmyndigheterna att verka för att överträdelser enligt livsmedelslagstiftningen beivras (25 a § LL). Bestämmelsen innebär att när en tillsynsmyndighet misstänker att en överträdelse har skett måste myndigheten utreda frågan så att bedömningar om anmälan till åtal ska ku</w:t>
      </w:r>
      <w:r w:rsidRPr="00075492">
        <w:t>n</w:t>
      </w:r>
      <w:r w:rsidRPr="00075492">
        <w:t>na ske</w:t>
      </w:r>
      <w:r w:rsidRPr="00075492">
        <w:rPr>
          <w:rStyle w:val="Fotnotsreferens"/>
        </w:rPr>
        <w:footnoteReference w:id="74"/>
      </w:r>
      <w:r w:rsidRPr="00075492">
        <w:t>. Det är även straffbart att inte följa ett fastställt egenkontrollpr</w:t>
      </w:r>
      <w:r w:rsidRPr="00075492">
        <w:t>o</w:t>
      </w:r>
      <w:r w:rsidRPr="00075492">
        <w:t>gram. Straff i form av böter och fängelse i högst två år kan utdömas. Ringa överträdelser är inte straffbelagda.</w:t>
      </w:r>
    </w:p>
    <w:p w:rsidR="00547E7E" w:rsidRPr="00075492" w:rsidRDefault="00547E7E">
      <w:pPr>
        <w:pStyle w:val="Normaltindrag"/>
      </w:pPr>
      <w:r w:rsidRPr="00075492">
        <w:t>Motiven till regeringens förslag om skärpta sanktionsbestämmelser var att antalet brott mot livsmedelslagstiftningens bestämmelser hade ökat. Enligt regeringen krävdes en attitydförändring för att komma till rätta med åsid</w:t>
      </w:r>
      <w:r w:rsidRPr="00075492">
        <w:t>o</w:t>
      </w:r>
      <w:r w:rsidRPr="00075492">
        <w:t>sättanden inom branschen.</w:t>
      </w:r>
    </w:p>
    <w:p w:rsidR="00547E7E" w:rsidRPr="00075492" w:rsidRDefault="00547E7E">
      <w:pPr>
        <w:pStyle w:val="Normaltindrag"/>
      </w:pPr>
      <w:r w:rsidRPr="00075492">
        <w:t>För att öka respekten för livsmedelslagstiftningen var det enligt regeringen inte tillräckligt att sanktionsbestämmelserna skärptes. ”Härutöver krävs att tillsynsmyndigheterna mer kraftfullt än för närvarande beivrar de överträde</w:t>
      </w:r>
      <w:r w:rsidRPr="00075492">
        <w:t>l</w:t>
      </w:r>
      <w:r w:rsidRPr="00075492">
        <w:t>ser som de uppmärksammar i sin verksamhet. Jag tänker då t.ex. på vikten av att tillsynsmyndigheterna vid misstanke om brott utan dröjsmål anmäler saken till åtal”</w:t>
      </w:r>
      <w:r w:rsidRPr="00075492">
        <w:rPr>
          <w:rStyle w:val="Fotnotsreferens"/>
        </w:rPr>
        <w:footnoteReference w:id="75"/>
      </w:r>
      <w:r w:rsidRPr="00075492">
        <w:t>. Även ett väl avvägt vite framhölls som ett effektivt p</w:t>
      </w:r>
      <w:r w:rsidRPr="00075492">
        <w:t>å</w:t>
      </w:r>
      <w:r w:rsidRPr="00075492">
        <w:t>tryckningsm</w:t>
      </w:r>
      <w:r w:rsidRPr="00075492">
        <w:t>e</w:t>
      </w:r>
      <w:r w:rsidRPr="00075492">
        <w:t xml:space="preserve">del. </w:t>
      </w:r>
    </w:p>
    <w:p w:rsidR="00547E7E" w:rsidRPr="00075492" w:rsidRDefault="00547E7E">
      <w:pPr>
        <w:pStyle w:val="Normaltindrag"/>
      </w:pPr>
      <w:r w:rsidRPr="00075492">
        <w:t>Utskottet välkomnade regeringens förslag om skärpta sanktionsbestä</w:t>
      </w:r>
      <w:r w:rsidRPr="00075492">
        <w:t>m</w:t>
      </w:r>
      <w:r w:rsidRPr="00075492">
        <w:t>melser. Tillsammans med andra förändringar bedömde utskottet att detta borde leda till att brott mot livsmedelslagen beivrades i större utsträckning än tidigare</w:t>
      </w:r>
      <w:r w:rsidRPr="00075492">
        <w:rPr>
          <w:rStyle w:val="Fotnotsreferens"/>
        </w:rPr>
        <w:footnoteReference w:id="76"/>
      </w:r>
      <w:r w:rsidRPr="00075492">
        <w:t>.</w:t>
      </w:r>
    </w:p>
    <w:p w:rsidR="00547E7E" w:rsidRPr="00075492" w:rsidRDefault="00547E7E">
      <w:pPr>
        <w:pStyle w:val="Normaltindrag"/>
      </w:pPr>
      <w:r w:rsidRPr="00075492">
        <w:t xml:space="preserve">Riksdagen följde utskottets förslag. </w:t>
      </w:r>
    </w:p>
    <w:p w:rsidR="00547E7E" w:rsidRPr="00075492" w:rsidRDefault="00547E7E">
      <w:r w:rsidRPr="00075492">
        <w:t xml:space="preserve">De sanktionsmöjligheter som finns enligt livsmedelslagen är: </w:t>
      </w:r>
    </w:p>
    <w:p w:rsidR="00547E7E" w:rsidRPr="00075492" w:rsidRDefault="00547E7E">
      <w:pPr>
        <w:pStyle w:val="Normaltindrag"/>
        <w:numPr>
          <w:ilvl w:val="0"/>
          <w:numId w:val="284"/>
        </w:numPr>
        <w:tabs>
          <w:tab w:val="clear" w:pos="360"/>
        </w:tabs>
        <w:ind w:left="255" w:hanging="255"/>
      </w:pPr>
      <w:r w:rsidRPr="00075492">
        <w:t>Föreläggande eller förbud med eller utan vite (25 § LL).</w:t>
      </w:r>
    </w:p>
    <w:p w:rsidR="00547E7E" w:rsidRPr="00075492" w:rsidRDefault="00547E7E">
      <w:pPr>
        <w:pStyle w:val="Normaltindrag"/>
        <w:numPr>
          <w:ilvl w:val="0"/>
          <w:numId w:val="284"/>
        </w:numPr>
        <w:tabs>
          <w:tab w:val="clear" w:pos="360"/>
        </w:tabs>
        <w:ind w:left="255" w:hanging="255"/>
      </w:pPr>
      <w:r w:rsidRPr="00075492">
        <w:t>Omhändertagande av vara (27 § LL).</w:t>
      </w:r>
    </w:p>
    <w:p w:rsidR="00547E7E" w:rsidRPr="00075492" w:rsidRDefault="00547E7E">
      <w:pPr>
        <w:pStyle w:val="Normaltindrag"/>
        <w:numPr>
          <w:ilvl w:val="0"/>
          <w:numId w:val="284"/>
        </w:numPr>
        <w:tabs>
          <w:tab w:val="clear" w:pos="360"/>
        </w:tabs>
        <w:ind w:left="255" w:hanging="255"/>
      </w:pPr>
      <w:r w:rsidRPr="00075492">
        <w:t>Förordnande om rättelse (25 § LL)</w:t>
      </w:r>
    </w:p>
    <w:p w:rsidR="00547E7E" w:rsidRPr="00075492" w:rsidRDefault="00547E7E">
      <w:pPr>
        <w:pStyle w:val="Normaltindrag"/>
        <w:numPr>
          <w:ilvl w:val="0"/>
          <w:numId w:val="284"/>
        </w:numPr>
        <w:tabs>
          <w:tab w:val="clear" w:pos="360"/>
        </w:tabs>
        <w:ind w:left="255" w:hanging="255"/>
      </w:pPr>
      <w:r w:rsidRPr="00075492">
        <w:t>Återkallelse av godkännande av livsmedelslokal (LF 44 §) och av til</w:t>
      </w:r>
      <w:r w:rsidRPr="00075492">
        <w:t>l</w:t>
      </w:r>
      <w:r w:rsidRPr="00075492">
        <w:t>stånd (LF 16 §) om det finns ett förbehåll om återka</w:t>
      </w:r>
      <w:r w:rsidRPr="00075492">
        <w:t>l</w:t>
      </w:r>
      <w:r w:rsidRPr="00075492">
        <w:t xml:space="preserve">lelse. </w:t>
      </w:r>
    </w:p>
    <w:p w:rsidR="00547E7E" w:rsidRPr="00075492" w:rsidRDefault="00547E7E">
      <w:pPr>
        <w:pStyle w:val="Normaltindrag"/>
        <w:numPr>
          <w:ilvl w:val="0"/>
          <w:numId w:val="284"/>
        </w:numPr>
        <w:tabs>
          <w:tab w:val="clear" w:pos="360"/>
        </w:tabs>
        <w:ind w:left="255" w:hanging="255"/>
      </w:pPr>
      <w:r w:rsidRPr="00075492">
        <w:t>Åtalsprövning som innebär att ärendet lämnas till åklagare (25 a § LL).</w:t>
      </w:r>
    </w:p>
    <w:p w:rsidR="00547E7E" w:rsidRPr="00075492" w:rsidRDefault="00547E7E">
      <w:pPr>
        <w:pStyle w:val="Rubrik2"/>
      </w:pPr>
      <w:bookmarkStart w:id="720" w:name="_Toc532284567"/>
      <w:bookmarkStart w:id="721" w:name="_Toc532292134"/>
      <w:bookmarkStart w:id="722" w:name="_Toc84681"/>
      <w:bookmarkStart w:id="723" w:name="_Toc6634640"/>
      <w:bookmarkStart w:id="724" w:name="_Toc6637222"/>
      <w:r w:rsidRPr="00075492">
        <w:t>Tillämpning av sanktionssystemet –omfattning</w:t>
      </w:r>
      <w:bookmarkEnd w:id="720"/>
      <w:bookmarkEnd w:id="721"/>
      <w:bookmarkEnd w:id="722"/>
      <w:bookmarkEnd w:id="723"/>
      <w:bookmarkEnd w:id="724"/>
    </w:p>
    <w:p w:rsidR="00547E7E" w:rsidRPr="00075492" w:rsidRDefault="00547E7E">
      <w:pPr>
        <w:pStyle w:val="Rubrik3"/>
      </w:pPr>
      <w:bookmarkStart w:id="725" w:name="_Toc532284568"/>
      <w:bookmarkStart w:id="726" w:name="_Toc532292135"/>
      <w:bookmarkStart w:id="727" w:name="_Toc84682"/>
      <w:bookmarkStart w:id="728" w:name="_Toc6634641"/>
      <w:bookmarkStart w:id="729" w:name="_Toc6637223"/>
      <w:r w:rsidRPr="00075492">
        <w:t>Kommunernas uppgifter</w:t>
      </w:r>
      <w:bookmarkEnd w:id="725"/>
      <w:bookmarkEnd w:id="726"/>
      <w:bookmarkEnd w:id="727"/>
      <w:bookmarkEnd w:id="728"/>
      <w:bookmarkEnd w:id="729"/>
    </w:p>
    <w:p w:rsidR="00547E7E" w:rsidRPr="00075492" w:rsidRDefault="00547E7E">
      <w:pPr>
        <w:rPr>
          <w:i/>
        </w:rPr>
      </w:pPr>
      <w:r w:rsidRPr="00075492">
        <w:t>Kommunerna redovisar årligen uppgifter om användningen av sanktioner till Livsmedelsverket. Enligt Livsmedelsverket är uppgifterna osäkra. För vissa år saknas uppgifter från några komm</w:t>
      </w:r>
      <w:r w:rsidRPr="00075492">
        <w:t>u</w:t>
      </w:r>
      <w:r w:rsidRPr="00075492">
        <w:t>ner.</w:t>
      </w:r>
      <w:r w:rsidRPr="00075492">
        <w:rPr>
          <w:b/>
        </w:rPr>
        <w:t xml:space="preserve"> </w:t>
      </w:r>
    </w:p>
    <w:p w:rsidR="00547E7E" w:rsidRPr="00075492" w:rsidRDefault="00547E7E">
      <w:pPr>
        <w:pStyle w:val="Beskrivning"/>
      </w:pPr>
      <w:r w:rsidRPr="00075492">
        <w:t xml:space="preserve">Tabell </w:t>
      </w:r>
      <w:r w:rsidRPr="00075492">
        <w:t>15</w:t>
      </w:r>
      <w:r w:rsidRPr="00075492">
        <w:t xml:space="preserve"> Antal utfärdade sanktioner perioden 1991-1999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558"/>
        <w:gridCol w:w="558"/>
        <w:gridCol w:w="558"/>
        <w:gridCol w:w="558"/>
        <w:gridCol w:w="558"/>
        <w:gridCol w:w="558"/>
        <w:gridCol w:w="558"/>
        <w:gridCol w:w="558"/>
        <w:gridCol w:w="558"/>
      </w:tblGrid>
      <w:tr w:rsidR="00000000" w:rsidRPr="00075492">
        <w:tblPrEx>
          <w:tblCellMar>
            <w:top w:w="0" w:type="dxa"/>
            <w:bottom w:w="0" w:type="dxa"/>
          </w:tblCellMar>
        </w:tblPrEx>
        <w:tc>
          <w:tcPr>
            <w:tcW w:w="1016" w:type="dxa"/>
            <w:shd w:val="pct20" w:color="auto" w:fill="FFFFFF"/>
          </w:tcPr>
          <w:p w:rsidR="00547E7E" w:rsidRPr="00075492" w:rsidRDefault="00547E7E"/>
        </w:tc>
        <w:tc>
          <w:tcPr>
            <w:tcW w:w="558" w:type="dxa"/>
            <w:shd w:val="pct20" w:color="auto" w:fill="FFFFFF"/>
          </w:tcPr>
          <w:p w:rsidR="00547E7E" w:rsidRPr="00075492" w:rsidRDefault="00547E7E">
            <w:pPr>
              <w:pStyle w:val="Tabellrubrik"/>
            </w:pPr>
            <w:r w:rsidRPr="00075492">
              <w:t>1991</w:t>
            </w:r>
          </w:p>
        </w:tc>
        <w:tc>
          <w:tcPr>
            <w:tcW w:w="558" w:type="dxa"/>
            <w:shd w:val="pct20" w:color="auto" w:fill="FFFFFF"/>
          </w:tcPr>
          <w:p w:rsidR="00547E7E" w:rsidRPr="00075492" w:rsidRDefault="00547E7E">
            <w:pPr>
              <w:pStyle w:val="Tabellrubrik"/>
            </w:pPr>
            <w:r w:rsidRPr="00075492">
              <w:t>1992</w:t>
            </w:r>
          </w:p>
        </w:tc>
        <w:tc>
          <w:tcPr>
            <w:tcW w:w="558" w:type="dxa"/>
            <w:shd w:val="pct20" w:color="auto" w:fill="FFFFFF"/>
          </w:tcPr>
          <w:p w:rsidR="00547E7E" w:rsidRPr="00075492" w:rsidRDefault="00547E7E">
            <w:pPr>
              <w:pStyle w:val="Tabellrubrik"/>
            </w:pPr>
            <w:r w:rsidRPr="00075492">
              <w:t>1993</w:t>
            </w:r>
          </w:p>
        </w:tc>
        <w:tc>
          <w:tcPr>
            <w:tcW w:w="558" w:type="dxa"/>
            <w:shd w:val="pct20" w:color="auto" w:fill="FFFFFF"/>
          </w:tcPr>
          <w:p w:rsidR="00547E7E" w:rsidRPr="00075492" w:rsidRDefault="00547E7E">
            <w:pPr>
              <w:pStyle w:val="Tabellrubrik"/>
            </w:pPr>
            <w:r w:rsidRPr="00075492">
              <w:t>1994</w:t>
            </w:r>
          </w:p>
        </w:tc>
        <w:tc>
          <w:tcPr>
            <w:tcW w:w="558" w:type="dxa"/>
            <w:shd w:val="pct20" w:color="auto" w:fill="FFFFFF"/>
          </w:tcPr>
          <w:p w:rsidR="00547E7E" w:rsidRPr="00075492" w:rsidRDefault="00547E7E">
            <w:pPr>
              <w:pStyle w:val="Tabellrubrik"/>
            </w:pPr>
            <w:r w:rsidRPr="00075492">
              <w:t>1995</w:t>
            </w:r>
          </w:p>
        </w:tc>
        <w:tc>
          <w:tcPr>
            <w:tcW w:w="558" w:type="dxa"/>
            <w:shd w:val="pct20" w:color="auto" w:fill="FFFFFF"/>
          </w:tcPr>
          <w:p w:rsidR="00547E7E" w:rsidRPr="00075492" w:rsidRDefault="00547E7E">
            <w:pPr>
              <w:pStyle w:val="Tabellrubrik"/>
            </w:pPr>
            <w:r w:rsidRPr="00075492">
              <w:t>1996</w:t>
            </w:r>
          </w:p>
        </w:tc>
        <w:tc>
          <w:tcPr>
            <w:tcW w:w="558" w:type="dxa"/>
            <w:shd w:val="pct20" w:color="auto" w:fill="FFFFFF"/>
          </w:tcPr>
          <w:p w:rsidR="00547E7E" w:rsidRPr="00075492" w:rsidRDefault="00547E7E">
            <w:pPr>
              <w:pStyle w:val="Tabellrubrik"/>
            </w:pPr>
            <w:r w:rsidRPr="00075492">
              <w:t>1997</w:t>
            </w:r>
          </w:p>
        </w:tc>
        <w:tc>
          <w:tcPr>
            <w:tcW w:w="558" w:type="dxa"/>
            <w:shd w:val="pct20" w:color="auto" w:fill="FFFFFF"/>
          </w:tcPr>
          <w:p w:rsidR="00547E7E" w:rsidRPr="00075492" w:rsidRDefault="00547E7E">
            <w:pPr>
              <w:pStyle w:val="Tabellrubrik"/>
            </w:pPr>
            <w:r w:rsidRPr="00075492">
              <w:t>1998</w:t>
            </w:r>
          </w:p>
        </w:tc>
        <w:tc>
          <w:tcPr>
            <w:tcW w:w="558" w:type="dxa"/>
            <w:shd w:val="pct20" w:color="auto" w:fill="FFFFFF"/>
          </w:tcPr>
          <w:p w:rsidR="00547E7E" w:rsidRPr="00075492" w:rsidRDefault="00547E7E">
            <w:pPr>
              <w:pStyle w:val="Tabellrubrik"/>
            </w:pPr>
            <w:r w:rsidRPr="00075492">
              <w:t>1999</w:t>
            </w:r>
          </w:p>
        </w:tc>
      </w:tr>
      <w:tr w:rsidR="00000000" w:rsidRPr="00075492">
        <w:tblPrEx>
          <w:tblCellMar>
            <w:top w:w="0" w:type="dxa"/>
            <w:bottom w:w="0" w:type="dxa"/>
          </w:tblCellMar>
        </w:tblPrEx>
        <w:tc>
          <w:tcPr>
            <w:tcW w:w="1016" w:type="dxa"/>
          </w:tcPr>
          <w:p w:rsidR="00547E7E" w:rsidRPr="00075492" w:rsidRDefault="00547E7E">
            <w:pPr>
              <w:pStyle w:val="Tabell"/>
            </w:pPr>
            <w:r w:rsidRPr="00075492">
              <w:t>Förbud, saluförbud, omhände</w:t>
            </w:r>
            <w:r w:rsidRPr="00075492">
              <w:t>r</w:t>
            </w:r>
            <w:r w:rsidRPr="00075492">
              <w:t>taga</w:t>
            </w:r>
            <w:r w:rsidRPr="00075492">
              <w:t>n</w:t>
            </w:r>
            <w:r w:rsidRPr="00075492">
              <w:t>de</w:t>
            </w: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r w:rsidRPr="00075492">
              <w:t>631</w:t>
            </w:r>
          </w:p>
        </w:tc>
        <w:tc>
          <w:tcPr>
            <w:tcW w:w="558" w:type="dxa"/>
          </w:tcPr>
          <w:p w:rsidR="00547E7E" w:rsidRPr="00075492" w:rsidRDefault="00547E7E">
            <w:pPr>
              <w:pStyle w:val="Tabell"/>
            </w:pPr>
            <w:r w:rsidRPr="00075492">
              <w:t>266</w:t>
            </w:r>
          </w:p>
        </w:tc>
        <w:tc>
          <w:tcPr>
            <w:tcW w:w="558" w:type="dxa"/>
          </w:tcPr>
          <w:p w:rsidR="00547E7E" w:rsidRPr="00075492" w:rsidRDefault="00547E7E">
            <w:pPr>
              <w:pStyle w:val="Tabell"/>
            </w:pPr>
            <w:r w:rsidRPr="00075492">
              <w:t>383</w:t>
            </w:r>
          </w:p>
        </w:tc>
      </w:tr>
      <w:tr w:rsidR="00000000" w:rsidRPr="00075492">
        <w:tblPrEx>
          <w:tblCellMar>
            <w:top w:w="0" w:type="dxa"/>
            <w:bottom w:w="0" w:type="dxa"/>
          </w:tblCellMar>
        </w:tblPrEx>
        <w:tc>
          <w:tcPr>
            <w:tcW w:w="1016" w:type="dxa"/>
          </w:tcPr>
          <w:p w:rsidR="00547E7E" w:rsidRPr="00075492" w:rsidRDefault="00547E7E">
            <w:pPr>
              <w:pStyle w:val="Tabell"/>
            </w:pPr>
            <w:r w:rsidRPr="00075492">
              <w:t>Vitesför</w:t>
            </w:r>
            <w:r w:rsidRPr="00075492">
              <w:t>e</w:t>
            </w:r>
            <w:r w:rsidRPr="00075492">
              <w:t>lägga</w:t>
            </w:r>
            <w:r w:rsidRPr="00075492">
              <w:t>n</w:t>
            </w:r>
            <w:r w:rsidRPr="00075492">
              <w:t xml:space="preserve">de </w:t>
            </w: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p>
        </w:tc>
        <w:tc>
          <w:tcPr>
            <w:tcW w:w="558" w:type="dxa"/>
          </w:tcPr>
          <w:p w:rsidR="00547E7E" w:rsidRPr="00075492" w:rsidRDefault="00547E7E">
            <w:pPr>
              <w:pStyle w:val="Tabell"/>
            </w:pPr>
            <w:r w:rsidRPr="00075492">
              <w:t>62</w:t>
            </w:r>
          </w:p>
        </w:tc>
        <w:tc>
          <w:tcPr>
            <w:tcW w:w="558" w:type="dxa"/>
          </w:tcPr>
          <w:p w:rsidR="00547E7E" w:rsidRPr="00075492" w:rsidRDefault="00547E7E">
            <w:pPr>
              <w:pStyle w:val="Tabell"/>
            </w:pPr>
            <w:r w:rsidRPr="00075492">
              <w:t>55</w:t>
            </w:r>
          </w:p>
        </w:tc>
        <w:tc>
          <w:tcPr>
            <w:tcW w:w="558" w:type="dxa"/>
          </w:tcPr>
          <w:p w:rsidR="00547E7E" w:rsidRPr="00075492" w:rsidRDefault="00547E7E">
            <w:pPr>
              <w:pStyle w:val="Tabell"/>
            </w:pPr>
            <w:r w:rsidRPr="00075492">
              <w:t>74</w:t>
            </w:r>
          </w:p>
        </w:tc>
      </w:tr>
      <w:tr w:rsidR="00000000" w:rsidRPr="00075492">
        <w:tblPrEx>
          <w:tblCellMar>
            <w:top w:w="0" w:type="dxa"/>
            <w:bottom w:w="0" w:type="dxa"/>
          </w:tblCellMar>
        </w:tblPrEx>
        <w:tc>
          <w:tcPr>
            <w:tcW w:w="1016" w:type="dxa"/>
          </w:tcPr>
          <w:p w:rsidR="00547E7E" w:rsidRPr="00075492" w:rsidRDefault="00547E7E">
            <w:pPr>
              <w:pStyle w:val="Tabell"/>
            </w:pPr>
            <w:r w:rsidRPr="00075492">
              <w:t>Anmälnin</w:t>
            </w:r>
            <w:r w:rsidRPr="00075492">
              <w:t>g</w:t>
            </w:r>
            <w:r w:rsidRPr="00075492">
              <w:t>ar om åtal</w:t>
            </w:r>
            <w:r w:rsidRPr="00075492">
              <w:t>s</w:t>
            </w:r>
            <w:r w:rsidRPr="00075492">
              <w:t>prö</w:t>
            </w:r>
            <w:r w:rsidRPr="00075492">
              <w:t>v</w:t>
            </w:r>
            <w:r w:rsidRPr="00075492">
              <w:t>ning</w:t>
            </w:r>
          </w:p>
        </w:tc>
        <w:tc>
          <w:tcPr>
            <w:tcW w:w="558" w:type="dxa"/>
          </w:tcPr>
          <w:p w:rsidR="00547E7E" w:rsidRPr="00075492" w:rsidRDefault="00547E7E">
            <w:pPr>
              <w:pStyle w:val="Tabell"/>
            </w:pPr>
            <w:r w:rsidRPr="00075492">
              <w:t>42</w:t>
            </w:r>
          </w:p>
        </w:tc>
        <w:tc>
          <w:tcPr>
            <w:tcW w:w="558" w:type="dxa"/>
          </w:tcPr>
          <w:p w:rsidR="00547E7E" w:rsidRPr="00075492" w:rsidRDefault="00547E7E">
            <w:pPr>
              <w:pStyle w:val="Tabell"/>
            </w:pPr>
            <w:r w:rsidRPr="00075492">
              <w:t>41</w:t>
            </w:r>
          </w:p>
        </w:tc>
        <w:tc>
          <w:tcPr>
            <w:tcW w:w="558" w:type="dxa"/>
          </w:tcPr>
          <w:p w:rsidR="00547E7E" w:rsidRPr="00075492" w:rsidRDefault="00547E7E">
            <w:pPr>
              <w:pStyle w:val="Tabell"/>
            </w:pPr>
            <w:r w:rsidRPr="00075492">
              <w:t>32</w:t>
            </w:r>
          </w:p>
        </w:tc>
        <w:tc>
          <w:tcPr>
            <w:tcW w:w="558" w:type="dxa"/>
          </w:tcPr>
          <w:p w:rsidR="00547E7E" w:rsidRPr="00075492" w:rsidRDefault="00547E7E">
            <w:pPr>
              <w:pStyle w:val="Tabell"/>
            </w:pPr>
            <w:r w:rsidRPr="00075492">
              <w:t>33</w:t>
            </w:r>
          </w:p>
        </w:tc>
        <w:tc>
          <w:tcPr>
            <w:tcW w:w="558" w:type="dxa"/>
          </w:tcPr>
          <w:p w:rsidR="00547E7E" w:rsidRPr="00075492" w:rsidRDefault="00547E7E">
            <w:pPr>
              <w:pStyle w:val="Tabell"/>
            </w:pPr>
            <w:r w:rsidRPr="00075492">
              <w:t>20</w:t>
            </w:r>
          </w:p>
        </w:tc>
        <w:tc>
          <w:tcPr>
            <w:tcW w:w="558" w:type="dxa"/>
          </w:tcPr>
          <w:p w:rsidR="00547E7E" w:rsidRPr="00075492" w:rsidRDefault="00547E7E">
            <w:pPr>
              <w:pStyle w:val="Tabell"/>
            </w:pPr>
            <w:r w:rsidRPr="00075492">
              <w:t>32</w:t>
            </w:r>
          </w:p>
        </w:tc>
        <w:tc>
          <w:tcPr>
            <w:tcW w:w="558" w:type="dxa"/>
          </w:tcPr>
          <w:p w:rsidR="00547E7E" w:rsidRPr="00075492" w:rsidRDefault="00547E7E">
            <w:pPr>
              <w:pStyle w:val="Tabell"/>
            </w:pPr>
            <w:r w:rsidRPr="00075492">
              <w:t>33</w:t>
            </w:r>
          </w:p>
        </w:tc>
        <w:tc>
          <w:tcPr>
            <w:tcW w:w="558" w:type="dxa"/>
          </w:tcPr>
          <w:p w:rsidR="00547E7E" w:rsidRPr="00075492" w:rsidRDefault="00547E7E">
            <w:pPr>
              <w:pStyle w:val="Tabell"/>
            </w:pPr>
            <w:r w:rsidRPr="00075492">
              <w:t>43</w:t>
            </w:r>
          </w:p>
        </w:tc>
        <w:tc>
          <w:tcPr>
            <w:tcW w:w="558" w:type="dxa"/>
          </w:tcPr>
          <w:p w:rsidR="00547E7E" w:rsidRPr="00075492" w:rsidRDefault="00547E7E">
            <w:pPr>
              <w:pStyle w:val="Tabell"/>
            </w:pPr>
            <w:r w:rsidRPr="00075492">
              <w:t>33</w:t>
            </w:r>
          </w:p>
        </w:tc>
      </w:tr>
    </w:tbl>
    <w:p w:rsidR="00547E7E" w:rsidRPr="00075492" w:rsidRDefault="00547E7E">
      <w:pPr>
        <w:pStyle w:val="Tabell"/>
      </w:pPr>
    </w:p>
    <w:p w:rsidR="00547E7E" w:rsidRPr="00075492" w:rsidRDefault="00547E7E">
      <w:pPr>
        <w:pStyle w:val="Tabell"/>
      </w:pPr>
      <w:r w:rsidRPr="00075492">
        <w:t>Källa: SLV, Rapportering om livsmedelstillsyn åren 1995–2000</w:t>
      </w:r>
    </w:p>
    <w:p w:rsidR="00547E7E" w:rsidRPr="00075492" w:rsidRDefault="00547E7E">
      <w:r w:rsidRPr="00075492">
        <w:t>För perioden 1991-1996 saknas en sammanställning av kommunernas up</w:t>
      </w:r>
      <w:r w:rsidRPr="00075492">
        <w:t>p</w:t>
      </w:r>
      <w:r w:rsidRPr="00075492">
        <w:t>gifter om antalet förbud, saluförbud, omhändertaganden och vitesförelägga</w:t>
      </w:r>
      <w:r w:rsidRPr="00075492">
        <w:t>n</w:t>
      </w:r>
      <w:r w:rsidRPr="00075492">
        <w:t xml:space="preserve">den. </w:t>
      </w:r>
    </w:p>
    <w:p w:rsidR="00547E7E" w:rsidRPr="00075492" w:rsidRDefault="00547E7E">
      <w:pPr>
        <w:pStyle w:val="Normaltindrag"/>
      </w:pPr>
      <w:r w:rsidRPr="00075492">
        <w:t>Av tabellen framgår att kommunerna främst utfärdar förbud eller salufö</w:t>
      </w:r>
      <w:r w:rsidRPr="00075492">
        <w:t>r</w:t>
      </w:r>
      <w:r w:rsidRPr="00075492">
        <w:t xml:space="preserve">bud eller omhändertar varor. Vitesföreläggande förekommer i begränsad utsträckning. Åtalsanmälningar är en ovanlig åtgärd. </w:t>
      </w:r>
    </w:p>
    <w:p w:rsidR="00547E7E" w:rsidRPr="00075492" w:rsidRDefault="00547E7E">
      <w:pPr>
        <w:pStyle w:val="Rubrik3"/>
      </w:pPr>
      <w:bookmarkStart w:id="730" w:name="_Toc532284569"/>
      <w:bookmarkStart w:id="731" w:name="_Toc532292136"/>
      <w:bookmarkStart w:id="732" w:name="_Toc84683"/>
      <w:bookmarkStart w:id="733" w:name="_Toc6634642"/>
      <w:bookmarkStart w:id="734" w:name="_Toc6637224"/>
      <w:r w:rsidRPr="00075492">
        <w:t>Åtalsanmälan</w:t>
      </w:r>
      <w:bookmarkEnd w:id="730"/>
      <w:bookmarkEnd w:id="731"/>
      <w:bookmarkEnd w:id="732"/>
      <w:bookmarkEnd w:id="733"/>
      <w:bookmarkEnd w:id="734"/>
    </w:p>
    <w:p w:rsidR="00547E7E" w:rsidRPr="00075492" w:rsidRDefault="00547E7E">
      <w:r w:rsidRPr="00075492">
        <w:t>Totalt har 309 anmälningar till åtalsprövning gjorts under perioden 1991–1999 enligt kommunernas årliga rapport</w:t>
      </w:r>
      <w:r w:rsidRPr="00075492">
        <w:t>e</w:t>
      </w:r>
      <w:r w:rsidRPr="00075492">
        <w:t>ring.</w:t>
      </w:r>
    </w:p>
    <w:p w:rsidR="00547E7E" w:rsidRPr="00075492" w:rsidRDefault="00547E7E">
      <w:pPr>
        <w:pStyle w:val="Normaltindrag"/>
      </w:pPr>
      <w:r w:rsidRPr="00075492">
        <w:t xml:space="preserve">Livsmedelsverket får kopior från Domstolsverket av domar i brottmål som rör livsmedelslagen. Det råder dock en viss osäkerhet om Livsmedelsverket har fått del att samtliga domar. </w:t>
      </w:r>
    </w:p>
    <w:p w:rsidR="00547E7E" w:rsidRPr="00075492" w:rsidRDefault="00547E7E">
      <w:pPr>
        <w:pStyle w:val="Normaltindrag"/>
      </w:pPr>
      <w:r w:rsidRPr="00075492">
        <w:t>Verket får däremot inte kopior av åtalsanmälningar som inte l</w:t>
      </w:r>
      <w:r w:rsidRPr="00075492">
        <w:t>e</w:t>
      </w:r>
      <w:r w:rsidRPr="00075492">
        <w:t xml:space="preserve">der till åtal. </w:t>
      </w:r>
    </w:p>
    <w:p w:rsidR="00547E7E" w:rsidRPr="00075492" w:rsidRDefault="00547E7E">
      <w:pPr>
        <w:pStyle w:val="Normaltindrag"/>
      </w:pPr>
      <w:r w:rsidRPr="00075492">
        <w:t>Under perioden 1991–1999 finns totalt 146 domar i mål, varav 7 överkl</w:t>
      </w:r>
      <w:r w:rsidRPr="00075492">
        <w:t>a</w:t>
      </w:r>
      <w:r w:rsidRPr="00075492">
        <w:t>ganden, i rättsfall som rör brott mot livsmedelslagen samlade hos Livsm</w:t>
      </w:r>
      <w:r w:rsidRPr="00075492">
        <w:t>e</w:t>
      </w:r>
      <w:r w:rsidRPr="00075492">
        <w:t>delsverket. De fall som har prövats av domstol rör företrädesvis lokalgo</w:t>
      </w:r>
      <w:r w:rsidRPr="00075492">
        <w:t>d</w:t>
      </w:r>
      <w:r w:rsidRPr="00075492">
        <w:t>kännande, märkning, otillåten slakt och s.k. § – 16 tillstånd dvs. tillstånd för hanteringen av livsmedel på annat ställe än i livsmedelslokal, exempelvis marknader. Ett fåtal rätt</w:t>
      </w:r>
      <w:r w:rsidRPr="00075492">
        <w:t>s</w:t>
      </w:r>
      <w:r w:rsidRPr="00075492">
        <w:t>fall omfattar egenkontroll.</w:t>
      </w:r>
    </w:p>
    <w:p w:rsidR="00547E7E" w:rsidRPr="00075492" w:rsidRDefault="00547E7E">
      <w:pPr>
        <w:pStyle w:val="Normaltindrag"/>
      </w:pPr>
      <w:r w:rsidRPr="00075492">
        <w:t>Normalstraffet i avkunnade domar är relativt låga bötesbelopp. Under s</w:t>
      </w:r>
      <w:r w:rsidRPr="00075492">
        <w:t>e</w:t>
      </w:r>
      <w:r w:rsidRPr="00075492">
        <w:t>nare år har Livsmedelsverket noterat en ökning av antalet dagsböter. Fänge</w:t>
      </w:r>
      <w:r w:rsidRPr="00075492">
        <w:t>l</w:t>
      </w:r>
      <w:r w:rsidRPr="00075492">
        <w:t>sestraff är mycket sällsynt. Endast i tre mål utdömdes fängelse som påföljd för olaga slakt. Två av dessa mål omfattade även andra brott. Frikännande domar avkunnades i tolv mål. I tre mål ogillades åtalet bl.a. på grund av bristande dokument</w:t>
      </w:r>
      <w:r w:rsidRPr="00075492">
        <w:t>a</w:t>
      </w:r>
      <w:r w:rsidRPr="00075492">
        <w:t>tion.</w:t>
      </w:r>
    </w:p>
    <w:p w:rsidR="00547E7E" w:rsidRPr="00075492" w:rsidRDefault="00547E7E">
      <w:pPr>
        <w:pStyle w:val="Normaltindrag"/>
      </w:pPr>
      <w:r w:rsidRPr="00075492">
        <w:t>Livsmedelsverket har inte närmare analyserat domsluten.</w:t>
      </w:r>
    </w:p>
    <w:p w:rsidR="00547E7E" w:rsidRPr="00075492" w:rsidRDefault="00547E7E">
      <w:pPr>
        <w:pStyle w:val="Rubrik2"/>
      </w:pPr>
      <w:bookmarkStart w:id="735" w:name="_Toc532284570"/>
      <w:bookmarkStart w:id="736" w:name="_Toc532292137"/>
      <w:bookmarkStart w:id="737" w:name="_Toc84684"/>
      <w:bookmarkStart w:id="738" w:name="_Toc6634643"/>
      <w:bookmarkStart w:id="739" w:name="_Toc6637225"/>
      <w:r w:rsidRPr="00075492">
        <w:t>Erfarenheter av tillämpningen</w:t>
      </w:r>
      <w:bookmarkEnd w:id="735"/>
      <w:bookmarkEnd w:id="736"/>
      <w:bookmarkEnd w:id="737"/>
      <w:bookmarkEnd w:id="738"/>
      <w:bookmarkEnd w:id="739"/>
      <w:r w:rsidRPr="00075492">
        <w:t xml:space="preserve"> </w:t>
      </w:r>
    </w:p>
    <w:p w:rsidR="00547E7E" w:rsidRPr="00075492" w:rsidRDefault="00547E7E">
      <w:pPr>
        <w:pStyle w:val="Rubrik3"/>
      </w:pPr>
      <w:bookmarkStart w:id="740" w:name="_Toc532284571"/>
      <w:bookmarkStart w:id="741" w:name="_Toc532292138"/>
      <w:bookmarkStart w:id="742" w:name="_Toc84685"/>
      <w:bookmarkStart w:id="743" w:name="_Toc6634644"/>
      <w:bookmarkStart w:id="744" w:name="_Toc6637226"/>
      <w:r w:rsidRPr="00075492">
        <w:t>Revisorernas iakttagelser vid en tidigare granskning</w:t>
      </w:r>
      <w:bookmarkEnd w:id="740"/>
      <w:bookmarkEnd w:id="741"/>
      <w:bookmarkEnd w:id="742"/>
      <w:bookmarkEnd w:id="743"/>
      <w:bookmarkEnd w:id="744"/>
    </w:p>
    <w:p w:rsidR="00547E7E" w:rsidRPr="00075492" w:rsidRDefault="00547E7E">
      <w:r w:rsidRPr="00075492">
        <w:t>Vid revisorernas tidigare granskning av livsmedelstillsynen, som gjordes för omkring sju år sedan, framhölls att flertalet kommuner bör kunna stärka sin tillsynsverksamhet genom bättre kunskap om rättstillämpningen inom liv</w:t>
      </w:r>
      <w:r w:rsidRPr="00075492">
        <w:t>s</w:t>
      </w:r>
      <w:r w:rsidRPr="00075492">
        <w:t>medelslagstiftningen. Enligt revisorerna var det angeläget att Livsmedelsve</w:t>
      </w:r>
      <w:r w:rsidRPr="00075492">
        <w:t>r</w:t>
      </w:r>
      <w:r w:rsidRPr="00075492">
        <w:t>ket snarast, med egna kommentarer, sprider information om rättsfall till kommuner och länsstyrelser (1994/95:RR8).</w:t>
      </w:r>
    </w:p>
    <w:p w:rsidR="00547E7E" w:rsidRPr="00075492" w:rsidRDefault="00547E7E">
      <w:pPr>
        <w:pStyle w:val="Normaltindrag"/>
      </w:pPr>
      <w:r w:rsidRPr="00075492">
        <w:t>Livsmedelsverket redovisade i sitt remissvar med anledning av revisore</w:t>
      </w:r>
      <w:r w:rsidRPr="00075492">
        <w:t>r</w:t>
      </w:r>
      <w:r w:rsidRPr="00075492">
        <w:t>nas rapport att verket redan hade beslutat att införa en rutin som innebar att kommunerna fick del av rättsfall.</w:t>
      </w:r>
    </w:p>
    <w:p w:rsidR="00547E7E" w:rsidRPr="00075492" w:rsidRDefault="00547E7E">
      <w:pPr>
        <w:pStyle w:val="Rubrik3"/>
      </w:pPr>
      <w:bookmarkStart w:id="745" w:name="_Toc532284572"/>
      <w:bookmarkStart w:id="746" w:name="_Toc532292139"/>
      <w:bookmarkStart w:id="747" w:name="_Toc84686"/>
      <w:bookmarkStart w:id="748" w:name="_Toc6634645"/>
      <w:bookmarkStart w:id="749" w:name="_Toc6637227"/>
      <w:r w:rsidRPr="00075492">
        <w:t>Livsmedelsverket</w:t>
      </w:r>
      <w:bookmarkEnd w:id="745"/>
      <w:bookmarkEnd w:id="746"/>
      <w:bookmarkEnd w:id="747"/>
      <w:bookmarkEnd w:id="748"/>
      <w:bookmarkEnd w:id="749"/>
      <w:r w:rsidRPr="00075492">
        <w:t xml:space="preserve"> </w:t>
      </w:r>
    </w:p>
    <w:p w:rsidR="00547E7E" w:rsidRPr="00075492" w:rsidRDefault="00547E7E">
      <w:r w:rsidRPr="00075492">
        <w:t>Livsmedelsverket framhåller att bristerna i det nuvarande sanktionssystemet avser tillämpningen. De lokala tillsynsmyndigheternas tillämpning av de sanktioner som finns varierar mellan olika kommuner. Enligt Livsmedel</w:t>
      </w:r>
      <w:r w:rsidRPr="00075492">
        <w:t>s</w:t>
      </w:r>
      <w:r w:rsidRPr="00075492">
        <w:t>verket är skälet bristande juridisk kompetens i kommunerna. Många ko</w:t>
      </w:r>
      <w:r w:rsidRPr="00075492">
        <w:t>m</w:t>
      </w:r>
      <w:r w:rsidRPr="00075492">
        <w:t>muner har inte tillgång till en jurist. Få kommuner har en jurist med erfare</w:t>
      </w:r>
      <w:r w:rsidRPr="00075492">
        <w:t>n</w:t>
      </w:r>
      <w:r w:rsidRPr="00075492">
        <w:t>het av livsmedelslagstiftnin</w:t>
      </w:r>
      <w:r w:rsidRPr="00075492">
        <w:t>g</w:t>
      </w:r>
      <w:r w:rsidRPr="00075492">
        <w:t>en</w:t>
      </w:r>
      <w:r w:rsidRPr="00075492">
        <w:rPr>
          <w:rStyle w:val="Fotnotsreferens"/>
        </w:rPr>
        <w:footnoteReference w:id="77"/>
      </w:r>
      <w:r w:rsidRPr="00075492">
        <w:t xml:space="preserve">. </w:t>
      </w:r>
    </w:p>
    <w:p w:rsidR="00547E7E" w:rsidRPr="00075492" w:rsidRDefault="00547E7E">
      <w:pPr>
        <w:pStyle w:val="Normaltindrag"/>
      </w:pPr>
      <w:r w:rsidRPr="00075492">
        <w:t>Enligt Livsmedelsverket avskrivs många anmälningar av polis- och åkl</w:t>
      </w:r>
      <w:r w:rsidRPr="00075492">
        <w:t>a</w:t>
      </w:r>
      <w:r w:rsidRPr="00075492">
        <w:t>garmyndigheterna beroende på bristfälliga utredningar. Ofta är dokument</w:t>
      </w:r>
      <w:r w:rsidRPr="00075492">
        <w:t>a</w:t>
      </w:r>
      <w:r w:rsidRPr="00075492">
        <w:t>tionen om de påstådda regelbrotten otillräc</w:t>
      </w:r>
      <w:r w:rsidRPr="00075492">
        <w:t>k</w:t>
      </w:r>
      <w:r w:rsidRPr="00075492">
        <w:t>lig.</w:t>
      </w:r>
    </w:p>
    <w:p w:rsidR="00547E7E" w:rsidRPr="00075492" w:rsidRDefault="00547E7E">
      <w:pPr>
        <w:pStyle w:val="Normaltindrag"/>
      </w:pPr>
      <w:r w:rsidRPr="00075492">
        <w:t>Vidare framhåller verket att kommunernas användning av sanktioner p</w:t>
      </w:r>
      <w:r w:rsidRPr="00075492">
        <w:t>å</w:t>
      </w:r>
      <w:r w:rsidRPr="00075492">
        <w:t>verkas av inspektörernas och nämndens inställning till att nyttja sanktioner. Exempelvis kan omsorgen om arbetstillfällen göra att man avstår från att använda sanktionsinstrument. Dessutom kan de kommunala tjänstemännen eller nämnden uppleva att det är besvärande att tillämpa sanktioner i allmä</w:t>
      </w:r>
      <w:r w:rsidRPr="00075492">
        <w:t>n</w:t>
      </w:r>
      <w:r w:rsidRPr="00075492">
        <w:t>het och i synne</w:t>
      </w:r>
      <w:r w:rsidRPr="00075492">
        <w:t>r</w:t>
      </w:r>
      <w:r w:rsidRPr="00075492">
        <w:t xml:space="preserve">het på kommunala verksamheter. </w:t>
      </w:r>
    </w:p>
    <w:p w:rsidR="00547E7E" w:rsidRPr="00075492" w:rsidRDefault="00547E7E">
      <w:pPr>
        <w:pStyle w:val="Normaltindrag"/>
      </w:pPr>
      <w:r w:rsidRPr="00075492">
        <w:t xml:space="preserve">Livsmedelsverkets stöd till de lokala tillsynsmyndigheterna består främst av att förmedla information och utbildning. </w:t>
      </w:r>
    </w:p>
    <w:p w:rsidR="00547E7E" w:rsidRPr="00075492" w:rsidRDefault="00547E7E">
      <w:pPr>
        <w:pStyle w:val="Normaltindrag"/>
      </w:pPr>
      <w:r w:rsidRPr="00075492">
        <w:t>I webb-tidningen Livstecknet publiceras principiellt viktiga rättsfall. I d</w:t>
      </w:r>
      <w:r w:rsidRPr="00075492">
        <w:t>a</w:t>
      </w:r>
      <w:r w:rsidRPr="00075492">
        <w:t xml:space="preserve">tabasen finns rättsfall från år 1999. Livsmedelsverket har inte utarbetat några kommentarer till rättsfallen. </w:t>
      </w:r>
    </w:p>
    <w:p w:rsidR="00547E7E" w:rsidRPr="00075492" w:rsidRDefault="00547E7E">
      <w:pPr>
        <w:pStyle w:val="Normaltindrag"/>
      </w:pPr>
      <w:r w:rsidRPr="00075492">
        <w:t>Livsmedelsverket tillhandahåller utbildning i livsmedelsjuridik för i</w:t>
      </w:r>
      <w:r w:rsidRPr="00075492">
        <w:t>n</w:t>
      </w:r>
      <w:r w:rsidRPr="00075492">
        <w:t>spektörer. Enligt Livsmedelsverket finns problem med att tillgodose befin</w:t>
      </w:r>
      <w:r w:rsidRPr="00075492">
        <w:t>t</w:t>
      </w:r>
      <w:r w:rsidRPr="00075492">
        <w:t>ligt behov av utbildning. I kommunerna är det en stor omsättningen av liv</w:t>
      </w:r>
      <w:r w:rsidRPr="00075492">
        <w:t>s</w:t>
      </w:r>
      <w:r w:rsidRPr="00075492">
        <w:t>medelsinspekt</w:t>
      </w:r>
      <w:r w:rsidRPr="00075492">
        <w:t>ö</w:t>
      </w:r>
      <w:r w:rsidRPr="00075492">
        <w:t xml:space="preserve">rer. </w:t>
      </w:r>
    </w:p>
    <w:p w:rsidR="00547E7E" w:rsidRPr="00075492" w:rsidRDefault="00547E7E">
      <w:pPr>
        <w:pStyle w:val="Normaltindrag"/>
      </w:pPr>
      <w:r w:rsidRPr="00075492">
        <w:t>Efter förfrågan ger Livsmedelsverket råd till inspektörer om tillämpningen av sanktioner. Vid intervju med företrädare för Livsmedelsverket uppges att en ändring av skadeståndslagen har inneburit att verket har intagit en försi</w:t>
      </w:r>
      <w:r w:rsidRPr="00075492">
        <w:t>k</w:t>
      </w:r>
      <w:r w:rsidRPr="00075492">
        <w:t>tigare hållning till rådgivning. Skadeståndskrav kan nu uppstå vid felaktig rådgivning. Generellt framhålls behovet av dokumentation i samband med att sanktionsinstrumenten ska a</w:t>
      </w:r>
      <w:r w:rsidRPr="00075492">
        <w:t>n</w:t>
      </w:r>
      <w:r w:rsidRPr="00075492">
        <w:t xml:space="preserve">vändas. </w:t>
      </w:r>
    </w:p>
    <w:p w:rsidR="00547E7E" w:rsidRPr="00075492" w:rsidRDefault="00547E7E">
      <w:pPr>
        <w:pStyle w:val="Normaltindrag"/>
      </w:pPr>
      <w:r w:rsidRPr="00075492">
        <w:t xml:space="preserve">Det finns dock inga vägledningar till de lokala tillsynsmyndigheterna vad gäller tillämpning av olika sanktioner. </w:t>
      </w:r>
    </w:p>
    <w:p w:rsidR="00547E7E" w:rsidRPr="00075492" w:rsidRDefault="00547E7E">
      <w:pPr>
        <w:pStyle w:val="Rubrik3"/>
      </w:pPr>
      <w:bookmarkStart w:id="750" w:name="_Toc532284573"/>
      <w:bookmarkStart w:id="751" w:name="_Toc532292140"/>
      <w:bookmarkStart w:id="752" w:name="_Toc84687"/>
      <w:bookmarkStart w:id="753" w:name="_Toc6634646"/>
      <w:bookmarkStart w:id="754" w:name="_Toc6637228"/>
      <w:r w:rsidRPr="00075492">
        <w:t>Exempel från tre kommuner</w:t>
      </w:r>
      <w:bookmarkEnd w:id="750"/>
      <w:bookmarkEnd w:id="751"/>
      <w:bookmarkEnd w:id="752"/>
      <w:bookmarkEnd w:id="753"/>
      <w:bookmarkEnd w:id="754"/>
      <w:r w:rsidRPr="00075492">
        <w:t xml:space="preserve"> </w:t>
      </w:r>
    </w:p>
    <w:p w:rsidR="00547E7E" w:rsidRPr="00075492" w:rsidRDefault="00547E7E">
      <w:r w:rsidRPr="00075492">
        <w:t>Vid intervjuer med företrädare för tre kommuner redovisas olika erfarenheter av tillämpningen av sanktioner vid brott mot livsm</w:t>
      </w:r>
      <w:r w:rsidRPr="00075492">
        <w:t>e</w:t>
      </w:r>
      <w:r w:rsidRPr="00075492">
        <w:t>delslagen.</w:t>
      </w:r>
    </w:p>
    <w:p w:rsidR="00547E7E" w:rsidRPr="00075492" w:rsidRDefault="00547E7E">
      <w:pPr>
        <w:pStyle w:val="Normaltindrag"/>
      </w:pPr>
      <w:r w:rsidRPr="00075492">
        <w:t>Vad gäller åtalsanmälan redovisar Bodens kommun de mest positiva erf</w:t>
      </w:r>
      <w:r w:rsidRPr="00075492">
        <w:t>a</w:t>
      </w:r>
      <w:r w:rsidRPr="00075492">
        <w:t>renheterna. Brott mot livsmedelslagen har anmälts till åklagarmyndigheten vid fem tillfällen under 1990-talet. Fyra anmälningar rörde brott mot livsm</w:t>
      </w:r>
      <w:r w:rsidRPr="00075492">
        <w:t>e</w:t>
      </w:r>
      <w:r w:rsidRPr="00075492">
        <w:t>delslagen vad gäller underlåtenhet att följa fastställt egenkontrollprogram. Ett rättsfall rörde olaga slakt. Fällande domar avkunnades i samtliga fall. Påföl</w:t>
      </w:r>
      <w:r w:rsidRPr="00075492">
        <w:t>j</w:t>
      </w:r>
      <w:r w:rsidRPr="00075492">
        <w:t>den uppgick till 30 dagsböter vad gäller underlåtenhet att följa fastställt egenkontrollprogram. Redovisade domar fick också stor uppmärksamhet i loka</w:t>
      </w:r>
      <w:r w:rsidRPr="00075492">
        <w:t>l</w:t>
      </w:r>
      <w:r w:rsidRPr="00075492">
        <w:t xml:space="preserve">pressen. </w:t>
      </w:r>
    </w:p>
    <w:p w:rsidR="00547E7E" w:rsidRPr="00075492" w:rsidRDefault="00547E7E">
      <w:pPr>
        <w:pStyle w:val="Normaltindrag"/>
      </w:pPr>
      <w:r w:rsidRPr="00075492">
        <w:t>Enligt uppgift vid intervju med företräda</w:t>
      </w:r>
      <w:r w:rsidRPr="00075492">
        <w:t>re för Bodens kommun har rätt</w:t>
      </w:r>
      <w:r w:rsidRPr="00075492">
        <w:t>s</w:t>
      </w:r>
      <w:r w:rsidRPr="00075492">
        <w:t>fallen haft en god spridningseffekt, och straffets allmänprevention har blivit tydlig. Företagens intresse av att följa fastställda egenkontrollprogram har ökat avsevärt.</w:t>
      </w:r>
    </w:p>
    <w:p w:rsidR="00547E7E" w:rsidRPr="00075492" w:rsidRDefault="00547E7E">
      <w:pPr>
        <w:pStyle w:val="Normaltindrag"/>
      </w:pPr>
      <w:r w:rsidRPr="00075492">
        <w:t xml:space="preserve">I Göteborgs kommun har få brott mot livsmedelslagen anmälts till polis- eller åklagarmyndighet. Under 1990-talet har domar avkunnats i två mål enligt Livsmedelsverkets statistik.  </w:t>
      </w:r>
    </w:p>
    <w:p w:rsidR="00547E7E" w:rsidRPr="00075492" w:rsidRDefault="00547E7E">
      <w:pPr>
        <w:pStyle w:val="Normaltindrag"/>
      </w:pPr>
      <w:r w:rsidRPr="00075492">
        <w:t>Från år 1999 till september 2001 har dock åtta anmälningar gjorts till polis eller åklagare varav fyra har anmälts under år 2001. Enligt företrädare för kommunen har minskade resurser bidragit till att sanktionsinstrumentet a</w:t>
      </w:r>
      <w:r w:rsidRPr="00075492">
        <w:t>n</w:t>
      </w:r>
      <w:r w:rsidRPr="00075492">
        <w:t>vänts i ökad utsträckning. Tidigare gjordes fler uppföljningsbesök vid ko</w:t>
      </w:r>
      <w:r w:rsidRPr="00075492">
        <w:t>n</w:t>
      </w:r>
      <w:r w:rsidRPr="00075492">
        <w:t>staterade brister innan sanktioner tillgreps.</w:t>
      </w:r>
    </w:p>
    <w:p w:rsidR="00547E7E" w:rsidRPr="00075492" w:rsidRDefault="00547E7E">
      <w:pPr>
        <w:pStyle w:val="Normaltindrag"/>
      </w:pPr>
      <w:r w:rsidRPr="00075492">
        <w:t>Vid intervju med företrädare för Göteborgs kommun och Pajala kommun framhålls att det är svårt att vinna framgång hos polis- och åklagarmyndighet vad gäller brott mot livsmedelslagen. Det finns exempel på anmälda brott som har preskriberats. Det finns också exempel på beslut om att inte inleda förundersökningar eftersom utredning och lagföring inte förväntas ske innan brottet är preskr</w:t>
      </w:r>
      <w:r w:rsidRPr="00075492">
        <w:t>i</w:t>
      </w:r>
      <w:r w:rsidRPr="00075492">
        <w:t>berat.</w:t>
      </w:r>
    </w:p>
    <w:p w:rsidR="00547E7E" w:rsidRPr="00075492" w:rsidRDefault="00547E7E">
      <w:pPr>
        <w:pStyle w:val="Normaltindrag"/>
      </w:pPr>
      <w:r w:rsidRPr="00075492">
        <w:t>Från Pajala kommun redovisas att nämnden år 1998 gjorde en åtalsanm</w:t>
      </w:r>
      <w:r w:rsidRPr="00075492">
        <w:t>ä</w:t>
      </w:r>
      <w:r w:rsidRPr="00075492">
        <w:t>lan</w:t>
      </w:r>
      <w:r w:rsidRPr="00075492">
        <w:rPr>
          <w:rStyle w:val="Fotnotsreferens"/>
        </w:rPr>
        <w:footnoteReference w:id="78"/>
      </w:r>
      <w:r w:rsidRPr="00075492">
        <w:t xml:space="preserve"> avseende bl.a. brott mot livsmedelslagen vad gäller olaga slakt. Åkl</w:t>
      </w:r>
      <w:r w:rsidRPr="00075492">
        <w:t>a</w:t>
      </w:r>
      <w:r w:rsidRPr="00075492">
        <w:t>garmyndigheten beslutade</w:t>
      </w:r>
      <w:r w:rsidRPr="00075492">
        <w:rPr>
          <w:rStyle w:val="Fotnotsreferens"/>
        </w:rPr>
        <w:footnoteReference w:id="79"/>
      </w:r>
      <w:r w:rsidRPr="00075492">
        <w:t xml:space="preserve"> att inte inleda förundersökning eftersom det saknades anledning att tro att påstådd brottslighet skulle kunna styrkas på ett sådant sätt att lagföring skulle kunna komma till stånd. I beslutet fanns fo</w:t>
      </w:r>
      <w:r w:rsidRPr="00075492">
        <w:t>r</w:t>
      </w:r>
      <w:r w:rsidRPr="00075492">
        <w:t>muleringen ”Ej brott”. Nämnden begärde ett förtydligande av åklagarbeslutet om vad ej brott innebar. Åklagarmyndigheten beklagade i ett yttrande</w:t>
      </w:r>
      <w:r w:rsidRPr="00075492">
        <w:rPr>
          <w:rStyle w:val="Fotnotsreferens"/>
        </w:rPr>
        <w:footnoteReference w:id="80"/>
      </w:r>
      <w:r w:rsidRPr="00075492">
        <w:t xml:space="preserve"> u</w:t>
      </w:r>
      <w:r w:rsidRPr="00075492">
        <w:t>t</w:t>
      </w:r>
      <w:r w:rsidRPr="00075492">
        <w:t>tryckssättet. Samtidigt lämnades upplysningar om hur en anmälan borde styrkas med bevisning, redovisning av tillämplig lagtext samt rättsfall eller kommentarer till lagstif</w:t>
      </w:r>
      <w:r w:rsidRPr="00075492">
        <w:t>t</w:t>
      </w:r>
      <w:r w:rsidRPr="00075492">
        <w:t xml:space="preserve">ningen. </w:t>
      </w:r>
    </w:p>
    <w:p w:rsidR="00547E7E" w:rsidRPr="00075492" w:rsidRDefault="00547E7E">
      <w:pPr>
        <w:pStyle w:val="Normaltindrag"/>
      </w:pPr>
      <w:r w:rsidRPr="00075492">
        <w:t>Enligt företrädare för kommuner blir effekter av sådana beslut att felaktiga signaler sänds till verksamhetsutövare och samhället i övrigt. Om en anmälan behandlas och en fällande dom avkunnas är påföljden vanligtvis låga böter, vilket också minskar den pr</w:t>
      </w:r>
      <w:r w:rsidRPr="00075492">
        <w:t>e</w:t>
      </w:r>
      <w:r w:rsidRPr="00075492">
        <w:t xml:space="preserve">ventiva effekten av en rättslig prövning. </w:t>
      </w:r>
    </w:p>
    <w:p w:rsidR="00547E7E" w:rsidRPr="00075492" w:rsidRDefault="00547E7E">
      <w:pPr>
        <w:pStyle w:val="Normaltindrag"/>
      </w:pPr>
      <w:r w:rsidRPr="00075492">
        <w:t>I Pajala kommun är det relativt ovanligt att sanktionsinstrumenten tillä</w:t>
      </w:r>
      <w:r w:rsidRPr="00075492">
        <w:t>m</w:t>
      </w:r>
      <w:r w:rsidRPr="00075492">
        <w:t>pas över huvud taget. I förekommande fall används f</w:t>
      </w:r>
      <w:r w:rsidRPr="00075492">
        <w:t>ö</w:t>
      </w:r>
      <w:r w:rsidRPr="00075492">
        <w:t>reläggande med vite.</w:t>
      </w:r>
    </w:p>
    <w:p w:rsidR="00547E7E" w:rsidRPr="00075492" w:rsidRDefault="00547E7E">
      <w:pPr>
        <w:pStyle w:val="Normaltindrag"/>
      </w:pPr>
      <w:r w:rsidRPr="00075492">
        <w:t>I Bodens kommun används främst föreläggande med vite om verksa</w:t>
      </w:r>
      <w:r w:rsidRPr="00075492">
        <w:t>m</w:t>
      </w:r>
      <w:r w:rsidRPr="00075492">
        <w:t>hetsutövaren efter påpekanden inte åtgärdar påtalade brister. Vid en intervju framhålls att nämnden inte har gjort någon skillnad på om verksamheten bedrivs i kommunal eller privat regi. För ett par år sedan utfärdades ett för</w:t>
      </w:r>
      <w:r w:rsidRPr="00075492">
        <w:t>e</w:t>
      </w:r>
      <w:r w:rsidRPr="00075492">
        <w:t>läggande med löpande vite till ett kommunalt äldreboende där man inte klarade av att hålla fastställd temperatur i samband med varmhållning av mat. Med löpande vite avses att vite påförs till dess att bristerna har åtgä</w:t>
      </w:r>
      <w:r w:rsidRPr="00075492">
        <w:t>r</w:t>
      </w:r>
      <w:r w:rsidRPr="00075492">
        <w:t>dats. Löpande vite kan påföras t.ex. varje vecka eller varje mån</w:t>
      </w:r>
      <w:r w:rsidRPr="00075492">
        <w:t>ad.</w:t>
      </w:r>
    </w:p>
    <w:p w:rsidR="00547E7E" w:rsidRPr="00075492" w:rsidRDefault="00547E7E">
      <w:pPr>
        <w:pStyle w:val="Normaltindrag"/>
      </w:pPr>
      <w:r w:rsidRPr="00075492">
        <w:t xml:space="preserve">Även i Göteborg tillämpas främst förläggande med vite. Användningen av vitesföreläggande har ökat under senare år. Möjligheten att använda löpande vite anses vara särskilt betydelsefullt. </w:t>
      </w:r>
    </w:p>
    <w:p w:rsidR="00547E7E" w:rsidRPr="00075492" w:rsidRDefault="00547E7E">
      <w:pPr>
        <w:pStyle w:val="Normaltindrag"/>
      </w:pPr>
      <w:r w:rsidRPr="00075492">
        <w:t>Föreläggande med vite har även används för att säkerställa att personal vid ett företag fick utbildning i livsmedelshygien och livsmedelshantering. Detta var dock en mycket ovanlig åtgärd för att komma till rätta med sådana bri</w:t>
      </w:r>
      <w:r w:rsidRPr="00075492">
        <w:t>s</w:t>
      </w:r>
      <w:r w:rsidRPr="00075492">
        <w:t>ter.</w:t>
      </w:r>
    </w:p>
    <w:p w:rsidR="00547E7E" w:rsidRPr="00075492" w:rsidRDefault="00547E7E">
      <w:pPr>
        <w:pStyle w:val="Normaltindrag"/>
      </w:pPr>
      <w:r w:rsidRPr="00075492">
        <w:t>I september år 2001 beslutade nämnden om att förelägga ett företag med vite på 30 000 kronor för uteblivet egenkontrollprogram, 25 000 kronor för varje gång företaget handlades med livsmedel där den märkning som krävdes inte finns på varorna samt 10 000 kronor för varje månad som gått utan att en godtagbar sopförvaring ordnats. Företaget hade fått upprepade anmärkningar. Beslutet uppmärksammades i massmedier</w:t>
      </w:r>
      <w:r w:rsidRPr="00075492">
        <w:rPr>
          <w:rStyle w:val="Fotnotsreferens"/>
        </w:rPr>
        <w:footnoteReference w:id="81"/>
      </w:r>
      <w:r w:rsidRPr="00075492">
        <w:t>.</w:t>
      </w:r>
    </w:p>
    <w:p w:rsidR="00547E7E" w:rsidRPr="00075492" w:rsidRDefault="00547E7E">
      <w:pPr>
        <w:pStyle w:val="Normaltindrag"/>
      </w:pPr>
      <w:r w:rsidRPr="00075492">
        <w:t>De intervjuade kommunföreträdarna ansåg att föreläggande med vite är det mest verksamma medlet för att komma till rätta med olika typer av brister. Företrädare för Bodens kommun anser att tillämpningen av sanktionssyst</w:t>
      </w:r>
      <w:r w:rsidRPr="00075492">
        <w:t>e</w:t>
      </w:r>
      <w:r w:rsidRPr="00075492">
        <w:t xml:space="preserve">met har lett till en ökad förståelse för att livsmedelsverksamhet ska bedrivas med ansvar. I stället för upprepade anmärkningar används sanktioner som ett verktyg för att säkerställa efterlevnaden av livsmedelslagen. </w:t>
      </w:r>
    </w:p>
    <w:p w:rsidR="00547E7E" w:rsidRPr="00075492" w:rsidRDefault="00547E7E">
      <w:pPr>
        <w:pStyle w:val="Rubrik2"/>
      </w:pPr>
      <w:bookmarkStart w:id="755" w:name="_Toc532284574"/>
      <w:bookmarkStart w:id="756" w:name="_Toc532292141"/>
      <w:bookmarkStart w:id="757" w:name="_Toc84688"/>
      <w:bookmarkStart w:id="758" w:name="_Toc6634647"/>
      <w:bookmarkStart w:id="759" w:name="_Toc6637229"/>
      <w:r w:rsidRPr="00075492">
        <w:t>Andra åtgärder</w:t>
      </w:r>
      <w:bookmarkEnd w:id="755"/>
      <w:bookmarkEnd w:id="756"/>
      <w:bookmarkEnd w:id="757"/>
      <w:bookmarkEnd w:id="758"/>
      <w:bookmarkEnd w:id="759"/>
    </w:p>
    <w:p w:rsidR="00547E7E" w:rsidRPr="00075492" w:rsidRDefault="00547E7E">
      <w:r w:rsidRPr="00075492">
        <w:t xml:space="preserve">Enligt Livsmedelsverket finns vid sidan om rättstillämpning andra metoder för att få brister åtgärdade. Att offentliggöra brister kan vara ett mycket verksamt medel för att åstadkomma rättelse. Livsmedelsverket publicerar resultat av undersökningar på webben, vilket ofta får en stor genomslagskraft i massmedier. </w:t>
      </w:r>
    </w:p>
    <w:p w:rsidR="00547E7E" w:rsidRPr="00075492" w:rsidRDefault="00547E7E">
      <w:pPr>
        <w:pStyle w:val="Normaltindrag"/>
      </w:pPr>
      <w:r w:rsidRPr="00075492">
        <w:t>Myndigheterna har nu större möjligheter än tidigare att ge offentlighet åt resultat från tillsynen. Tidigare fick inte uppgifter från tillsynen som rörde enskildas affärsförhållande lämnas ut, om det kunde antas att detta skulle medföra skada för näringsidkaren. Numera görs en avvägning mot allmä</w:t>
      </w:r>
      <w:r w:rsidRPr="00075492">
        <w:t>n</w:t>
      </w:r>
      <w:r w:rsidRPr="00075492">
        <w:t>hetens intresse att få del av uppgifterna. En vanlig situation där allmänhetens intresse ska väga tyngre än ett företags intresse är då brister i hygien eller redlighet har konstaterats vid inspektion. Genom att resultaten kan ges o</w:t>
      </w:r>
      <w:r w:rsidRPr="00075492">
        <w:t>f</w:t>
      </w:r>
      <w:r w:rsidRPr="00075492">
        <w:t>fentlighet ökar företagens intresse av en hantering som fyller de krav som ställs i lagstiftningen. Detta har lett till att vissa tillsynsmyndigheter rege</w:t>
      </w:r>
      <w:r w:rsidRPr="00075492">
        <w:t>l</w:t>
      </w:r>
      <w:r w:rsidRPr="00075492">
        <w:t>bundet lämnar ut listor över resultaten från inspektionerna bl.a. av resta</w:t>
      </w:r>
      <w:r w:rsidRPr="00075492">
        <w:t>u</w:t>
      </w:r>
      <w:r w:rsidRPr="00075492">
        <w:t>ranger och i detaljhandel</w:t>
      </w:r>
      <w:r w:rsidRPr="00075492">
        <w:rPr>
          <w:rStyle w:val="Fotnotsreferens"/>
        </w:rPr>
        <w:footnoteReference w:id="82"/>
      </w:r>
      <w:r w:rsidRPr="00075492">
        <w:t>.</w:t>
      </w:r>
    </w:p>
    <w:p w:rsidR="00547E7E" w:rsidRPr="00075492" w:rsidRDefault="00547E7E">
      <w:pPr>
        <w:pStyle w:val="Normaltindrag"/>
      </w:pPr>
      <w:r w:rsidRPr="00075492">
        <w:t>Företrädare för Göteborgs kommun framhåller vid en intervju att det finns vissa problem med att publicera resultat. Publicerade resultat förutsätter att uppgifterna är aktuella. Restauranger och butiker byter ofta ägare. En ny seriös ägare till en verksamhet som tidigare misskötts skulle oförskyllt kunna drabbas av ett dåligt rykte på grund av ett offentli</w:t>
      </w:r>
      <w:r w:rsidRPr="00075492">
        <w:t>g</w:t>
      </w:r>
      <w:r w:rsidRPr="00075492">
        <w:t xml:space="preserve">görande av brister. </w:t>
      </w:r>
    </w:p>
    <w:p w:rsidR="00547E7E" w:rsidRPr="00075492" w:rsidRDefault="00547E7E">
      <w:pPr>
        <w:pStyle w:val="Rubrik2"/>
      </w:pPr>
      <w:bookmarkStart w:id="760" w:name="_Toc532284575"/>
      <w:bookmarkStart w:id="761" w:name="_Toc532292142"/>
      <w:bookmarkStart w:id="762" w:name="_Toc84689"/>
      <w:bookmarkStart w:id="763" w:name="_Toc6634648"/>
      <w:bookmarkStart w:id="764" w:name="_Toc6637230"/>
      <w:r w:rsidRPr="00075492">
        <w:t>Aktuella förslag</w:t>
      </w:r>
      <w:bookmarkEnd w:id="760"/>
      <w:bookmarkEnd w:id="761"/>
      <w:bookmarkEnd w:id="762"/>
      <w:bookmarkEnd w:id="763"/>
      <w:bookmarkEnd w:id="764"/>
      <w:r w:rsidRPr="00075492">
        <w:t xml:space="preserve"> </w:t>
      </w:r>
    </w:p>
    <w:p w:rsidR="00547E7E" w:rsidRPr="00075492" w:rsidRDefault="00547E7E">
      <w:r w:rsidRPr="00075492">
        <w:t>Livsmedelsverket har föreslagit att en sanktionsavgift bör införas för vissa uppenbara brott mot livsmedelslagen, t.ex. verksamhet som bedrivs utan tillstånd eller godkännande</w:t>
      </w:r>
      <w:r w:rsidRPr="00075492">
        <w:rPr>
          <w:rStyle w:val="Fotnotsreferens"/>
        </w:rPr>
        <w:footnoteReference w:id="83"/>
      </w:r>
      <w:r w:rsidRPr="00075492">
        <w:t>. Förslaget innebär att den enskilde påförs avgift av tillsynsmyndigheten. Beslutet ska kunna överklagas. Avgiften ska endast tillämpas då det i princip är uppenbart att en straffbelagd handling har b</w:t>
      </w:r>
      <w:r w:rsidRPr="00075492">
        <w:t>e</w:t>
      </w:r>
      <w:r w:rsidRPr="00075492">
        <w:t>gåtts och den enskildes möjlighet att få rätt vid ett överklagande framstår som begrä</w:t>
      </w:r>
      <w:r w:rsidRPr="00075492">
        <w:t>n</w:t>
      </w:r>
      <w:r w:rsidRPr="00075492">
        <w:t xml:space="preserve">sad. </w:t>
      </w:r>
    </w:p>
    <w:p w:rsidR="00547E7E" w:rsidRPr="00075492" w:rsidRDefault="00547E7E">
      <w:pPr>
        <w:pStyle w:val="Normaltindrag"/>
      </w:pPr>
      <w:r w:rsidRPr="00075492">
        <w:t xml:space="preserve">Skillnaden mellan att använda vitesföreläggande och sanktionsavgifter är att vid vitesföreläggande måste tillsynsmyndigheten gå via domstol för att få vitesbeloppet fastställt och utdömt. </w:t>
      </w:r>
    </w:p>
    <w:p w:rsidR="00547E7E" w:rsidRPr="00075492" w:rsidRDefault="00547E7E">
      <w:pPr>
        <w:pStyle w:val="Normaltindrag"/>
      </w:pPr>
      <w:r w:rsidRPr="00075492">
        <w:t>Enligt Livsmedelsverket skulle lagföringen vid brott mot livsmedelslagen effektiviseras genom sanktionsavgifter.</w:t>
      </w:r>
    </w:p>
    <w:p w:rsidR="00547E7E" w:rsidRPr="00075492" w:rsidRDefault="00547E7E">
      <w:pPr>
        <w:pStyle w:val="Normaltindrag"/>
      </w:pPr>
      <w:r w:rsidRPr="00075492">
        <w:t>Ett flertal kommuner anser att sanktionsavgifter skulle underlätta myndi</w:t>
      </w:r>
      <w:r w:rsidRPr="00075492">
        <w:t>g</w:t>
      </w:r>
      <w:r w:rsidRPr="00075492">
        <w:t>hetsutövningen, vilket bl.a. framgår av remissvar på ve</w:t>
      </w:r>
      <w:r w:rsidRPr="00075492">
        <w:t>r</w:t>
      </w:r>
      <w:r w:rsidRPr="00075492">
        <w:t xml:space="preserve">kets rapport. </w:t>
      </w:r>
    </w:p>
    <w:p w:rsidR="00547E7E" w:rsidRPr="00075492" w:rsidRDefault="00547E7E">
      <w:pPr>
        <w:pStyle w:val="Rubrik2"/>
      </w:pPr>
      <w:bookmarkStart w:id="765" w:name="_Toc532284576"/>
      <w:bookmarkStart w:id="766" w:name="_Toc532292143"/>
      <w:bookmarkStart w:id="767" w:name="_Toc84690"/>
      <w:bookmarkStart w:id="768" w:name="_Toc6634649"/>
      <w:bookmarkStart w:id="769" w:name="_Toc6637231"/>
      <w:r w:rsidRPr="00075492">
        <w:t>Sammanfattning</w:t>
      </w:r>
      <w:bookmarkEnd w:id="765"/>
      <w:bookmarkEnd w:id="766"/>
      <w:bookmarkEnd w:id="767"/>
      <w:bookmarkEnd w:id="768"/>
      <w:bookmarkEnd w:id="769"/>
    </w:p>
    <w:p w:rsidR="00547E7E" w:rsidRPr="00075492" w:rsidRDefault="00547E7E">
      <w:pPr>
        <w:numPr>
          <w:ilvl w:val="0"/>
          <w:numId w:val="207"/>
        </w:numPr>
      </w:pPr>
      <w:r w:rsidRPr="00075492">
        <w:t>Sanktioner och deras användning</w:t>
      </w:r>
    </w:p>
    <w:p w:rsidR="00547E7E" w:rsidRPr="00075492" w:rsidRDefault="00547E7E">
      <w:r w:rsidRPr="00075492">
        <w:t>Ansvarsbestämmelserna i livsmedelslagen ändrades år 1989. Tillsynsmy</w:t>
      </w:r>
      <w:r w:rsidRPr="00075492">
        <w:t>n</w:t>
      </w:r>
      <w:r w:rsidRPr="00075492">
        <w:t>digheterna fick bl.a. en allmän skyldighet att verka för att överträdelser bei</w:t>
      </w:r>
      <w:r w:rsidRPr="00075492">
        <w:t>v</w:t>
      </w:r>
      <w:r w:rsidRPr="00075492">
        <w:t>ras. Straffsatsen för brott mot livsmedelslagen höjdes till två år i grova fall. Syftet med dessa regeländringar var att öka respekten för livsmedelsl</w:t>
      </w:r>
      <w:r w:rsidRPr="00075492">
        <w:t>a</w:t>
      </w:r>
      <w:r w:rsidRPr="00075492">
        <w:t xml:space="preserve">gen. </w:t>
      </w:r>
    </w:p>
    <w:p w:rsidR="00547E7E" w:rsidRPr="00075492" w:rsidRDefault="00547E7E">
      <w:pPr>
        <w:pStyle w:val="Normaltindrag"/>
      </w:pPr>
      <w:r w:rsidRPr="00075492">
        <w:t>Befintlig statistik visar att användningen av sanktioner sannolikt inte har fått den omfattning som avsågs i samband med 1989 års riksdagsbeslut. Åtalsanmälan är mycket sällsynt. Det är svårt för tillsynsmyndigheterna att få gehör hos polis- och åklagarmyndigheter vid anmäln</w:t>
      </w:r>
      <w:r w:rsidRPr="00075492">
        <w:t xml:space="preserve">ingar om brott mot livsmedelslagstiftningen. Vid en rättsbehandling som resulterar i en fällande dom är påföljden vanligtvis låga bötesbelopp. Vitesföreläggande anses vara en mer användbar sanktion för att komma till rätta med konstaterade brister. </w:t>
      </w:r>
    </w:p>
    <w:p w:rsidR="00547E7E" w:rsidRPr="00075492" w:rsidRDefault="00547E7E">
      <w:pPr>
        <w:pStyle w:val="Normaltindrag"/>
      </w:pPr>
      <w:r w:rsidRPr="00075492">
        <w:t xml:space="preserve">Enligt Livsmedelsverket varierar tillämpningen av sanktionssystemet mellan olika kommuner. Som orsak till detta framförs bristande juridisk kompetens i kommunerna. </w:t>
      </w:r>
    </w:p>
    <w:p w:rsidR="00547E7E" w:rsidRPr="00075492" w:rsidRDefault="00547E7E">
      <w:pPr>
        <w:pStyle w:val="Normaltindrag"/>
      </w:pPr>
      <w:r w:rsidRPr="00075492">
        <w:t>Livsmedelsverket har dock inte utarbetat någon vägledning för tillämpning av sanktionsinstrumenten.</w:t>
      </w:r>
    </w:p>
    <w:p w:rsidR="00547E7E" w:rsidRPr="00075492" w:rsidRDefault="00547E7E">
      <w:pPr>
        <w:numPr>
          <w:ilvl w:val="0"/>
          <w:numId w:val="208"/>
        </w:numPr>
      </w:pPr>
      <w:r w:rsidRPr="00075492">
        <w:t>Andra åtgärder</w:t>
      </w:r>
    </w:p>
    <w:p w:rsidR="00547E7E" w:rsidRPr="00075492" w:rsidRDefault="00547E7E">
      <w:r w:rsidRPr="00075492">
        <w:t>Myndigheterna har nu större möjligheter än tidigare att ge offentlighet åt resultat från tillsynen. Att offentliggöra brister kan vara ett mycket verksamt medel för att åstadkomma rättelse. Livsmedelsverket och vissa lokala til</w:t>
      </w:r>
      <w:r w:rsidRPr="00075492">
        <w:t>l</w:t>
      </w:r>
      <w:r w:rsidRPr="00075492">
        <w:t>synsmyndigheter offentliggör r</w:t>
      </w:r>
      <w:r w:rsidRPr="00075492">
        <w:t>e</w:t>
      </w:r>
      <w:r w:rsidRPr="00075492">
        <w:t xml:space="preserve">sultat av undersökningar och inspektioner. </w:t>
      </w:r>
    </w:p>
    <w:p w:rsidR="00547E7E" w:rsidRPr="00075492" w:rsidRDefault="00547E7E">
      <w:pPr>
        <w:pStyle w:val="Normaltindrag"/>
      </w:pPr>
    </w:p>
    <w:p w:rsidR="00547E7E" w:rsidRPr="00075492" w:rsidRDefault="00547E7E">
      <w:pPr>
        <w:pStyle w:val="Normaltindrag"/>
      </w:pPr>
    </w:p>
    <w:p w:rsidR="00547E7E" w:rsidRPr="00075492" w:rsidRDefault="00547E7E">
      <w:pPr>
        <w:pStyle w:val="Rubrik1"/>
      </w:pPr>
      <w:r w:rsidRPr="00075492">
        <w:br w:type="page"/>
      </w:r>
      <w:bookmarkStart w:id="770" w:name="_Toc532284577"/>
      <w:bookmarkStart w:id="771" w:name="_Toc532292144"/>
      <w:bookmarkStart w:id="772" w:name="_Toc84691"/>
      <w:bookmarkStart w:id="773" w:name="_Toc6634650"/>
      <w:bookmarkStart w:id="774" w:name="_Toc6637232"/>
      <w:r w:rsidRPr="00075492">
        <w:t>Revisorernas överväganden och förslag</w:t>
      </w:r>
      <w:bookmarkEnd w:id="770"/>
      <w:bookmarkEnd w:id="771"/>
      <w:bookmarkEnd w:id="772"/>
      <w:bookmarkEnd w:id="773"/>
      <w:bookmarkEnd w:id="774"/>
    </w:p>
    <w:p w:rsidR="00547E7E" w:rsidRPr="00075492" w:rsidRDefault="00547E7E">
      <w:pPr>
        <w:ind w:right="84"/>
      </w:pPr>
      <w:r w:rsidRPr="00075492">
        <w:t xml:space="preserve">I livsmedelslagstiftningen är </w:t>
      </w:r>
      <w:r w:rsidRPr="00075492">
        <w:rPr>
          <w:i/>
        </w:rPr>
        <w:t>företagens ansvar</w:t>
      </w:r>
      <w:r w:rsidRPr="00075492">
        <w:t xml:space="preserve"> mycket tydligt. Företagen ansvarar för att de produkter som tillverkas och saluhålls uppfyller angivna krav så att människor inte blir sjuka av den mat de konsumerar. Att bryta mot livsmedelslagstiftningen är straffbart. </w:t>
      </w:r>
    </w:p>
    <w:p w:rsidR="00547E7E" w:rsidRPr="00075492" w:rsidRDefault="00547E7E">
      <w:pPr>
        <w:pStyle w:val="Normaltindrag"/>
        <w:ind w:right="84"/>
      </w:pPr>
      <w:r w:rsidRPr="00075492">
        <w:t>Offentlig tillsyn är väsentlig för att se till att företagen följer livsm</w:t>
      </w:r>
      <w:r w:rsidRPr="00075492">
        <w:t>e</w:t>
      </w:r>
      <w:r w:rsidRPr="00075492">
        <w:t>delslagstiftningens regler. Tillsynsmyndigheternas uppgift är därför att i konsumenternas intresse verka för att företagen tillhandahåller säkra liv</w:t>
      </w:r>
      <w:r w:rsidRPr="00075492">
        <w:t>s</w:t>
      </w:r>
      <w:r w:rsidRPr="00075492">
        <w:t>medel av god kvalitet och för att konsumenterna får korrekt information om de livsmedel som finns på marknaden.</w:t>
      </w:r>
    </w:p>
    <w:p w:rsidR="00547E7E" w:rsidRPr="00075492" w:rsidRDefault="00547E7E">
      <w:pPr>
        <w:pStyle w:val="Normaltindrag"/>
        <w:ind w:right="84"/>
      </w:pPr>
      <w:r w:rsidRPr="00075492">
        <w:t>Ansvaret för den offentliga livsmedelstillsynen i Sverige är i dag delat mellan Livsmedelsverket, länsstyrelserna och komm</w:t>
      </w:r>
      <w:r w:rsidRPr="00075492">
        <w:t>u</w:t>
      </w:r>
      <w:r w:rsidRPr="00075492">
        <w:t xml:space="preserve">nerna. </w:t>
      </w:r>
    </w:p>
    <w:p w:rsidR="00547E7E" w:rsidRPr="00075492" w:rsidRDefault="00547E7E">
      <w:pPr>
        <w:pStyle w:val="Normaltindrag"/>
      </w:pPr>
      <w:r w:rsidRPr="00075492">
        <w:t>Livsmedelstillsynen i Sverige har varit föremål för ett omfattande utre</w:t>
      </w:r>
      <w:r w:rsidRPr="00075492">
        <w:t>d</w:t>
      </w:r>
      <w:r w:rsidRPr="00075492">
        <w:t>ningsarbete under de senaste åren. Ett antal problem har uppmärksammats, men hur dessa brister ska åtgärdas har inte diskuterats i samma omfattning som vem som ska svara för livsmedelstillsynen. Aktuella förslag finns både om att nuvarande ansvarsfördelning i huvudsak ska bestå respektive att all tillsynsverksamhet ska förstatligas. Frågan om hur tillsynen ska finansieras utgör en väsentlig del av problemen inom området. Olika förslag har lä</w:t>
      </w:r>
      <w:r w:rsidRPr="00075492">
        <w:t>m</w:t>
      </w:r>
      <w:r w:rsidRPr="00075492">
        <w:t>nats. I utredningen om livsmedelstillsynen i Sverige föreslogs en</w:t>
      </w:r>
      <w:r w:rsidRPr="00075492">
        <w:t xml:space="preserve"> huvudsa</w:t>
      </w:r>
      <w:r w:rsidRPr="00075492">
        <w:t>k</w:t>
      </w:r>
      <w:r w:rsidRPr="00075492">
        <w:t>lig avgiftsfinansiering. Förslaget grundades på en principiell genomgång om vilka uppgifter som skulle finans</w:t>
      </w:r>
      <w:r w:rsidRPr="00075492">
        <w:t>i</w:t>
      </w:r>
      <w:r w:rsidRPr="00075492">
        <w:t>eras via skatt och via avgifter.</w:t>
      </w:r>
    </w:p>
    <w:p w:rsidR="00547E7E" w:rsidRPr="00075492" w:rsidRDefault="00547E7E">
      <w:pPr>
        <w:pStyle w:val="Normaltindrag"/>
      </w:pPr>
      <w:r w:rsidRPr="00075492">
        <w:t xml:space="preserve">Livsmedelsverket har lämnat förslag om en i huvudsak anslagsfinansierad tillsyn. </w:t>
      </w:r>
    </w:p>
    <w:p w:rsidR="00547E7E" w:rsidRPr="00075492" w:rsidRDefault="00547E7E">
      <w:pPr>
        <w:pStyle w:val="Normaltindrag"/>
        <w:ind w:right="84"/>
      </w:pPr>
      <w:r w:rsidRPr="00075492">
        <w:t>I denna granskning belyses vilka möjligheter staten har att vidta åtgärder med anledning av rapporterade brister inom livsmedelstillsynen. Grans</w:t>
      </w:r>
      <w:r w:rsidRPr="00075492">
        <w:t>k</w:t>
      </w:r>
      <w:r w:rsidRPr="00075492">
        <w:t>ningen är samtidigt en uppföljning av revisorernas tidigare rapport och fö</w:t>
      </w:r>
      <w:r w:rsidRPr="00075492">
        <w:t>r</w:t>
      </w:r>
      <w:r w:rsidRPr="00075492">
        <w:t>slag till riksdagen om livsmedelstillsynen (1994/95:RR8). Revisorernas förslag till riksdagen föra</w:t>
      </w:r>
      <w:r w:rsidRPr="00075492">
        <w:t>n</w:t>
      </w:r>
      <w:r w:rsidRPr="00075492">
        <w:t>ledde tillkännagivanden av riksdagen.</w:t>
      </w:r>
    </w:p>
    <w:p w:rsidR="00547E7E" w:rsidRPr="00075492" w:rsidRDefault="00547E7E">
      <w:pPr>
        <w:pStyle w:val="Normaltindrag"/>
        <w:ind w:right="84"/>
      </w:pPr>
      <w:r w:rsidRPr="00075492">
        <w:t>Utmärkande för livsmedelstillsynen är dels det omfattande regelverket, dels det komplicerade finansierings- och avgiftssystemet. Regelsystemet påverkas dock i hög grad av EU:s livsm</w:t>
      </w:r>
      <w:r w:rsidRPr="00075492">
        <w:t>e</w:t>
      </w:r>
      <w:r w:rsidRPr="00075492">
        <w:t xml:space="preserve">delslagstiftning. </w:t>
      </w:r>
    </w:p>
    <w:p w:rsidR="00547E7E" w:rsidRPr="00075492" w:rsidRDefault="00547E7E">
      <w:pPr>
        <w:pStyle w:val="Rubrik2-Utannumrering"/>
      </w:pPr>
      <w:bookmarkStart w:id="775" w:name="_Toc532284578"/>
      <w:bookmarkStart w:id="776" w:name="_Toc532292145"/>
      <w:bookmarkStart w:id="777" w:name="_Toc84692"/>
      <w:bookmarkStart w:id="778" w:name="_Toc6634651"/>
      <w:bookmarkStart w:id="779" w:name="_Toc6637233"/>
      <w:r w:rsidRPr="00075492">
        <w:t>Information om regelsystemet</w:t>
      </w:r>
      <w:bookmarkEnd w:id="775"/>
      <w:bookmarkEnd w:id="776"/>
      <w:bookmarkEnd w:id="777"/>
      <w:bookmarkEnd w:id="778"/>
      <w:bookmarkEnd w:id="779"/>
    </w:p>
    <w:p w:rsidR="00547E7E" w:rsidRPr="00075492" w:rsidRDefault="00547E7E">
      <w:r w:rsidRPr="00075492">
        <w:t>Den svenska lagstiftningen inom livsmedelsområdet är i mycket hög grad harmoniserad med EU:s regelverk. EU:s lagstiftning inom livsmedelsomr</w:t>
      </w:r>
      <w:r w:rsidRPr="00075492">
        <w:t>å</w:t>
      </w:r>
      <w:r w:rsidRPr="00075492">
        <w:t>det fastställer hur kontroller bör gå till och vad som ska kontrolleras. Dä</w:t>
      </w:r>
      <w:r w:rsidRPr="00075492">
        <w:t>r</w:t>
      </w:r>
      <w:r w:rsidRPr="00075492">
        <w:t xml:space="preserve">emot råder betydande frihet vad gäller organisation och finansiering på den nationella nivån. </w:t>
      </w:r>
    </w:p>
    <w:p w:rsidR="00547E7E" w:rsidRPr="00075492" w:rsidRDefault="00547E7E">
      <w:pPr>
        <w:pStyle w:val="Normaltindrag"/>
      </w:pPr>
      <w:r w:rsidRPr="00075492">
        <w:t>EU:s lagstiftning om livsmedelstillsynen är omfattande och komplicerad. Det saknas i stor utsträckning en överblick över lagstiftningen eftersom den publiceras löpande, allt eftersom rättsakterna antas. Direktiv införlivas i svensk lagstiftning medan förordningar gäller direkt i lag. Informationen om förordningarna är mycket bristfällig.</w:t>
      </w:r>
    </w:p>
    <w:p w:rsidR="00547E7E" w:rsidRPr="00075492" w:rsidRDefault="00547E7E">
      <w:pPr>
        <w:pStyle w:val="Normaltindrag"/>
      </w:pPr>
      <w:r w:rsidRPr="00075492">
        <w:t>Regeringen har gett ut en förteckning över gällande förordningar och Livsmedelsverket publicerar en förteckning av förordningar på verkets webbplats. Revisorerna har dock erfarit att dessa förteckningar inte är ko</w:t>
      </w:r>
      <w:r w:rsidRPr="00075492">
        <w:t>m</w:t>
      </w:r>
      <w:r w:rsidRPr="00075492">
        <w:t>pletta. Revisorerna har vid två tillfällen erhållit kompletterande upplysningar om gällande förordningar. Jordbruksdepartementet har dessutom framhållit att det finns en tendens att EU:s reglering allt oftare sker genom förordnin</w:t>
      </w:r>
      <w:r w:rsidRPr="00075492">
        <w:t>g</w:t>
      </w:r>
      <w:r w:rsidRPr="00075492">
        <w:t>ar. Den bristfälliga informationen om förordningar gör det givetvis svårare för tillsynsmyndigheterna att tillämpa regelverket korrekt och för företag att följa reglerna.</w:t>
      </w:r>
    </w:p>
    <w:p w:rsidR="00547E7E" w:rsidRPr="00075492" w:rsidRDefault="00547E7E">
      <w:pPr>
        <w:pStyle w:val="Normaltindrag"/>
      </w:pPr>
      <w:r w:rsidRPr="00075492">
        <w:t>Revisorerna anser att regeringen och Livsmedelsverket bör vidta åtgärder för att förse tillsynsmyndigheter och</w:t>
      </w:r>
      <w:r w:rsidRPr="00075492">
        <w:t xml:space="preserve"> företag med relevant och korrekt info</w:t>
      </w:r>
      <w:r w:rsidRPr="00075492">
        <w:t>r</w:t>
      </w:r>
      <w:r w:rsidRPr="00075492">
        <w:t>mation för att därigenom skapa bättre förutsättningar för en efterlevnad av EU:s r</w:t>
      </w:r>
      <w:r w:rsidRPr="00075492">
        <w:t>e</w:t>
      </w:r>
      <w:r w:rsidRPr="00075492">
        <w:t xml:space="preserve">gelverk. </w:t>
      </w:r>
    </w:p>
    <w:p w:rsidR="00547E7E" w:rsidRPr="00075492" w:rsidRDefault="00547E7E">
      <w:pPr>
        <w:pStyle w:val="Normaltindrag"/>
        <w:ind w:right="84"/>
      </w:pPr>
      <w:r w:rsidRPr="00075492">
        <w:t>Kontroll av livsmedel regleras i livsmedelslagen och livsmedelsföror</w:t>
      </w:r>
      <w:r w:rsidRPr="00075492">
        <w:t>d</w:t>
      </w:r>
      <w:r w:rsidRPr="00075492">
        <w:t>ningen. Riksdagen har delegerat till regeringen befogenheter att meddela närmare föreskrifter om lagens tillämpning och regeringen har i sin tur d</w:t>
      </w:r>
      <w:r w:rsidRPr="00075492">
        <w:t>e</w:t>
      </w:r>
      <w:r w:rsidRPr="00075492">
        <w:t xml:space="preserve">legerat till Livsmedelsverket befogenheter att meddela regler om lagens tillämpning. Livsmedelsverket har på grundval av bemyndigandet utfärdat föreskrifter och allmänna råd om lagens tillämpning. </w:t>
      </w:r>
    </w:p>
    <w:p w:rsidR="00547E7E" w:rsidRPr="00075492" w:rsidRDefault="00547E7E">
      <w:pPr>
        <w:pStyle w:val="Normaltindrag"/>
        <w:ind w:right="84"/>
      </w:pPr>
      <w:r w:rsidRPr="00075492">
        <w:t>År 2001 finns 102 föreskrifter inom livsmedelsområdet. Det finns up</w:t>
      </w:r>
      <w:r w:rsidRPr="00075492">
        <w:t>p</w:t>
      </w:r>
      <w:r w:rsidRPr="00075492">
        <w:t xml:space="preserve">gifter från år 1997 som visar att föreskrifterna omfattar ca 1 500 sidor. </w:t>
      </w:r>
    </w:p>
    <w:p w:rsidR="00547E7E" w:rsidRPr="00075492" w:rsidRDefault="00547E7E">
      <w:pPr>
        <w:pStyle w:val="Normaltindrag"/>
        <w:ind w:right="84"/>
      </w:pPr>
      <w:r w:rsidRPr="00075492">
        <w:t>Denna omfattande regelmassa skapar givetvis problem för både de för</w:t>
      </w:r>
      <w:r w:rsidRPr="00075492">
        <w:t>e</w:t>
      </w:r>
      <w:r w:rsidRPr="00075492">
        <w:t>tag som ska följa dessa regler och för de tillsynsmyndigheter som ska ko</w:t>
      </w:r>
      <w:r w:rsidRPr="00075492">
        <w:t>n</w:t>
      </w:r>
      <w:r w:rsidRPr="00075492">
        <w:t>trollera r</w:t>
      </w:r>
      <w:r w:rsidRPr="00075492">
        <w:t>e</w:t>
      </w:r>
      <w:r w:rsidRPr="00075492">
        <w:t>gelverkets efterlevnad.</w:t>
      </w:r>
    </w:p>
    <w:p w:rsidR="00547E7E" w:rsidRPr="00075492" w:rsidRDefault="00547E7E">
      <w:pPr>
        <w:pStyle w:val="Normaltindrag"/>
        <w:ind w:right="84"/>
      </w:pPr>
      <w:r w:rsidRPr="00075492">
        <w:t>Livsmedelsverket påbörjade år 1999 en översyn över gällande förfat</w:t>
      </w:r>
      <w:r w:rsidRPr="00075492">
        <w:t>t</w:t>
      </w:r>
      <w:r w:rsidRPr="00075492">
        <w:t>ningar. Denna översyn har emellertid inte lett till att antalet myndighetsf</w:t>
      </w:r>
      <w:r w:rsidRPr="00075492">
        <w:t>ö</w:t>
      </w:r>
      <w:r w:rsidRPr="00075492">
        <w:t>reskrifter har minskat, vilket uppges bero på EU:s reglering.</w:t>
      </w:r>
    </w:p>
    <w:p w:rsidR="00547E7E" w:rsidRPr="00075492" w:rsidRDefault="00547E7E">
      <w:pPr>
        <w:pStyle w:val="Normaltindrag"/>
        <w:ind w:right="84"/>
      </w:pPr>
      <w:r w:rsidRPr="00075492">
        <w:t>Revisorerna anser att det är positivt att en sådan översyn har påbörjats. Det är, enligt revisorernas mening, väsentligt att Livsmedelsverkets a</w:t>
      </w:r>
      <w:r w:rsidRPr="00075492">
        <w:t>n</w:t>
      </w:r>
      <w:r w:rsidRPr="00075492">
        <w:t>strängningar för att minska regelmängden for</w:t>
      </w:r>
      <w:r w:rsidRPr="00075492">
        <w:t>t</w:t>
      </w:r>
      <w:r w:rsidRPr="00075492">
        <w:t xml:space="preserve">sätter och intensifieras. </w:t>
      </w:r>
    </w:p>
    <w:p w:rsidR="00547E7E" w:rsidRPr="00075492" w:rsidRDefault="00547E7E">
      <w:pPr>
        <w:pBdr>
          <w:top w:val="single" w:sz="4" w:space="1" w:color="auto"/>
          <w:left w:val="single" w:sz="4" w:space="4" w:color="auto"/>
          <w:bottom w:val="single" w:sz="4" w:space="1" w:color="auto"/>
          <w:right w:val="single" w:sz="4" w:space="4" w:color="auto"/>
        </w:pBdr>
      </w:pPr>
      <w:r w:rsidRPr="00075492">
        <w:t>Revisorerna föreslår att:</w:t>
      </w:r>
    </w:p>
    <w:p w:rsidR="00547E7E" w:rsidRPr="00075492" w:rsidRDefault="00547E7E">
      <w:pPr>
        <w:numPr>
          <w:ilvl w:val="0"/>
          <w:numId w:val="231"/>
        </w:numPr>
        <w:pBdr>
          <w:top w:val="single" w:sz="4" w:space="1" w:color="auto"/>
          <w:left w:val="single" w:sz="4" w:space="4" w:color="auto"/>
          <w:bottom w:val="single" w:sz="4" w:space="1" w:color="auto"/>
          <w:right w:val="single" w:sz="4" w:space="4" w:color="auto"/>
        </w:pBdr>
      </w:pPr>
      <w:r w:rsidRPr="00075492">
        <w:t>regeringen ger Livsmedelsverket i uppdrag att intensifiera verkets insa</w:t>
      </w:r>
      <w:r w:rsidRPr="00075492">
        <w:t>t</w:t>
      </w:r>
      <w:r w:rsidRPr="00075492">
        <w:t xml:space="preserve">ser för att minska regelmängden. </w:t>
      </w:r>
    </w:p>
    <w:p w:rsidR="00547E7E" w:rsidRPr="00075492" w:rsidRDefault="00547E7E">
      <w:pPr>
        <w:pStyle w:val="Rubrik2-Utannumrering"/>
      </w:pPr>
      <w:bookmarkStart w:id="780" w:name="_Toc532284579"/>
      <w:bookmarkStart w:id="781" w:name="_Toc532292146"/>
      <w:bookmarkStart w:id="782" w:name="_Toc84693"/>
      <w:bookmarkStart w:id="783" w:name="_Toc6634652"/>
      <w:bookmarkStart w:id="784" w:name="_Toc6637234"/>
      <w:r w:rsidRPr="00075492">
        <w:t>Reformera finansierings- och avgiftssystemet</w:t>
      </w:r>
      <w:bookmarkEnd w:id="780"/>
      <w:bookmarkEnd w:id="781"/>
      <w:bookmarkEnd w:id="782"/>
      <w:bookmarkEnd w:id="783"/>
      <w:bookmarkEnd w:id="784"/>
    </w:p>
    <w:p w:rsidR="00547E7E" w:rsidRPr="00075492" w:rsidRDefault="00547E7E">
      <w:r w:rsidRPr="00075492">
        <w:t xml:space="preserve">Riksdagen beslutade år 1989 om nuvarande finansierings- och avgiftssystem. Vid revisorernas tidigare granskning år 1994/95 konstaterades att nuvarande avgiftssystem har skapat oklarheter om vilka delar av livsmedelstillsynen som ska skattefinansieras respektive avgiftsfinansieras samt om systemet utgör ett styrmedel för omfattningen och inriktningen av livsmedelstillsynen. </w:t>
      </w:r>
    </w:p>
    <w:p w:rsidR="00547E7E" w:rsidRPr="00075492" w:rsidRDefault="00547E7E">
      <w:pPr>
        <w:pStyle w:val="Normaltindrag"/>
      </w:pPr>
      <w:r w:rsidRPr="00075492">
        <w:t>Revisorerna ansåg att det fanns skäl som talade för en översyn av avgift</w:t>
      </w:r>
      <w:r w:rsidRPr="00075492">
        <w:t>s</w:t>
      </w:r>
      <w:r w:rsidRPr="00075492">
        <w:t xml:space="preserve">systemet för tillsyn enligt livsmedelslagen. Revisorernas förslag föranledde ett tillkännagivande av riksdagen. </w:t>
      </w:r>
    </w:p>
    <w:p w:rsidR="00547E7E" w:rsidRPr="00075492" w:rsidRDefault="00547E7E">
      <w:pPr>
        <w:pStyle w:val="Normaltindrag"/>
      </w:pPr>
      <w:r w:rsidRPr="00075492">
        <w:t>Därefter har olika utredningar genomförts avseende finansierings- och a</w:t>
      </w:r>
      <w:r w:rsidRPr="00075492">
        <w:t>v</w:t>
      </w:r>
      <w:r w:rsidRPr="00075492">
        <w:t>giftssystemet. I utredningen om livsmedelstillsynen i Sverige föreslogs en huvudsaklig avgiftsfinansiering. Förslaget grundades på en principiell genomgång om vilka uppgifter som skulle finansieras via skatt och via a</w:t>
      </w:r>
      <w:r w:rsidRPr="00075492">
        <w:t>v</w:t>
      </w:r>
      <w:r w:rsidRPr="00075492">
        <w:t>gifter.</w:t>
      </w:r>
    </w:p>
    <w:p w:rsidR="00547E7E" w:rsidRPr="00075492" w:rsidRDefault="00547E7E">
      <w:pPr>
        <w:pStyle w:val="Normaltindrag"/>
      </w:pPr>
      <w:r w:rsidRPr="00075492">
        <w:t xml:space="preserve">Livsmedelsverket har lämnat förslag om en i huvudsak anslagsfinansierad tillsyn. </w:t>
      </w:r>
    </w:p>
    <w:p w:rsidR="00547E7E" w:rsidRPr="00075492" w:rsidRDefault="00547E7E">
      <w:pPr>
        <w:pStyle w:val="Normaltindrag"/>
        <w:ind w:right="84"/>
      </w:pPr>
      <w:r w:rsidRPr="00075492">
        <w:t>Regeringen har inte fattat något b</w:t>
      </w:r>
      <w:r w:rsidRPr="00075492">
        <w:t>e</w:t>
      </w:r>
      <w:r w:rsidRPr="00075492">
        <w:t xml:space="preserve">slut i frågan. </w:t>
      </w:r>
    </w:p>
    <w:p w:rsidR="00547E7E" w:rsidRPr="00075492" w:rsidRDefault="00547E7E">
      <w:pPr>
        <w:pStyle w:val="Normaltindrag"/>
      </w:pPr>
      <w:r w:rsidRPr="00075492">
        <w:t>Revisorernas tidigare kritik av finansierings- och avgiftssystemet äger for</w:t>
      </w:r>
      <w:r w:rsidRPr="00075492">
        <w:t>t</w:t>
      </w:r>
      <w:r w:rsidRPr="00075492">
        <w:t>farande stor giltighet. En förhållandevis noggrann genomgång av systemet har gjorts i denna rapport. Detta har dock inte skapat någon klarhet. Ju mer underlag som revisorerna tar del av, desto mer ogenomträngligt framstår finansierings- och avgift</w:t>
      </w:r>
      <w:r w:rsidRPr="00075492">
        <w:t>s</w:t>
      </w:r>
      <w:r w:rsidRPr="00075492">
        <w:t xml:space="preserve">systemet till såväl syfte som utformning. </w:t>
      </w:r>
    </w:p>
    <w:p w:rsidR="00547E7E" w:rsidRPr="00075492" w:rsidRDefault="00547E7E">
      <w:pPr>
        <w:pStyle w:val="Normaltindrag"/>
        <w:ind w:right="84"/>
      </w:pPr>
      <w:r w:rsidRPr="00075492">
        <w:t>Finansieringssystemet har beskrivits som ett ”svåröverskådligt lappverk av skatt och avgifter med olika principer för avgiftsuttag, otydlig redovi</w:t>
      </w:r>
      <w:r w:rsidRPr="00075492">
        <w:t>s</w:t>
      </w:r>
      <w:r w:rsidRPr="00075492">
        <w:t>ning av bakomliggande kostnader och vari</w:t>
      </w:r>
      <w:r w:rsidRPr="00075492">
        <w:t>e</w:t>
      </w:r>
      <w:r w:rsidRPr="00075492">
        <w:t>rande avgiftsuttag”</w:t>
      </w:r>
      <w:r w:rsidRPr="00075492">
        <w:rPr>
          <w:rStyle w:val="Fotnotsreferens"/>
        </w:rPr>
        <w:footnoteReference w:id="84"/>
      </w:r>
      <w:r w:rsidRPr="00075492">
        <w:t xml:space="preserve">. </w:t>
      </w:r>
    </w:p>
    <w:p w:rsidR="00547E7E" w:rsidRPr="00075492" w:rsidRDefault="00547E7E">
      <w:pPr>
        <w:pStyle w:val="Normaltindrag"/>
      </w:pPr>
      <w:r w:rsidRPr="00075492">
        <w:t>Revisorerna kan konstatera att det saknas en helhetssyn kring finansierin</w:t>
      </w:r>
      <w:r w:rsidRPr="00075492">
        <w:t>g</w:t>
      </w:r>
      <w:r w:rsidRPr="00075492">
        <w:t>en av livsmedelstillsynen. Inom vissa delar eftersträvas full kostnadstäc</w:t>
      </w:r>
      <w:r w:rsidRPr="00075492">
        <w:t>k</w:t>
      </w:r>
      <w:r w:rsidRPr="00075492">
        <w:t>ning, med stöd av olika EG-direktiv, medan andra delar skattefinansieras. En helhetssyn på finansieringssystemet bör bygga på principiella överväganden om vilka uppgifter som ska finansieras via skatt och vilka uppgifter som ska finansieras via avgifter. I riksdagens beslut år 1989 om livsmedelstillsynen saknades sådana princip</w:t>
      </w:r>
      <w:r w:rsidRPr="00075492">
        <w:t>i</w:t>
      </w:r>
      <w:r w:rsidRPr="00075492">
        <w:t>ella överväganden.</w:t>
      </w:r>
    </w:p>
    <w:p w:rsidR="00547E7E" w:rsidRPr="00075492" w:rsidRDefault="00547E7E">
      <w:pPr>
        <w:pStyle w:val="Normaltindrag"/>
        <w:ind w:right="84"/>
      </w:pPr>
      <w:r w:rsidRPr="00075492">
        <w:t>Nuvarande avgiftssystem är mycket komplicerat. Livsmedelsverket b</w:t>
      </w:r>
      <w:r w:rsidRPr="00075492">
        <w:t>e</w:t>
      </w:r>
      <w:r w:rsidRPr="00075492">
        <w:t>stämmer avgifternas storlek med vissa undantag. Totalt finns 14 olika a</w:t>
      </w:r>
      <w:r w:rsidRPr="00075492">
        <w:t>v</w:t>
      </w:r>
      <w:r w:rsidRPr="00075492">
        <w:t>gifter. Vissa avser prövning av tillstånd. Andra utgår för olika verksamheter med varierande avgiftsuttag utifrån olika bakomliggande principer. I vissa fall eftersträvas full kostnadstäckning för tillsynen, medan tillsynen i andra fall skatt</w:t>
      </w:r>
      <w:r w:rsidRPr="00075492">
        <w:t>e</w:t>
      </w:r>
      <w:r w:rsidRPr="00075492">
        <w:t xml:space="preserve">finansieras. </w:t>
      </w:r>
    </w:p>
    <w:p w:rsidR="00547E7E" w:rsidRPr="00075492" w:rsidRDefault="00547E7E">
      <w:pPr>
        <w:pStyle w:val="Normaltindrag"/>
        <w:ind w:right="84"/>
      </w:pPr>
      <w:r w:rsidRPr="00075492">
        <w:t>I vissa fall är det oklart vad avgifterna ska användas till. Exempelvis ska en årlig tillsynsavgift tas ut. Enligt förordningen om avgifter för livsm</w:t>
      </w:r>
      <w:r w:rsidRPr="00075492">
        <w:t>e</w:t>
      </w:r>
      <w:r w:rsidRPr="00075492">
        <w:t>delshantering ska de kommunala tillsynsmyndigheterna använda avgiften till provtagning och undersökning. Begreppet undersökning har inte defini</w:t>
      </w:r>
      <w:r w:rsidRPr="00075492">
        <w:t>e</w:t>
      </w:r>
      <w:r w:rsidRPr="00075492">
        <w:t>rats. I Livsmedelsverkets information till företag anges att den årliga til</w:t>
      </w:r>
      <w:r w:rsidRPr="00075492">
        <w:t>l</w:t>
      </w:r>
      <w:r w:rsidRPr="00075492">
        <w:t>synsavgiften även ska användas till kontroll av företagens egentillsyn.</w:t>
      </w:r>
    </w:p>
    <w:p w:rsidR="00547E7E" w:rsidRPr="00075492" w:rsidRDefault="00547E7E">
      <w:pPr>
        <w:pStyle w:val="Normaltindrag"/>
        <w:ind w:right="84"/>
      </w:pPr>
      <w:r w:rsidRPr="00075492">
        <w:t>Livsm</w:t>
      </w:r>
      <w:r w:rsidRPr="00075492">
        <w:t>e</w:t>
      </w:r>
      <w:r w:rsidRPr="00075492">
        <w:t xml:space="preserve">delsverket har inte höjt de årliga avgifterna sedan 1994. </w:t>
      </w:r>
    </w:p>
    <w:p w:rsidR="00547E7E" w:rsidRPr="00075492" w:rsidRDefault="00547E7E">
      <w:pPr>
        <w:pStyle w:val="Normaltindrag"/>
        <w:ind w:right="84"/>
      </w:pPr>
      <w:r w:rsidRPr="00075492">
        <w:t>Enligt riksdagsbeslutet ska 15 % av kommunernas avgiftsintäkter från de årliga tillsynsavgifterna överföras till Livsm</w:t>
      </w:r>
      <w:r w:rsidRPr="00075492">
        <w:t>e</w:t>
      </w:r>
      <w:r w:rsidRPr="00075492">
        <w:t>delsverket.</w:t>
      </w:r>
    </w:p>
    <w:p w:rsidR="00547E7E" w:rsidRPr="00075492" w:rsidRDefault="00547E7E">
      <w:pPr>
        <w:pStyle w:val="Normaltindrag"/>
        <w:ind w:right="84"/>
      </w:pPr>
      <w:r w:rsidRPr="00075492">
        <w:t xml:space="preserve">Betydande negativa effekter av avgiftssystemet har redovisats för såväl företag som för tillsynsmyndigheter. </w:t>
      </w:r>
    </w:p>
    <w:p w:rsidR="00547E7E" w:rsidRPr="00075492" w:rsidRDefault="00547E7E">
      <w:pPr>
        <w:pStyle w:val="Normaltindrag"/>
      </w:pPr>
      <w:r w:rsidRPr="00075492">
        <w:t>Inom avgiftssystemet saknas incitament för verksamhetsutövare att följa gällande regler och åtgärda anmärkningar som har konstaterats vid inspe</w:t>
      </w:r>
      <w:r w:rsidRPr="00075492">
        <w:t>k</w:t>
      </w:r>
      <w:r w:rsidRPr="00075492">
        <w:t xml:space="preserve">tion. Den verksamhetsutövare som har en fungerande egenkontroll och följer gällande regler betalar samma avgift som en annan verksamhetsutövare i samma bransch och samma storleksklass, som inte följer gällande regler och därmed blir föremål för uppföljande kontroller. </w:t>
      </w:r>
    </w:p>
    <w:p w:rsidR="00547E7E" w:rsidRPr="00075492" w:rsidRDefault="00547E7E">
      <w:pPr>
        <w:pStyle w:val="Normaltindrag"/>
      </w:pPr>
      <w:r w:rsidRPr="00075492">
        <w:t>Det finns också en risk för att avgiftssystemet i vissa fall påverkar til</w:t>
      </w:r>
      <w:r w:rsidRPr="00075492">
        <w:t>l</w:t>
      </w:r>
      <w:r w:rsidRPr="00075492">
        <w:t xml:space="preserve">synsmyndighetens prioritering av tillsynsinsatser. Vilka möjligheter som finns att ta ut avgifter av olika verksamhetsutövare kan påverka tillsynsplan och val av objekt. </w:t>
      </w:r>
    </w:p>
    <w:p w:rsidR="00547E7E" w:rsidRPr="00075492" w:rsidRDefault="00547E7E">
      <w:pPr>
        <w:pStyle w:val="Normaltindrag"/>
      </w:pPr>
      <w:r w:rsidRPr="00075492">
        <w:t>Inom avgiftssystemet saknas även kopplingar mellan prestation och behov. Alla företagare betalar en årlig tillsynsavgift som varierar för olika verksa</w:t>
      </w:r>
      <w:r w:rsidRPr="00075492">
        <w:t>m</w:t>
      </w:r>
      <w:r w:rsidRPr="00075492">
        <w:t>heter och efter antalet anställda eller omsättning. Det är däremot inte säkert att företagaren över huvud taget får något årligt besök av en livsmedelsi</w:t>
      </w:r>
      <w:r w:rsidRPr="00075492">
        <w:t>n</w:t>
      </w:r>
      <w:r w:rsidRPr="00075492">
        <w:t>spektör trots att man erlägger en avgift. Den årliga tillsynsavgiften kan i sådana fall i princip betraktas som en skatt. En skatt karakteriseras som ett tvångsbidrag till det allmänna utan direkt motprestation. En avgift innebär en penningprestation som betalas för en specificerad motprestation från det allmänna. Gränsen mellan skatt och avgift är dock fl</w:t>
      </w:r>
      <w:r w:rsidRPr="00075492">
        <w:t>ytande</w:t>
      </w:r>
      <w:r w:rsidRPr="00075492">
        <w:rPr>
          <w:rStyle w:val="Fotnotsreferens"/>
        </w:rPr>
        <w:footnoteReference w:id="85"/>
      </w:r>
      <w:r w:rsidRPr="00075492">
        <w:t xml:space="preserve">. Revisorerna vill erinra om att en skatt inte får beslutas av en myndighet, utan endast av riksdagen. </w:t>
      </w:r>
    </w:p>
    <w:p w:rsidR="00547E7E" w:rsidRPr="00075492" w:rsidRDefault="00547E7E">
      <w:pPr>
        <w:pStyle w:val="Normaltindrag"/>
        <w:ind w:right="84"/>
      </w:pPr>
      <w:r w:rsidRPr="00075492">
        <w:t>Enligt livsmedelslagen får tillsynsmyndigheten ta ut avgift för uppföl</w:t>
      </w:r>
      <w:r w:rsidRPr="00075492">
        <w:t>j</w:t>
      </w:r>
      <w:r w:rsidRPr="00075492">
        <w:t>ning av prov som lett till anmärkning. Tillsynsmyndigheten kan inte ta ut avgift för återbesök om inget prov har tagits. Därmed saknas möjligheter att ta ut avgift för återbesök som fö</w:t>
      </w:r>
      <w:r w:rsidRPr="00075492">
        <w:t>r</w:t>
      </w:r>
      <w:r w:rsidRPr="00075492">
        <w:t xml:space="preserve">anleds av alla andra brister. </w:t>
      </w:r>
    </w:p>
    <w:p w:rsidR="00547E7E" w:rsidRPr="00075492" w:rsidRDefault="00547E7E">
      <w:pPr>
        <w:pStyle w:val="Normaltindrag"/>
      </w:pPr>
      <w:r w:rsidRPr="00075492">
        <w:t>Det är inte ovanligt att de verksamhetsutövare som förorsakar de största arbetsinsatserna för tillsynsmyndigheterna betalar avgifter som inte motsv</w:t>
      </w:r>
      <w:r w:rsidRPr="00075492">
        <w:t>a</w:t>
      </w:r>
      <w:r w:rsidRPr="00075492">
        <w:t>rar kostnaderna för tillsynen. Den årliga tillsynsavgiften uppgår till 1 500 kronor för en butik som säljer färdigförpackade livsmedel eller 1 750 kronor för mindre industrier, t.ex. bagerier eller resta</w:t>
      </w:r>
      <w:r w:rsidRPr="00075492">
        <w:t>u</w:t>
      </w:r>
      <w:r w:rsidRPr="00075492">
        <w:t>ranger.</w:t>
      </w:r>
    </w:p>
    <w:p w:rsidR="00547E7E" w:rsidRPr="00075492" w:rsidRDefault="00547E7E">
      <w:pPr>
        <w:pStyle w:val="Normaltindrag"/>
      </w:pPr>
      <w:r w:rsidRPr="00075492">
        <w:t>Revisorerna anser att det nuvarande avgiftssystemet bör reformeras i gru</w:t>
      </w:r>
      <w:r w:rsidRPr="00075492">
        <w:t>n</w:t>
      </w:r>
      <w:r w:rsidRPr="00075492">
        <w:t>den. Motiven är behoven av att förenkla samt skapa incitament för företag att följa gällande regler och ge tillsynsmyndigheter förutsättningar att anpassa sina resurser efter behov av tillsyn.</w:t>
      </w:r>
    </w:p>
    <w:p w:rsidR="00547E7E" w:rsidRPr="00075492" w:rsidRDefault="00547E7E">
      <w:pPr>
        <w:pStyle w:val="Normaltindrag"/>
      </w:pPr>
      <w:r w:rsidRPr="00075492">
        <w:t>I det nuvarande systemet har överblicken gått förlorad. Det finns en u</w:t>
      </w:r>
      <w:r w:rsidRPr="00075492">
        <w:t>p</w:t>
      </w:r>
      <w:r w:rsidRPr="00075492">
        <w:t>penbar risk att det blir en profession i sig att tolka avgiftsbestämmelser. En annan risk är att tillämpningen blir olika mellan olika tillsynsmyndigheter. Genom ett väl genomtänkt avgiftssystem finns möjligheter att få till stånd betydande effektiviseringar av til</w:t>
      </w:r>
      <w:r w:rsidRPr="00075492">
        <w:t>l</w:t>
      </w:r>
      <w:r w:rsidRPr="00075492">
        <w:t>synen.</w:t>
      </w:r>
    </w:p>
    <w:p w:rsidR="00547E7E" w:rsidRPr="00075492" w:rsidRDefault="00547E7E">
      <w:pPr>
        <w:pStyle w:val="Normaltindrag"/>
      </w:pPr>
      <w:r w:rsidRPr="00075492">
        <w:t>Vid jordbruksutskottets behandling 1989/90 av regeringens skrivelse eri</w:t>
      </w:r>
      <w:r w:rsidRPr="00075492">
        <w:t>n</w:t>
      </w:r>
      <w:r w:rsidRPr="00075492">
        <w:t>rade utskottet bl.a. om att en löpande revidering av systemet borde göras. Den revidering som har skett har inneburit en anpassning till EG-direktiv som ytterligare har komplicerat avgiftssättningen. Livsmedelsverket tillä</w:t>
      </w:r>
      <w:r w:rsidRPr="00075492">
        <w:t>m</w:t>
      </w:r>
      <w:r w:rsidRPr="00075492">
        <w:t xml:space="preserve">par samma direktiv på olika sätt för olika verksamheter. </w:t>
      </w:r>
    </w:p>
    <w:p w:rsidR="00547E7E" w:rsidRPr="00075492" w:rsidRDefault="00547E7E">
      <w:pPr>
        <w:pStyle w:val="Normaltindrag"/>
      </w:pPr>
      <w:r w:rsidRPr="00075492">
        <w:t>I likhet med tidigare granskning ifrågasätter revisorerna starkt överförin</w:t>
      </w:r>
      <w:r w:rsidRPr="00075492">
        <w:t>g</w:t>
      </w:r>
      <w:r w:rsidRPr="00075492">
        <w:t>en av 15 % av de årliga tillsynsavgifterna från kommunerna till Livsmedel</w:t>
      </w:r>
      <w:r w:rsidRPr="00075492">
        <w:t>s</w:t>
      </w:r>
      <w:r w:rsidRPr="00075492">
        <w:t xml:space="preserve">verket. I denna granskning redovisas ytterligare underlag som förstärker detta tidigare ställningstagande. </w:t>
      </w:r>
    </w:p>
    <w:p w:rsidR="00547E7E" w:rsidRPr="00075492" w:rsidRDefault="00547E7E">
      <w:pPr>
        <w:pStyle w:val="Normaltindrag"/>
      </w:pPr>
      <w:r w:rsidRPr="00075492">
        <w:t>Under de senaste fyra åren har Livsmedelsverkets avgiftsintäkter utöver anslag överstigit kostnaderna för den verksamhet som verket bedriver för att samordna och stödja de lokala tillsynsmyndigheterna. Dessutom beviljades verket ytterligare anslagsmedel år 2000 för att bl.a. genomföra normerande inspektioner i komm</w:t>
      </w:r>
      <w:r w:rsidRPr="00075492">
        <w:t>u</w:t>
      </w:r>
      <w:r w:rsidRPr="00075492">
        <w:t xml:space="preserve">nerna för att säkerställa att EG-lagstiftningen efterlevs. </w:t>
      </w:r>
    </w:p>
    <w:p w:rsidR="00547E7E" w:rsidRPr="00075492" w:rsidRDefault="00547E7E">
      <w:pPr>
        <w:pStyle w:val="Normaltindrag"/>
      </w:pPr>
      <w:r w:rsidRPr="00075492">
        <w:t>Antalet normerande inspektioner som verket utförde åren 1999 och 2000 uppgick till 39 inspektioner varje år. År 1998 genomfördes 106 normerande inspektioner.</w:t>
      </w:r>
    </w:p>
    <w:p w:rsidR="00547E7E" w:rsidRPr="00075492" w:rsidRDefault="00547E7E">
      <w:pPr>
        <w:pStyle w:val="Normaltindrag"/>
      </w:pPr>
      <w:r w:rsidRPr="00075492">
        <w:t>Livsmedelsverket anser att riksdagsbeslutet ger vid handen att verket kan använda intäktsmedel från kommunerna till annan verksamhet än stöd till kommunerna. Verket anger samtidigt att de ytterligare anslagsmedel som beviljades år 2000 även skulle användas till annan verksamhet. Dessa påst</w:t>
      </w:r>
      <w:r w:rsidRPr="00075492">
        <w:t>å</w:t>
      </w:r>
      <w:r w:rsidRPr="00075492">
        <w:t>enden är korrekta, men förhållandet innebär samtidigt att det är svårt för kommunerna att få uppgifter om vad de får för motprestation av Livsmedel</w:t>
      </w:r>
      <w:r w:rsidRPr="00075492">
        <w:t>s</w:t>
      </w:r>
      <w:r w:rsidRPr="00075492">
        <w:t xml:space="preserve">verket för de avgiftsintäkter som de erlägger. </w:t>
      </w:r>
    </w:p>
    <w:p w:rsidR="00547E7E" w:rsidRPr="00075492" w:rsidRDefault="00547E7E">
      <w:pPr>
        <w:pStyle w:val="Normaltindrag"/>
      </w:pPr>
      <w:r w:rsidRPr="00075492">
        <w:t xml:space="preserve">Revisorerna konstaterar att regeringen inte har vidtagit några åtgärder med anledning av dessa förhållanden. </w:t>
      </w:r>
    </w:p>
    <w:p w:rsidR="00547E7E" w:rsidRPr="00075492" w:rsidRDefault="00547E7E">
      <w:pPr>
        <w:pStyle w:val="Normaltindrag"/>
      </w:pPr>
      <w:r w:rsidRPr="00075492">
        <w:t>Regeringen har ett omfattande beslutsunderlag om hur livsmedelstillsynen i Sverige bör finansieras genom tidigare lämnade och avrapporterade utre</w:t>
      </w:r>
      <w:r w:rsidRPr="00075492">
        <w:t>d</w:t>
      </w:r>
      <w:r w:rsidRPr="00075492">
        <w:t>ningsuppdrag. Grundläggande ställningstaganden om finansieringen påve</w:t>
      </w:r>
      <w:r w:rsidRPr="00075492">
        <w:t>r</w:t>
      </w:r>
      <w:r w:rsidRPr="00075492">
        <w:t>kar sannolikt verksamheten vid tillsynsmyndigheterna negativt. Det finns en risk att tillsynsverksamheten prioriteras utifrån kommunernas möjligheter att finans</w:t>
      </w:r>
      <w:r w:rsidRPr="00075492">
        <w:t>i</w:t>
      </w:r>
      <w:r w:rsidRPr="00075492">
        <w:t>era verksamheten via avgiftsintäkter i stället för utifrån faktiskt behov.</w:t>
      </w:r>
    </w:p>
    <w:p w:rsidR="00547E7E" w:rsidRPr="00075492" w:rsidRDefault="00547E7E">
      <w:pPr>
        <w:pStyle w:val="Normaltindrag"/>
      </w:pPr>
      <w:r w:rsidRPr="00075492">
        <w:t>Sammanfattningsvis kan konstateras att nuvarande finansieringssystem inte är ett effektivt medel att styra omfattning och inriktning av verksamh</w:t>
      </w:r>
      <w:r w:rsidRPr="00075492">
        <w:t>e</w:t>
      </w:r>
      <w:r w:rsidRPr="00075492">
        <w:t>ten. Det är över huvud taget svårt att identifiera någon styrning genom fina</w:t>
      </w:r>
      <w:r w:rsidRPr="00075492">
        <w:t>n</w:t>
      </w:r>
      <w:r w:rsidRPr="00075492">
        <w:t xml:space="preserve">sierings- och avgiftssystemet som syftar till att konsumenternas intressen ska tas till vara. Tvärtom motverkar det komplexa avgiftssystemet en effektiv tillsynsverksamhet som utgår från behov. </w:t>
      </w:r>
    </w:p>
    <w:p w:rsidR="00547E7E" w:rsidRPr="00075492" w:rsidRDefault="00547E7E">
      <w:pPr>
        <w:pStyle w:val="Normaltindrag"/>
      </w:pPr>
      <w:r w:rsidRPr="00075492">
        <w:t>Mot bakgrund av redovisat underlag vill revisorerna understryka behovet av att regeringen vidtar åtgärder med anledning av de brister som nuvarande finansieringssystem har. Syftet bör vara att åstadkomma ett robust och tran</w:t>
      </w:r>
      <w:r w:rsidRPr="00075492">
        <w:t>s</w:t>
      </w:r>
      <w:r w:rsidRPr="00075492">
        <w:t>parent finansierings- och avgiftssystem som ger riktiga incitament för såväl företag som tillsynsmyndigheter. Iakttagelser om brister i hygien och redli</w:t>
      </w:r>
      <w:r w:rsidRPr="00075492">
        <w:t>g</w:t>
      </w:r>
      <w:r w:rsidRPr="00075492">
        <w:t>het bör leda till en ökad tillsyn vars kostnader betalas av dem som förorsakar den. Därmed kan tillsynen få de resurser som brister i livsmedelshantering och hygien kräver.</w:t>
      </w:r>
    </w:p>
    <w:p w:rsidR="00547E7E" w:rsidRPr="00075492" w:rsidRDefault="00547E7E">
      <w:pPr>
        <w:pStyle w:val="Normaltindrag"/>
      </w:pPr>
      <w:r w:rsidRPr="00075492">
        <w:t>En anslagsfinansiering riskerar att skapa otillräckliga incitament för för</w:t>
      </w:r>
      <w:r w:rsidRPr="00075492">
        <w:t>e</w:t>
      </w:r>
      <w:r w:rsidRPr="00075492">
        <w:t>tag att följa gällande regler och för tillsynsmyndigheten att genomföra i</w:t>
      </w:r>
      <w:r w:rsidRPr="00075492">
        <w:t>n</w:t>
      </w:r>
      <w:r w:rsidRPr="00075492">
        <w:t xml:space="preserve">spektioner. Sammantaget kan detta leda till en försämrad efterlevnad av livsmedelslagen. </w:t>
      </w:r>
    </w:p>
    <w:p w:rsidR="00547E7E" w:rsidRPr="00075492" w:rsidRDefault="00547E7E">
      <w:pPr>
        <w:pBdr>
          <w:top w:val="single" w:sz="4" w:space="1" w:color="auto"/>
          <w:left w:val="single" w:sz="4" w:space="4" w:color="auto"/>
          <w:bottom w:val="single" w:sz="4" w:space="1" w:color="auto"/>
          <w:right w:val="single" w:sz="4" w:space="4" w:color="auto"/>
        </w:pBdr>
      </w:pPr>
      <w:r w:rsidRPr="00075492">
        <w:t>Revisorerna föreslår att:</w:t>
      </w:r>
    </w:p>
    <w:p w:rsidR="00547E7E" w:rsidRPr="00075492" w:rsidRDefault="00547E7E">
      <w:pPr>
        <w:numPr>
          <w:ilvl w:val="0"/>
          <w:numId w:val="261"/>
        </w:numPr>
        <w:pBdr>
          <w:top w:val="single" w:sz="4" w:space="1" w:color="auto"/>
          <w:left w:val="single" w:sz="4" w:space="4" w:color="auto"/>
          <w:bottom w:val="single" w:sz="4" w:space="1" w:color="auto"/>
          <w:right w:val="single" w:sz="4" w:space="4" w:color="auto"/>
        </w:pBdr>
      </w:pPr>
      <w:r w:rsidRPr="00075492">
        <w:t>regeringen genomför åtgärder så att finansierings- och avgiftssystemet skapar incitament för såväl verksamhetsutövare att följa gällande rege</w:t>
      </w:r>
      <w:r w:rsidRPr="00075492">
        <w:t>l</w:t>
      </w:r>
      <w:r w:rsidRPr="00075492">
        <w:t>verk som tillsynsmyndigheter att kontrollera att företagen följer rege</w:t>
      </w:r>
      <w:r w:rsidRPr="00075492">
        <w:t>l</w:t>
      </w:r>
      <w:r w:rsidRPr="00075492">
        <w:t xml:space="preserve">verket. Möjligheterna att förenkla nuvarande avgiftssystem ska särskilt behandlas.  </w:t>
      </w:r>
    </w:p>
    <w:p w:rsidR="00547E7E" w:rsidRPr="00075492" w:rsidRDefault="00547E7E">
      <w:pPr>
        <w:numPr>
          <w:ilvl w:val="0"/>
          <w:numId w:val="262"/>
        </w:numPr>
        <w:pBdr>
          <w:top w:val="single" w:sz="4" w:space="1" w:color="auto"/>
          <w:left w:val="single" w:sz="4" w:space="4" w:color="auto"/>
          <w:bottom w:val="single" w:sz="4" w:space="1" w:color="auto"/>
          <w:right w:val="single" w:sz="4" w:space="4" w:color="auto"/>
        </w:pBdr>
      </w:pPr>
      <w:r w:rsidRPr="00075492">
        <w:t>regeringen bör utarbeta ett förslag som innebär att överföringen av m</w:t>
      </w:r>
      <w:r w:rsidRPr="00075492">
        <w:t>e</w:t>
      </w:r>
      <w:r w:rsidRPr="00075492">
        <w:t>del från kommunerna till Livsmedelsve</w:t>
      </w:r>
      <w:r w:rsidRPr="00075492">
        <w:t>r</w:t>
      </w:r>
      <w:r w:rsidRPr="00075492">
        <w:t xml:space="preserve">ket upphör. </w:t>
      </w:r>
    </w:p>
    <w:p w:rsidR="00547E7E" w:rsidRPr="00075492" w:rsidRDefault="00547E7E">
      <w:pPr>
        <w:pStyle w:val="Rubrik2-Utannumrering"/>
      </w:pPr>
      <w:bookmarkStart w:id="785" w:name="_Toc532284580"/>
      <w:bookmarkStart w:id="786" w:name="_Toc532292147"/>
      <w:bookmarkStart w:id="787" w:name="_Toc84694"/>
      <w:bookmarkStart w:id="788" w:name="_Toc6634653"/>
      <w:bookmarkStart w:id="789" w:name="_Toc6637235"/>
      <w:r w:rsidRPr="00075492">
        <w:t>Redovisa kostnaderna</w:t>
      </w:r>
      <w:bookmarkEnd w:id="785"/>
      <w:bookmarkEnd w:id="786"/>
      <w:bookmarkEnd w:id="787"/>
      <w:bookmarkEnd w:id="788"/>
      <w:bookmarkEnd w:id="789"/>
    </w:p>
    <w:p w:rsidR="00547E7E" w:rsidRPr="00075492" w:rsidRDefault="00547E7E">
      <w:r w:rsidRPr="00075492">
        <w:t>Kostnader för livsmedelstillsynen i Sverige har på grundval av befintligt underlag bedömts till drygt 400 miljoner kronor. Avgiftsintäkterna uppgår till ca 210 mi</w:t>
      </w:r>
      <w:r w:rsidRPr="00075492">
        <w:t>l</w:t>
      </w:r>
      <w:r w:rsidRPr="00075492">
        <w:t xml:space="preserve">joner kronor. </w:t>
      </w:r>
    </w:p>
    <w:p w:rsidR="00547E7E" w:rsidRPr="00075492" w:rsidRDefault="00547E7E">
      <w:pPr>
        <w:pStyle w:val="Normaltindrag"/>
      </w:pPr>
      <w:r w:rsidRPr="00075492">
        <w:t xml:space="preserve">Det finns dock en betydande osäkerhet om kommunernas kostnader för livsmedelstillsynen. Det saknas tillförlitliga uppgifter om kostnaderna för tillsynsverksamheten. </w:t>
      </w:r>
    </w:p>
    <w:p w:rsidR="00547E7E" w:rsidRPr="00075492" w:rsidRDefault="00547E7E">
      <w:pPr>
        <w:pStyle w:val="Normaltindrag"/>
      </w:pPr>
      <w:r w:rsidRPr="00075492">
        <w:t>Utredningen om livsmedelstillsynen i Sverige konstaterade att de kos</w:t>
      </w:r>
      <w:r w:rsidRPr="00075492">
        <w:t>t</w:t>
      </w:r>
      <w:r w:rsidRPr="00075492">
        <w:t xml:space="preserve">nadsuppgifter som kommunerna lämnar till Livsmedelsverket är så osäkra att de i praktiken är oanvändbara. </w:t>
      </w:r>
    </w:p>
    <w:p w:rsidR="00547E7E" w:rsidRPr="00075492" w:rsidRDefault="00547E7E">
      <w:pPr>
        <w:pStyle w:val="Normaltindrag"/>
      </w:pPr>
      <w:r w:rsidRPr="00075492">
        <w:t>I det nya rapporteringssystem, där kommunerna lämnar uppgifter till Livsmedelsverket om tillsynen, har frågan om kommunernas kostnader för verksamheten utgått. Därmed föreligger inga krav på kommunerna att ra</w:t>
      </w:r>
      <w:r w:rsidRPr="00075492">
        <w:t>p</w:t>
      </w:r>
      <w:r w:rsidRPr="00075492">
        <w:t xml:space="preserve">portera kostnaderna och att komma till rätta med de brister som finns vad gäller kostnadsredovisningen av livsmedelstillsynen. </w:t>
      </w:r>
    </w:p>
    <w:p w:rsidR="00547E7E" w:rsidRPr="00075492" w:rsidRDefault="00547E7E">
      <w:pPr>
        <w:pStyle w:val="Normaltindrag"/>
      </w:pPr>
      <w:r w:rsidRPr="00075492">
        <w:t>Enligt revisorernas uppfattning kvarstår behovet av att få tillförlitliga up</w:t>
      </w:r>
      <w:r w:rsidRPr="00075492">
        <w:t>p</w:t>
      </w:r>
      <w:r w:rsidRPr="00075492">
        <w:t>gifter om kostnaderna. En tillförlitlig kostnadsredovisning är av grun</w:t>
      </w:r>
      <w:r w:rsidRPr="00075492">
        <w:t>d</w:t>
      </w:r>
      <w:r w:rsidRPr="00075492">
        <w:t>läggande betydelse för alla verksamheter. Tillförlitliga kostnadsuppgifter har ett stort informationsvärde och är en förutsättning för bl.a. bedömningar av resursb</w:t>
      </w:r>
      <w:r w:rsidRPr="00075492">
        <w:t>e</w:t>
      </w:r>
      <w:r w:rsidRPr="00075492">
        <w:t>hov.</w:t>
      </w:r>
    </w:p>
    <w:p w:rsidR="00547E7E" w:rsidRPr="00075492" w:rsidRDefault="00547E7E">
      <w:pPr>
        <w:pStyle w:val="Normaltindrag"/>
      </w:pPr>
      <w:r w:rsidRPr="00075492">
        <w:t>Revisorerna föreslår att regeringen tar initiativ som syftar till att åsta</w:t>
      </w:r>
      <w:r w:rsidRPr="00075492">
        <w:t>d</w:t>
      </w:r>
      <w:r w:rsidRPr="00075492">
        <w:t>komma en tillförlitlig kostnadsredovisning av livsmedelstillsynen. I uppdr</w:t>
      </w:r>
      <w:r w:rsidRPr="00075492">
        <w:t>a</w:t>
      </w:r>
      <w:r w:rsidRPr="00075492">
        <w:t>get bör de uppgifter som ska ingå i kostnadsred</w:t>
      </w:r>
      <w:r w:rsidRPr="00075492">
        <w:t>o</w:t>
      </w:r>
      <w:r w:rsidRPr="00075492">
        <w:t xml:space="preserve">visningen specificeras. </w:t>
      </w:r>
    </w:p>
    <w:p w:rsidR="00547E7E" w:rsidRPr="00075492" w:rsidRDefault="00547E7E">
      <w:pPr>
        <w:pBdr>
          <w:top w:val="single" w:sz="4" w:space="1" w:color="auto"/>
          <w:left w:val="single" w:sz="4" w:space="4" w:color="auto"/>
          <w:bottom w:val="single" w:sz="4" w:space="1" w:color="auto"/>
          <w:right w:val="single" w:sz="4" w:space="4" w:color="auto"/>
        </w:pBdr>
      </w:pPr>
      <w:r w:rsidRPr="00075492">
        <w:t>Revisorerna föreslår att:</w:t>
      </w:r>
    </w:p>
    <w:p w:rsidR="00547E7E" w:rsidRPr="00075492" w:rsidRDefault="00547E7E">
      <w:pPr>
        <w:numPr>
          <w:ilvl w:val="0"/>
          <w:numId w:val="237"/>
        </w:numPr>
        <w:pBdr>
          <w:top w:val="single" w:sz="4" w:space="1" w:color="auto"/>
          <w:left w:val="single" w:sz="4" w:space="4" w:color="auto"/>
          <w:bottom w:val="single" w:sz="4" w:space="1" w:color="auto"/>
          <w:right w:val="single" w:sz="4" w:space="4" w:color="auto"/>
        </w:pBdr>
      </w:pPr>
      <w:r w:rsidRPr="00075492">
        <w:t>regeringen tar initiativ som syftar till att åstadkomma en tillförlitlig kostnadsredovisning. I uppdraget bör de uppgifter som ska ingå i kos</w:t>
      </w:r>
      <w:r w:rsidRPr="00075492">
        <w:t>t</w:t>
      </w:r>
      <w:r w:rsidRPr="00075492">
        <w:t>nadsredovi</w:t>
      </w:r>
      <w:r w:rsidRPr="00075492">
        <w:t>s</w:t>
      </w:r>
      <w:r w:rsidRPr="00075492">
        <w:t>ningen specificeras.</w:t>
      </w:r>
    </w:p>
    <w:p w:rsidR="00547E7E" w:rsidRPr="00075492" w:rsidRDefault="00547E7E">
      <w:pPr>
        <w:pStyle w:val="Rubrik2-Utannumrering"/>
      </w:pPr>
      <w:bookmarkStart w:id="790" w:name="_Toc532284581"/>
      <w:bookmarkStart w:id="791" w:name="_Toc532292148"/>
      <w:bookmarkStart w:id="792" w:name="_Toc84695"/>
      <w:bookmarkStart w:id="793" w:name="_Toc6634654"/>
      <w:bookmarkStart w:id="794" w:name="_Toc6637236"/>
      <w:r w:rsidRPr="00075492">
        <w:t>Tydliggör företagens ansvar</w:t>
      </w:r>
      <w:bookmarkEnd w:id="790"/>
      <w:bookmarkEnd w:id="791"/>
      <w:bookmarkEnd w:id="792"/>
      <w:bookmarkEnd w:id="793"/>
      <w:bookmarkEnd w:id="794"/>
      <w:r w:rsidRPr="00075492">
        <w:t xml:space="preserve"> </w:t>
      </w:r>
    </w:p>
    <w:p w:rsidR="00547E7E" w:rsidRPr="00075492" w:rsidRDefault="00547E7E">
      <w:pPr>
        <w:ind w:right="84"/>
      </w:pPr>
      <w:r w:rsidRPr="00075492">
        <w:t>Enligt livsmedelslagen är företagens ansvar mycket tydligt. Ansvaret o</w:t>
      </w:r>
      <w:r w:rsidRPr="00075492">
        <w:t>m</w:t>
      </w:r>
      <w:r w:rsidRPr="00075492">
        <w:t>fattar bl.a. märkning, hantering, personalhygien och livsmedelslokal. Grundläggande krav måste uppfyllas för att livsmedel ska få hanteras för försäljning och i sto</w:t>
      </w:r>
      <w:r w:rsidRPr="00075492">
        <w:t>r</w:t>
      </w:r>
      <w:r w:rsidRPr="00075492">
        <w:t>hushåll.</w:t>
      </w:r>
    </w:p>
    <w:p w:rsidR="00547E7E" w:rsidRPr="00075492" w:rsidRDefault="00547E7E">
      <w:pPr>
        <w:pStyle w:val="Normaltindrag"/>
      </w:pPr>
      <w:r w:rsidRPr="00075492">
        <w:t>Företagens ansvar har kommit till uttryck genom krav på att de själva ska utföra olika kontroller. Dessa kontroller betecknas som egenkontroll eller egentillsyn. Enligt 1989 års riksdagsbeslut ska företagen på egen bekostnad utarbeta egenkontrollprogram. Tillsynsmyndigheterna ska fastställa pr</w:t>
      </w:r>
      <w:r w:rsidRPr="00075492">
        <w:t>o</w:t>
      </w:r>
      <w:r w:rsidRPr="00075492">
        <w:t>grammen.</w:t>
      </w:r>
    </w:p>
    <w:p w:rsidR="00547E7E" w:rsidRPr="00075492" w:rsidRDefault="00547E7E">
      <w:pPr>
        <w:pStyle w:val="Normaltindrag"/>
        <w:ind w:right="84"/>
      </w:pPr>
      <w:r w:rsidRPr="00075492">
        <w:t>Statsmakternas intentioner med beslutet om obligatorisk egentillsyn för företagen förefaller inte ha uppnåtts. Det finns ett relativt omfattande u</w:t>
      </w:r>
      <w:r w:rsidRPr="00075492">
        <w:t>n</w:t>
      </w:r>
      <w:r w:rsidRPr="00075492">
        <w:t xml:space="preserve">derlag som visar att det fortfarande finns problem, framför allt inom mindre företag. Problemen är information, utbildning och de mindre företagens svaga incitament för egenkontroll. Tillsynsmyndigheternas arbete med att fastställa företagens egenkontrollprogram har varit omfattande. </w:t>
      </w:r>
    </w:p>
    <w:p w:rsidR="00547E7E" w:rsidRPr="00075492" w:rsidRDefault="00547E7E">
      <w:pPr>
        <w:pStyle w:val="Normaltindrag"/>
        <w:ind w:right="84"/>
      </w:pPr>
      <w:r w:rsidRPr="00075492">
        <w:t xml:space="preserve">Förslag har lämnats av både utredningen om livsmedelstillsynen i Sverige och Livsmedelsverket om att avskaffa kravet på att tillsynsmyndigheterna ska fastställa företagens egenkontrollprogram. Motivet är bl.a. att tydliggöra </w:t>
      </w:r>
      <w:r w:rsidRPr="00075492">
        <w:t>företagens ansvar för efterlevnaden av livsm</w:t>
      </w:r>
      <w:r w:rsidRPr="00075492">
        <w:t>e</w:t>
      </w:r>
      <w:r w:rsidRPr="00075492">
        <w:t>delslagstiftningen.</w:t>
      </w:r>
    </w:p>
    <w:p w:rsidR="00547E7E" w:rsidRPr="00075492" w:rsidRDefault="00547E7E">
      <w:pPr>
        <w:pStyle w:val="Normaltindrag"/>
        <w:ind w:right="84"/>
      </w:pPr>
      <w:r w:rsidRPr="00075492">
        <w:t>Revisorerna anser att det är angeläget att tydliggöra företagens ansvar. Det fanns goda intentioner bakom riksdagens beslut om obligatorisk ege</w:t>
      </w:r>
      <w:r w:rsidRPr="00075492">
        <w:t>n</w:t>
      </w:r>
      <w:r w:rsidRPr="00075492">
        <w:t>tillsyn, men beslutet har kritiseras. Systemet med att tillsynsmyndigheterna fastställer företagens egentillsynsprogram har lett till oklara ansvarsförhå</w:t>
      </w:r>
      <w:r w:rsidRPr="00075492">
        <w:t>l</w:t>
      </w:r>
      <w:r w:rsidRPr="00075492">
        <w:t>landen. Företagen ansvarar för att de produkter som tillverkas och saluhålls uppfyller angivna krav så att inte människor blir sjuka av den mat de ko</w:t>
      </w:r>
      <w:r w:rsidRPr="00075492">
        <w:t>n</w:t>
      </w:r>
      <w:r w:rsidRPr="00075492">
        <w:t>sumerar. Därmed måste företagen också ansvara för sina egna kontroller. Enligt revisorernas uppfattning är det därför angeläget att avskaffa kravet på att tillsynsmyndigheterna ska fastställa företagens egen</w:t>
      </w:r>
      <w:r w:rsidRPr="00075492">
        <w:t>kontrollprogram. Härmed skulle hela systemet för livsmedelstillsyn vinna i tydlighet. Revis</w:t>
      </w:r>
      <w:r w:rsidRPr="00075492">
        <w:t>o</w:t>
      </w:r>
      <w:r w:rsidRPr="00075492">
        <w:t>rerna föreslår att regeringen överväger en förändring av detta slag. Föret</w:t>
      </w:r>
      <w:r w:rsidRPr="00075492">
        <w:t>a</w:t>
      </w:r>
      <w:r w:rsidRPr="00075492">
        <w:t>gens skyldighet att vita olika egentillsynsåtgärder skulle inte påverkas av en sådan förändring. Tillsynsmyndigheterna kontrollerar efterlevnaden av r</w:t>
      </w:r>
      <w:r w:rsidRPr="00075492">
        <w:t>e</w:t>
      </w:r>
      <w:r w:rsidRPr="00075492">
        <w:t>gelverket. Företagens egentillsyn bör vara ett stöd för att leva upp till gä</w:t>
      </w:r>
      <w:r w:rsidRPr="00075492">
        <w:t>l</w:t>
      </w:r>
      <w:r w:rsidRPr="00075492">
        <w:t xml:space="preserve">lande krav. </w:t>
      </w:r>
    </w:p>
    <w:p w:rsidR="00547E7E" w:rsidRPr="00075492" w:rsidRDefault="00547E7E">
      <w:pPr>
        <w:pBdr>
          <w:top w:val="single" w:sz="4" w:space="1" w:color="auto"/>
          <w:left w:val="single" w:sz="4" w:space="4" w:color="auto"/>
          <w:bottom w:val="single" w:sz="4" w:space="1" w:color="auto"/>
          <w:right w:val="single" w:sz="4" w:space="4" w:color="auto"/>
        </w:pBdr>
      </w:pPr>
      <w:r w:rsidRPr="00075492">
        <w:t>Revisorerna föreslår att:</w:t>
      </w:r>
    </w:p>
    <w:p w:rsidR="00547E7E" w:rsidRPr="00075492" w:rsidRDefault="00547E7E">
      <w:pPr>
        <w:numPr>
          <w:ilvl w:val="0"/>
          <w:numId w:val="238"/>
        </w:numPr>
        <w:pBdr>
          <w:top w:val="single" w:sz="4" w:space="1" w:color="auto"/>
          <w:left w:val="single" w:sz="4" w:space="4" w:color="auto"/>
          <w:bottom w:val="single" w:sz="4" w:space="1" w:color="auto"/>
          <w:right w:val="single" w:sz="4" w:space="4" w:color="auto"/>
        </w:pBdr>
      </w:pPr>
      <w:r w:rsidRPr="00075492">
        <w:t>regeringen uppdrar åt Livsmedelsverket att avskaffa nuvarande krav på att tillsynsmyndigheterna ska fastställa företagens egenkontrollprogram. Livsmedelsverket bör också utarbeta information till företag och til</w:t>
      </w:r>
      <w:r w:rsidRPr="00075492">
        <w:t>l</w:t>
      </w:r>
      <w:r w:rsidRPr="00075492">
        <w:t xml:space="preserve">synsmyndigheter för hur frågor om egentillsyn och egentillsynsprogram ska behandlas. </w:t>
      </w:r>
    </w:p>
    <w:p w:rsidR="00547E7E" w:rsidRPr="00075492" w:rsidRDefault="00547E7E">
      <w:pPr>
        <w:pStyle w:val="Rubrik2-Utannumrering"/>
      </w:pPr>
      <w:bookmarkStart w:id="795" w:name="_Toc532284582"/>
      <w:bookmarkStart w:id="796" w:name="_Toc532292149"/>
      <w:bookmarkStart w:id="797" w:name="_Toc84696"/>
      <w:bookmarkStart w:id="798" w:name="_Toc6634655"/>
      <w:bookmarkStart w:id="799" w:name="_Toc6637237"/>
      <w:r w:rsidRPr="00075492">
        <w:t>Livsmedelsverkets uppföljning och styrning behöver förbättras</w:t>
      </w:r>
      <w:bookmarkEnd w:id="795"/>
      <w:bookmarkEnd w:id="796"/>
      <w:bookmarkEnd w:id="797"/>
      <w:bookmarkEnd w:id="798"/>
      <w:bookmarkEnd w:id="799"/>
    </w:p>
    <w:p w:rsidR="00547E7E" w:rsidRPr="00075492" w:rsidRDefault="00547E7E">
      <w:r w:rsidRPr="00075492">
        <w:t>Livsmedelsverket är central tillsynsmyndighet med ansvar för att leda och samordna livsmedelstillsynen.  Verket har också tillsynsansvar för omkring 600 större livsmedelsanläggningar varav ca 130 slakterier inom den s.k. besiktningsveterinärsorganisati</w:t>
      </w:r>
      <w:r w:rsidRPr="00075492">
        <w:t>o</w:t>
      </w:r>
      <w:r w:rsidRPr="00075492">
        <w:t xml:space="preserve">nen som utgör en del av verket. </w:t>
      </w:r>
    </w:p>
    <w:p w:rsidR="00547E7E" w:rsidRPr="00075492" w:rsidRDefault="00547E7E">
      <w:pPr>
        <w:pStyle w:val="Normaltindrag"/>
      </w:pPr>
      <w:r w:rsidRPr="00075492">
        <w:t>Regeringen har lämnat långtgående befogenheter till Livsmedelsverket att styra och samordna den kommunala tillsynsverksamheten. Exempelvis kan Livsmedelsverket återta tillsynsansvar för anläggningar som står under kommunalt tillsynsansvar. Verket har dock aldrig använt denna möjlighet vid konstaterade brister i den kommunala tillsynen.</w:t>
      </w:r>
    </w:p>
    <w:p w:rsidR="00547E7E" w:rsidRPr="00075492" w:rsidRDefault="00547E7E">
      <w:pPr>
        <w:pStyle w:val="Normaltindrag"/>
      </w:pPr>
      <w:r w:rsidRPr="00075492">
        <w:t>Tillsynsansvaret kan också överföras i motsatt riktning, dvs. från Livsm</w:t>
      </w:r>
      <w:r w:rsidRPr="00075492">
        <w:t>e</w:t>
      </w:r>
      <w:r w:rsidRPr="00075492">
        <w:t>delsverket till kommunerna. Det sistnämnda är relativt vanligt. Exempelvis har Livsmedelsverket överfört tillsynsansvaret för anläggningar till Stoc</w:t>
      </w:r>
      <w:r w:rsidRPr="00075492">
        <w:t>k</w:t>
      </w:r>
      <w:r w:rsidRPr="00075492">
        <w:t>holms och Göt</w:t>
      </w:r>
      <w:r w:rsidRPr="00075492">
        <w:t>e</w:t>
      </w:r>
      <w:r w:rsidRPr="00075492">
        <w:t xml:space="preserve">borgs kommuner. </w:t>
      </w:r>
    </w:p>
    <w:p w:rsidR="00547E7E" w:rsidRPr="00075492" w:rsidRDefault="00547E7E">
      <w:pPr>
        <w:pStyle w:val="Normaltindrag"/>
      </w:pPr>
      <w:r w:rsidRPr="00075492">
        <w:t>Livsmedelsverket har också rätt att utföra s.k. normerande inspektioner i kommunerna. Denna verksamhet har minskat betydligt. Åren 1999 och 2000 utfördes 39 inspektioner varje år. Detta kan jämföras med år 1998, då 106 normerande inspektioner utfö</w:t>
      </w:r>
      <w:r w:rsidRPr="00075492">
        <w:t>r</w:t>
      </w:r>
      <w:r w:rsidRPr="00075492">
        <w:t>des.</w:t>
      </w:r>
    </w:p>
    <w:p w:rsidR="00547E7E" w:rsidRPr="00075492" w:rsidRDefault="00547E7E">
      <w:pPr>
        <w:pStyle w:val="Normaltindrag"/>
      </w:pPr>
      <w:r w:rsidRPr="00075492">
        <w:t>Livsmedelsverkets inspektioner kan innebära att verket begär yttrande från den berörda kommunen med anledning av uppmärksammade brister. De uppgifter som finns avser år 1999. Då begärde Livsmedelsverket yttrande från endast åtta kommuner. Det är således sällsynt att de brister som up</w:t>
      </w:r>
      <w:r w:rsidRPr="00075492">
        <w:t>p</w:t>
      </w:r>
      <w:r w:rsidRPr="00075492">
        <w:t>märksammas av verket leder till denna typ av åtgärd.</w:t>
      </w:r>
    </w:p>
    <w:p w:rsidR="00547E7E" w:rsidRPr="00075492" w:rsidRDefault="00547E7E">
      <w:pPr>
        <w:pStyle w:val="Normaltindrag"/>
        <w:ind w:right="84"/>
      </w:pPr>
      <w:r w:rsidRPr="00075492">
        <w:t>Mot denna bakgrund kan revisorerna konstatera att Livsmedelsverket i begränsad utsträckning har använt befintliga möjligheter att styra den ko</w:t>
      </w:r>
      <w:r w:rsidRPr="00075492">
        <w:t>m</w:t>
      </w:r>
      <w:r w:rsidRPr="00075492">
        <w:t>munala tillsynsverksamheten.</w:t>
      </w:r>
    </w:p>
    <w:p w:rsidR="00547E7E" w:rsidRPr="00075492" w:rsidRDefault="00547E7E">
      <w:pPr>
        <w:pStyle w:val="Normaltindrag"/>
        <w:ind w:right="84"/>
      </w:pPr>
      <w:r w:rsidRPr="00075492">
        <w:t>Livsmedelsverket har påpekat att verket under år 2001 har vidtagit åtgä</w:t>
      </w:r>
      <w:r w:rsidRPr="00075492">
        <w:t>r</w:t>
      </w:r>
      <w:r w:rsidRPr="00075492">
        <w:t>der för att förbättra styrningen, samordningen och uppföljningen av den kommunala tillsynsverksamh</w:t>
      </w:r>
      <w:r w:rsidRPr="00075492">
        <w:t>e</w:t>
      </w:r>
      <w:r w:rsidRPr="00075492">
        <w:t>ten.</w:t>
      </w:r>
    </w:p>
    <w:p w:rsidR="00547E7E" w:rsidRPr="00075492" w:rsidRDefault="00547E7E">
      <w:pPr>
        <w:pStyle w:val="Normaltindrag"/>
        <w:ind w:right="84"/>
      </w:pPr>
      <w:r w:rsidRPr="00075492">
        <w:t>Revisorerna är positiva till att verket har vidtagit olika förbättringsåtgä</w:t>
      </w:r>
      <w:r w:rsidRPr="00075492">
        <w:t>r</w:t>
      </w:r>
      <w:r w:rsidRPr="00075492">
        <w:t xml:space="preserve">der. Vi ställer oss dock frågande till varför sådana åtgärder inte har vidtagits tidigare, särskilt mot bakgrund av att Livsmedelsverket har uppmärksammat brister i den kommunala tillsynen under flera år. En statlig tillsyn över de verksamheter som bedrivs på kommunal nivå förutsätter, enligt revisorernas uppfattning, regelbundna aktiviteter av de myndigheter som har uppgifter inom området. Sådana aktiviteter måste avpassas till vilka problem som finns och var dessa problem konstateras.  </w:t>
      </w:r>
    </w:p>
    <w:p w:rsidR="00547E7E" w:rsidRPr="00075492" w:rsidRDefault="00547E7E">
      <w:pPr>
        <w:pStyle w:val="Normaltindrag"/>
        <w:ind w:right="84"/>
      </w:pPr>
      <w:r w:rsidRPr="00075492">
        <w:t>Revisorerna föres</w:t>
      </w:r>
      <w:r w:rsidRPr="00075492">
        <w:t>lår att regeringen uppdrar åt Livsmedelsverket att up</w:t>
      </w:r>
      <w:r w:rsidRPr="00075492">
        <w:t>p</w:t>
      </w:r>
      <w:r w:rsidRPr="00075492">
        <w:t>rätta en åtgärdsplan för att komma till rätta med de brister som de har up</w:t>
      </w:r>
      <w:r w:rsidRPr="00075492">
        <w:t>p</w:t>
      </w:r>
      <w:r w:rsidRPr="00075492">
        <w:t>märksammat inom den kommunala tillsynsver</w:t>
      </w:r>
      <w:r w:rsidRPr="00075492">
        <w:t>k</w:t>
      </w:r>
      <w:r w:rsidRPr="00075492">
        <w:t xml:space="preserve">samheten. </w:t>
      </w:r>
    </w:p>
    <w:p w:rsidR="00547E7E" w:rsidRPr="00075492" w:rsidRDefault="00547E7E">
      <w:pPr>
        <w:pBdr>
          <w:top w:val="single" w:sz="4" w:space="1" w:color="auto"/>
          <w:left w:val="single" w:sz="4" w:space="4" w:color="auto"/>
          <w:bottom w:val="single" w:sz="4" w:space="1" w:color="auto"/>
          <w:right w:val="single" w:sz="4" w:space="4" w:color="auto"/>
        </w:pBdr>
      </w:pPr>
      <w:r w:rsidRPr="00075492">
        <w:t>Revisorerna föreslår att</w:t>
      </w:r>
    </w:p>
    <w:p w:rsidR="00547E7E" w:rsidRPr="00075492" w:rsidRDefault="00547E7E">
      <w:pPr>
        <w:numPr>
          <w:ilvl w:val="0"/>
          <w:numId w:val="239"/>
        </w:numPr>
        <w:pBdr>
          <w:top w:val="single" w:sz="4" w:space="1" w:color="auto"/>
          <w:left w:val="single" w:sz="4" w:space="4" w:color="auto"/>
          <w:bottom w:val="single" w:sz="4" w:space="1" w:color="auto"/>
          <w:right w:val="single" w:sz="4" w:space="4" w:color="auto"/>
        </w:pBdr>
      </w:pPr>
      <w:r w:rsidRPr="00075492">
        <w:t>regeringen uppdrar åt Livsmedelsverket att upprätta en åtgärdsplan för att komma till rätta med de brister som verket har uppmärksammat inom den kommunala tillsynsverksa</w:t>
      </w:r>
      <w:r w:rsidRPr="00075492">
        <w:t>m</w:t>
      </w:r>
      <w:r w:rsidRPr="00075492">
        <w:t>heten.</w:t>
      </w:r>
    </w:p>
    <w:p w:rsidR="00547E7E" w:rsidRPr="00075492" w:rsidRDefault="00547E7E">
      <w:pPr>
        <w:pStyle w:val="Rubrik2-Utannumrering"/>
      </w:pPr>
      <w:bookmarkStart w:id="800" w:name="_Toc532284583"/>
      <w:bookmarkStart w:id="801" w:name="_Toc532292150"/>
      <w:bookmarkStart w:id="802" w:name="_Toc84697"/>
      <w:bookmarkStart w:id="803" w:name="_Toc6634656"/>
      <w:bookmarkStart w:id="804" w:name="_Toc6637238"/>
      <w:r w:rsidRPr="00075492">
        <w:t>Ska länsstyrelsernas uppgifter kvarstå?</w:t>
      </w:r>
      <w:bookmarkEnd w:id="800"/>
      <w:bookmarkEnd w:id="801"/>
      <w:bookmarkEnd w:id="802"/>
      <w:bookmarkEnd w:id="803"/>
      <w:bookmarkEnd w:id="804"/>
    </w:p>
    <w:p w:rsidR="00547E7E" w:rsidRPr="00075492" w:rsidRDefault="00547E7E">
      <w:pPr>
        <w:ind w:right="84"/>
      </w:pPr>
      <w:r w:rsidRPr="00075492">
        <w:t>Länsstyrelserna avsätter totalt 6 årsarbetskrafter för arbete med livsm</w:t>
      </w:r>
      <w:r w:rsidRPr="00075492">
        <w:t>e</w:t>
      </w:r>
      <w:r w:rsidRPr="00075492">
        <w:t xml:space="preserve">delstillsyn. Länsstyrelsernas uppgifter enligt livsmedelslagen är att ”svara för den närmare tillsynen inom länet”. Närmare precisering saknas. </w:t>
      </w:r>
    </w:p>
    <w:p w:rsidR="00547E7E" w:rsidRPr="00075492" w:rsidRDefault="00547E7E">
      <w:pPr>
        <w:pStyle w:val="Normaltindrag"/>
      </w:pPr>
      <w:r w:rsidRPr="00075492">
        <w:t xml:space="preserve">Revisorerna har vid en tidigare granskning uppmärksammat behovet av att länsstyrelsernas uppgifter preciseras. Utredningen om livsmedelstillsynen föreslog att länsstyrelsernas uppgifter enligt livsmedelslagen skulle utgå. Regeringen har inte fattat något beslut med anledning av förslaget som kom år 1998. </w:t>
      </w:r>
    </w:p>
    <w:p w:rsidR="00547E7E" w:rsidRPr="00075492" w:rsidRDefault="00547E7E">
      <w:pPr>
        <w:pStyle w:val="Normaltindrag"/>
        <w:ind w:right="84"/>
      </w:pPr>
      <w:r w:rsidRPr="00075492">
        <w:t>Regeringen har i regleringsbrev till länsstyrelserna betonat länsstyrelse</w:t>
      </w:r>
      <w:r w:rsidRPr="00075492">
        <w:t>r</w:t>
      </w:r>
      <w:r w:rsidRPr="00075492">
        <w:t>nas uppgifter med uppföljning av den kommunala tillsynen. Länsstyrelserna återrapporterar årligen till regeringen om tillståndet i respektive län. Det saknas dock en samlad redovisning av vilka åtgärder länsstyrelserna har vidtagit med anledning av konstaterade brister. Länsstyrelserna har inte fått någon återföring av regeringen med anledning av lämnade rapporter om den kommunala livsmedel</w:t>
      </w:r>
      <w:r w:rsidRPr="00075492">
        <w:t>s</w:t>
      </w:r>
      <w:r w:rsidRPr="00075492">
        <w:t>tillsynen.</w:t>
      </w:r>
    </w:p>
    <w:p w:rsidR="00547E7E" w:rsidRPr="00075492" w:rsidRDefault="00547E7E">
      <w:pPr>
        <w:pStyle w:val="Normaltindrag"/>
        <w:ind w:right="84"/>
      </w:pPr>
      <w:r w:rsidRPr="00075492">
        <w:t>Granskningen visar att Livsmedelsverket inte i någon större utsträckning har använt länsstyrelsernas kompe</w:t>
      </w:r>
      <w:r w:rsidRPr="00075492">
        <w:t>tens inom livsmedelstills</w:t>
      </w:r>
      <w:r w:rsidRPr="00075492">
        <w:t>y</w:t>
      </w:r>
      <w:r w:rsidRPr="00075492">
        <w:t>nen.</w:t>
      </w:r>
    </w:p>
    <w:p w:rsidR="00547E7E" w:rsidRPr="00075492" w:rsidRDefault="00547E7E">
      <w:pPr>
        <w:pStyle w:val="Normaltindrag"/>
        <w:ind w:right="84"/>
      </w:pPr>
      <w:r w:rsidRPr="00075492">
        <w:t>Revisorerna anser också att länsstyrelsernas nuvarande roll inom livsm</w:t>
      </w:r>
      <w:r w:rsidRPr="00075492">
        <w:t>e</w:t>
      </w:r>
      <w:r w:rsidRPr="00075492">
        <w:t>delstillsynen bör ändras. Antingen bör länsstyrelsernas uppgifter utgå eller så bör uppgifterna preciseras. Om regering och riksdag väljer att precisera länsstyrelsernas uppgifter måste resurser för verksamheten säkerställas. Det kan inte vara möjligt att med nuvarande resursinsats, dvs. totalt 6 årsarbet</w:t>
      </w:r>
      <w:r w:rsidRPr="00075492">
        <w:t>s</w:t>
      </w:r>
      <w:r w:rsidRPr="00075492">
        <w:t>krafter spridda över hela landet, vilket motsvarar ca 0,2 årsarbetskrafter per län, åstadkomma några resultat inom ett område som karakteriseras av ett så komplicerat regelverk. En förutsättning för att l</w:t>
      </w:r>
      <w:r w:rsidRPr="00075492">
        <w:t xml:space="preserve">änsstyrelserna ska kunna utgöra ett stöd åt kommunerna torde vara att det hos länsstyrelserna finns kompetens om gällande regelverk, ett aktivt intresse för livsmedelstillsyn samt resurser för verksamheten. </w:t>
      </w:r>
    </w:p>
    <w:p w:rsidR="00547E7E" w:rsidRPr="00075492" w:rsidRDefault="00547E7E">
      <w:pPr>
        <w:pStyle w:val="Normaltindrag"/>
        <w:ind w:right="84"/>
      </w:pPr>
      <w:r w:rsidRPr="00075492">
        <w:t>Revisorerna har erfarit att en utredning för närvarande pågår inom R</w:t>
      </w:r>
      <w:r w:rsidRPr="00075492">
        <w:t>e</w:t>
      </w:r>
      <w:r w:rsidRPr="00075492">
        <w:t>geringskansliet som syftar till att behandla möjligheterna att samordna livsmedelstillsyn och djurskydd i en statlig organisation. Revisorerna utgår från att denna utredning beaktar vad revisorerna anför i föreliggande granskning.</w:t>
      </w:r>
    </w:p>
    <w:p w:rsidR="00547E7E" w:rsidRPr="00075492" w:rsidRDefault="00547E7E">
      <w:pPr>
        <w:pStyle w:val="Normaltindrag"/>
        <w:ind w:right="84"/>
      </w:pPr>
      <w:r w:rsidRPr="00075492">
        <w:t xml:space="preserve">Om länsstyrelsernas uppgifter ska kvarstå är det också väsentligt att klara ut vilka gränsytor som ska gälla gentemot Livsmedelsverket samt hur de olika myndigheterna ska samverka. Detta är av betydelse dels för att uppnå effektivt utnyttjande av de statliga resurserna, dels för </w:t>
      </w:r>
      <w:r w:rsidRPr="00075492">
        <w:t xml:space="preserve">kommunerna som bör veta vart de ska vända sig. </w:t>
      </w:r>
    </w:p>
    <w:p w:rsidR="00547E7E" w:rsidRPr="00075492" w:rsidRDefault="00547E7E">
      <w:pPr>
        <w:pStyle w:val="Rubrik2-Utannumrering"/>
      </w:pPr>
      <w:bookmarkStart w:id="805" w:name="_Toc532284584"/>
      <w:bookmarkStart w:id="806" w:name="_Toc532292151"/>
      <w:bookmarkStart w:id="807" w:name="_Toc84698"/>
      <w:bookmarkStart w:id="808" w:name="_Toc6634657"/>
      <w:bookmarkStart w:id="809" w:name="_Toc6637239"/>
      <w:r w:rsidRPr="00075492">
        <w:t>Kommunernas resurser</w:t>
      </w:r>
      <w:bookmarkEnd w:id="805"/>
      <w:bookmarkEnd w:id="806"/>
      <w:bookmarkEnd w:id="807"/>
      <w:bookmarkEnd w:id="808"/>
      <w:bookmarkEnd w:id="809"/>
    </w:p>
    <w:p w:rsidR="00547E7E" w:rsidRPr="00075492" w:rsidRDefault="00547E7E">
      <w:r w:rsidRPr="00075492">
        <w:t>Kommunerna har i dag tillsyn över merparten (nästan 99 %) av alla livsm</w:t>
      </w:r>
      <w:r w:rsidRPr="00075492">
        <w:t>e</w:t>
      </w:r>
      <w:r w:rsidRPr="00075492">
        <w:t>delsanläggningar inklusive vattenverk. Av Sveriges 52 000 anläggningar är ca 80 % små anläggningar som sysselsätter mindre än 4 årsarbetskra</w:t>
      </w:r>
      <w:r w:rsidRPr="00075492">
        <w:t>f</w:t>
      </w:r>
      <w:r w:rsidRPr="00075492">
        <w:t>ter.</w:t>
      </w:r>
    </w:p>
    <w:p w:rsidR="00547E7E" w:rsidRPr="00075492" w:rsidRDefault="00547E7E">
      <w:pPr>
        <w:pStyle w:val="Normaltindrag"/>
      </w:pPr>
      <w:r w:rsidRPr="00075492">
        <w:t>Kommunerna lämnar årligen uppgifter till Livsmedelsverket om livsm</w:t>
      </w:r>
      <w:r w:rsidRPr="00075492">
        <w:t>e</w:t>
      </w:r>
      <w:r w:rsidRPr="00075492">
        <w:t>delstillsynen i kommunerna.</w:t>
      </w:r>
    </w:p>
    <w:p w:rsidR="00547E7E" w:rsidRPr="00075492" w:rsidRDefault="00547E7E">
      <w:pPr>
        <w:pStyle w:val="Normaltindrag"/>
        <w:ind w:right="84"/>
      </w:pPr>
      <w:r w:rsidRPr="00075492">
        <w:t>År 1999 hade kommunerna totalt 337 årsarbetskrafter för livsmedelstil</w:t>
      </w:r>
      <w:r w:rsidRPr="00075492">
        <w:t>l</w:t>
      </w:r>
      <w:r w:rsidRPr="00075492">
        <w:t>syn enligt kommunernas årliga rapportering till Livsmedelsverket. Antalet årsarbetskrafter i kommunerna har ökat något, med undantag för de senaste åren. Ett antal kommuner har under senare år inte lämnat uppgifter om hur många årsarbetskrafter som avsatts för livsmedelstills</w:t>
      </w:r>
      <w:r w:rsidRPr="00075492">
        <w:t>y</w:t>
      </w:r>
      <w:r w:rsidRPr="00075492">
        <w:t>nen.</w:t>
      </w:r>
    </w:p>
    <w:p w:rsidR="00547E7E" w:rsidRPr="00075492" w:rsidRDefault="00547E7E">
      <w:pPr>
        <w:pStyle w:val="Normaltindrag"/>
        <w:ind w:right="84"/>
      </w:pPr>
      <w:r w:rsidRPr="00075492">
        <w:t>På grundval av tillgängliga uppgifter kan revisorerna konstatera att ko</w:t>
      </w:r>
      <w:r w:rsidRPr="00075492">
        <w:t>m</w:t>
      </w:r>
      <w:r w:rsidRPr="00075492">
        <w:t>munerna inte har minskat resurserna för livsmedelstills</w:t>
      </w:r>
      <w:r w:rsidRPr="00075492">
        <w:t>y</w:t>
      </w:r>
      <w:r w:rsidRPr="00075492">
        <w:t>nen.</w:t>
      </w:r>
    </w:p>
    <w:p w:rsidR="00547E7E" w:rsidRPr="00075492" w:rsidRDefault="00547E7E">
      <w:pPr>
        <w:pStyle w:val="Normaltindrag"/>
        <w:ind w:right="84"/>
      </w:pPr>
      <w:r w:rsidRPr="00075492">
        <w:t>Kommunernas tillsynsfrekvens för samtliga företag har totalt sett min</w:t>
      </w:r>
      <w:r w:rsidRPr="00075492">
        <w:t>s</w:t>
      </w:r>
      <w:r w:rsidRPr="00075492">
        <w:t>kat. Tillsynsfrekvensen vid olika typer av företag varierar. Tillsynsfrekve</w:t>
      </w:r>
      <w:r w:rsidRPr="00075492">
        <w:t>n</w:t>
      </w:r>
      <w:r w:rsidRPr="00075492">
        <w:t>sen har minskat för storhushåll inklusive restauranger, butiker och vatte</w:t>
      </w:r>
      <w:r w:rsidRPr="00075492">
        <w:t>n</w:t>
      </w:r>
      <w:r w:rsidRPr="00075492">
        <w:t>verk. Tillsynen över industria</w:t>
      </w:r>
      <w:r w:rsidRPr="00075492">
        <w:t>n</w:t>
      </w:r>
      <w:r w:rsidRPr="00075492">
        <w:t xml:space="preserve">läggningar har ökat. </w:t>
      </w:r>
    </w:p>
    <w:p w:rsidR="00547E7E" w:rsidRPr="00075492" w:rsidRDefault="00547E7E">
      <w:pPr>
        <w:pStyle w:val="Normaltindrag"/>
        <w:ind w:right="84"/>
      </w:pPr>
      <w:r w:rsidRPr="00075492">
        <w:t>Livsmedelsverket har inte närmare analyserat orsakerna till dessa förhå</w:t>
      </w:r>
      <w:r w:rsidRPr="00075492">
        <w:t>l</w:t>
      </w:r>
      <w:r w:rsidRPr="00075492">
        <w:t>landen. En sådan analys skulle behövas.</w:t>
      </w:r>
    </w:p>
    <w:p w:rsidR="00547E7E" w:rsidRPr="00075492" w:rsidRDefault="00547E7E">
      <w:pPr>
        <w:pStyle w:val="Normaltindrag"/>
        <w:ind w:right="84"/>
      </w:pPr>
      <w:r w:rsidRPr="00075492">
        <w:t>En tolkning som ligger nära till hands är, enligt revisorernas mening, att kommunernas tillsynsaktiviteter ökar där det finns möjlighet att finansiera inspektionsverksamheten. De största möjligheterna som kommunerna har att ta ut avgifter finns näml</w:t>
      </w:r>
      <w:r w:rsidRPr="00075492">
        <w:t>i</w:t>
      </w:r>
      <w:r w:rsidRPr="00075492">
        <w:t xml:space="preserve">gen för industrianläggningar. </w:t>
      </w:r>
    </w:p>
    <w:p w:rsidR="00547E7E" w:rsidRPr="00075492" w:rsidRDefault="00547E7E">
      <w:pPr>
        <w:pStyle w:val="Normaltindrag"/>
        <w:ind w:right="84"/>
      </w:pPr>
      <w:r w:rsidRPr="00075492">
        <w:t>Livsmedelsverket har lämnat ett antal exempel på förekomsten av jävs eller beroendeförhållanden som antas ha påverkat vissa kommuners my</w:t>
      </w:r>
      <w:r w:rsidRPr="00075492">
        <w:t>n</w:t>
      </w:r>
      <w:r w:rsidRPr="00075492">
        <w:t>dighetsutövning på ett otillbörligt sätt. I vissa fall har verket vidtagit någon åtgärd mot den berörda kommunen. Antingen har frågan tagits upp vid ett kommunbesök eller också har en normerande inspektion genomförts.</w:t>
      </w:r>
    </w:p>
    <w:p w:rsidR="00547E7E" w:rsidRPr="00075492" w:rsidRDefault="00547E7E">
      <w:pPr>
        <w:pStyle w:val="Normaltindrag"/>
        <w:ind w:right="84"/>
      </w:pPr>
      <w:r w:rsidRPr="00075492">
        <w:t>Revisorerna ser allvarligt på de exempel som Livsmedelsverket har lä</w:t>
      </w:r>
      <w:r w:rsidRPr="00075492">
        <w:t>m</w:t>
      </w:r>
      <w:r w:rsidRPr="00075492">
        <w:t>nat om beroendeförhållanden och jävssituationer inom livsmedelstillsynen. En korrekt myndighetsutövning förutsätter opartiskhet oavsett om myndi</w:t>
      </w:r>
      <w:r w:rsidRPr="00075492">
        <w:t>g</w:t>
      </w:r>
      <w:r w:rsidRPr="00075492">
        <w:t>hetsutövningen utövas av en kommun eller av en statlig myndighet. Jäv</w:t>
      </w:r>
      <w:r w:rsidRPr="00075492">
        <w:t>s</w:t>
      </w:r>
      <w:r w:rsidRPr="00075492">
        <w:t>regler i kommunallagen syftar till att säkerställa förtroende för besluten och säkerställa att fatt</w:t>
      </w:r>
      <w:r w:rsidRPr="00075492">
        <w:t>a</w:t>
      </w:r>
      <w:r w:rsidRPr="00075492">
        <w:t>de beslut är korrekta.</w:t>
      </w:r>
    </w:p>
    <w:p w:rsidR="00547E7E" w:rsidRPr="00075492" w:rsidRDefault="00547E7E">
      <w:pPr>
        <w:pStyle w:val="Normaltindrag"/>
      </w:pPr>
      <w:r w:rsidRPr="00075492">
        <w:t>Inom Regeringskansliet bereds för närvarande ett förslag till riksdagen som bl.a. omfattar ett förtydligande av nuvarande jävsbestämmelser i ko</w:t>
      </w:r>
      <w:r w:rsidRPr="00075492">
        <w:t>m</w:t>
      </w:r>
      <w:r w:rsidRPr="00075492">
        <w:t xml:space="preserve">munallagen. Revisorerna utgår från att förtydligandet även omfattar frågor som rör livsmedelstillsynen. </w:t>
      </w:r>
    </w:p>
    <w:p w:rsidR="00547E7E" w:rsidRPr="00075492" w:rsidRDefault="00547E7E">
      <w:pPr>
        <w:pStyle w:val="Normaltindrag"/>
      </w:pPr>
      <w:r w:rsidRPr="00075492">
        <w:t>Det är viktigt att fall där jäv misstänks eller där beroendeförhållanden a</w:t>
      </w:r>
      <w:r w:rsidRPr="00075492">
        <w:t>n</w:t>
      </w:r>
      <w:r w:rsidRPr="00075492">
        <w:t>tas påverka myndighetsutövningen utreds. Det är också väsentligt att Liv</w:t>
      </w:r>
      <w:r w:rsidRPr="00075492">
        <w:t>s</w:t>
      </w:r>
      <w:r w:rsidRPr="00075492">
        <w:t>medelsverket, som central förvaltningsmyndighet, systematiskt vidtar läm</w:t>
      </w:r>
      <w:r w:rsidRPr="00075492">
        <w:t>p</w:t>
      </w:r>
      <w:r w:rsidRPr="00075492">
        <w:t>liga åtgärder i sådana fall. Livsmedelsverket har som tidigare påpekats mö</w:t>
      </w:r>
      <w:r w:rsidRPr="00075492">
        <w:t>j</w:t>
      </w:r>
      <w:r w:rsidRPr="00075492">
        <w:t>lighet att återta tillsynsansvaret för en viss anläggning. Denna möjlighet har emellertid inte använts vid konstaterade brister i den kommunala tills</w:t>
      </w:r>
      <w:r w:rsidRPr="00075492">
        <w:t>y</w:t>
      </w:r>
      <w:r w:rsidRPr="00075492">
        <w:t xml:space="preserve">nen. </w:t>
      </w:r>
    </w:p>
    <w:p w:rsidR="00547E7E" w:rsidRPr="00075492" w:rsidRDefault="00547E7E">
      <w:pPr>
        <w:pStyle w:val="Normaltindrag"/>
      </w:pPr>
      <w:r w:rsidRPr="00075492">
        <w:t>I utredningen om livsmedelstillsynen i Sverige föreslogs att livsmedelsl</w:t>
      </w:r>
      <w:r w:rsidRPr="00075492">
        <w:t>a</w:t>
      </w:r>
      <w:r w:rsidRPr="00075492">
        <w:t>gen borde ändras för att underlätta för kommunerna att samverka med va</w:t>
      </w:r>
      <w:r w:rsidRPr="00075492">
        <w:t>r</w:t>
      </w:r>
      <w:r w:rsidRPr="00075492">
        <w:t>andra vad gäller livsmedelstillsyn. Enligt förslaget skulle det finnas möjli</w:t>
      </w:r>
      <w:r w:rsidRPr="00075492">
        <w:t>g</w:t>
      </w:r>
      <w:r w:rsidRPr="00075492">
        <w:t>heter för en kommun att avtala med en annan kommun om att utföra sådana uppgifter som inte innebar beslut i ärenden eller att uppdra åt anställd i en annan kommun att fatta beslut i vissa ärenden.</w:t>
      </w:r>
    </w:p>
    <w:p w:rsidR="00547E7E" w:rsidRPr="00075492" w:rsidRDefault="00547E7E">
      <w:pPr>
        <w:pStyle w:val="Normaltindrag"/>
      </w:pPr>
      <w:r w:rsidRPr="00075492">
        <w:t>Revisorerna stödjer detta förslag. De små kommunernas förutsättningar att bedriva livsmedelstillsyn har uppmärksammats av Livsmedelsverket, länsst</w:t>
      </w:r>
      <w:r w:rsidRPr="00075492">
        <w:t>y</w:t>
      </w:r>
      <w:r w:rsidRPr="00075492">
        <w:t>relserna, kommuner samt i olika utredningar. Statens uppgift i detta sa</w:t>
      </w:r>
      <w:r w:rsidRPr="00075492">
        <w:t>m</w:t>
      </w:r>
      <w:r w:rsidRPr="00075492">
        <w:t xml:space="preserve">manhang är att skapa förutsättningar för olika samverkansformer genom att ändra gällande reglering. Det är sedan kommunernas ansvar att ta till vara dessa möjligheter. </w:t>
      </w:r>
    </w:p>
    <w:p w:rsidR="00547E7E" w:rsidRPr="00075492" w:rsidRDefault="00547E7E">
      <w:pPr>
        <w:pStyle w:val="Normaltindrag"/>
      </w:pPr>
      <w:r w:rsidRPr="00075492">
        <w:t>Revisorerna vill samtidigt framhålla att de förändringar av avgiftssystemet som tidigare har föreslagits syftar till att skapa avsevärt bättre möjligheter för samtliga kommuner att säkerställa resurser för livsmedelstillsyn än vad som finns i dag. Detta förhållande tord</w:t>
      </w:r>
      <w:r w:rsidRPr="00075492">
        <w:t>e vara särskilt betydelsefullt för små och resurssvaga kommuner.</w:t>
      </w:r>
    </w:p>
    <w:p w:rsidR="00547E7E" w:rsidRPr="00075492" w:rsidRDefault="00547E7E">
      <w:pPr>
        <w:pStyle w:val="Normaltindrag"/>
      </w:pPr>
      <w:r w:rsidRPr="00075492">
        <w:t>En sista utväg att komma till rätta med konstaterade problem inom den kommunala tillsynsverksamheten är att Livsmedelsverket övertar tillsynsa</w:t>
      </w:r>
      <w:r w:rsidRPr="00075492">
        <w:t>n</w:t>
      </w:r>
      <w:r w:rsidRPr="00075492">
        <w:t>svaret för en anläggning eller alla anläggningar i en hel kommun. I det sis</w:t>
      </w:r>
      <w:r w:rsidRPr="00075492">
        <w:t>t</w:t>
      </w:r>
      <w:r w:rsidRPr="00075492">
        <w:t>nämnda fallet bör regeringen besluta om en sådan åtgärd.</w:t>
      </w:r>
    </w:p>
    <w:p w:rsidR="00547E7E" w:rsidRPr="00075492" w:rsidRDefault="00547E7E">
      <w:pPr>
        <w:pStyle w:val="Normaltindrag"/>
      </w:pPr>
      <w:r w:rsidRPr="00075492">
        <w:br w:type="page"/>
      </w:r>
    </w:p>
    <w:p w:rsidR="00547E7E" w:rsidRPr="00075492" w:rsidRDefault="00547E7E">
      <w:pPr>
        <w:pBdr>
          <w:top w:val="single" w:sz="4" w:space="1" w:color="auto"/>
          <w:left w:val="single" w:sz="4" w:space="4" w:color="auto"/>
          <w:bottom w:val="single" w:sz="4" w:space="1" w:color="auto"/>
          <w:right w:val="single" w:sz="4" w:space="4" w:color="auto"/>
        </w:pBdr>
      </w:pPr>
      <w:r w:rsidRPr="00075492">
        <w:t xml:space="preserve">Revisorerna föreslår att: </w:t>
      </w:r>
    </w:p>
    <w:p w:rsidR="00547E7E" w:rsidRPr="00075492" w:rsidRDefault="00547E7E">
      <w:pPr>
        <w:numPr>
          <w:ilvl w:val="0"/>
          <w:numId w:val="263"/>
        </w:numPr>
        <w:pBdr>
          <w:top w:val="single" w:sz="4" w:space="1" w:color="auto"/>
          <w:left w:val="single" w:sz="4" w:space="4" w:color="auto"/>
          <w:bottom w:val="single" w:sz="4" w:space="1" w:color="auto"/>
          <w:right w:val="single" w:sz="4" w:space="4" w:color="auto"/>
        </w:pBdr>
      </w:pPr>
      <w:r w:rsidRPr="00075492">
        <w:t xml:space="preserve">regeringen lägger fram förslag till förändringar av livsmedelslagen för att underlätta för kommunerna att samverka med varandra vad gäller livsmedelstillsynen. Det bör finnas möjligheter för en kommun att avtala med en annan kommun om att utföra sådana uppgifter som inte innebär beslut i ärenden eller att uppdra åt anställd i en annan kommun att fatta beslut i vissa ärenden. </w:t>
      </w:r>
    </w:p>
    <w:p w:rsidR="00547E7E" w:rsidRPr="00075492" w:rsidRDefault="00547E7E">
      <w:pPr>
        <w:numPr>
          <w:ilvl w:val="0"/>
          <w:numId w:val="264"/>
        </w:numPr>
        <w:pBdr>
          <w:top w:val="single" w:sz="4" w:space="1" w:color="auto"/>
          <w:left w:val="single" w:sz="4" w:space="4" w:color="auto"/>
          <w:bottom w:val="single" w:sz="4" w:space="1" w:color="auto"/>
          <w:right w:val="single" w:sz="4" w:space="4" w:color="auto"/>
        </w:pBdr>
      </w:pPr>
      <w:r w:rsidRPr="00075492">
        <w:t xml:space="preserve">regeringen bör kunna besluta om att tillsynsansvaret för en hel kommun ska överföras till Livsmedelsverket. </w:t>
      </w:r>
    </w:p>
    <w:p w:rsidR="00547E7E" w:rsidRPr="00075492" w:rsidRDefault="00547E7E">
      <w:pPr>
        <w:pStyle w:val="Rubrik2-Utannumrering"/>
      </w:pPr>
      <w:bookmarkStart w:id="810" w:name="_Toc532284585"/>
      <w:bookmarkStart w:id="811" w:name="_Toc532292152"/>
      <w:bookmarkStart w:id="812" w:name="_Toc84699"/>
      <w:bookmarkStart w:id="813" w:name="_Toc6634658"/>
      <w:bookmarkStart w:id="814" w:name="_Toc6637240"/>
      <w:r w:rsidRPr="00075492">
        <w:t>Rapporteringen behöver förbättras</w:t>
      </w:r>
      <w:bookmarkEnd w:id="810"/>
      <w:bookmarkEnd w:id="811"/>
      <w:bookmarkEnd w:id="812"/>
      <w:bookmarkEnd w:id="813"/>
      <w:bookmarkEnd w:id="814"/>
    </w:p>
    <w:p w:rsidR="00547E7E" w:rsidRPr="00075492" w:rsidRDefault="00547E7E">
      <w:r w:rsidRPr="00075492">
        <w:t>Revisorerna kan konstatera att de uppgifter om livsmedelstillsynen som kommunerna lämnar till Livsmedelsverket i den årliga rapporteringen är bristfälliga. Väsentliga uppgifter såsom kostnader för verksamheten är u</w:t>
      </w:r>
      <w:r w:rsidRPr="00075492">
        <w:t>n</w:t>
      </w:r>
      <w:r w:rsidRPr="00075492">
        <w:t>dermåliga och uppgifterna om resurser, dvs. årsarbetskrafter eller inspekt</w:t>
      </w:r>
      <w:r w:rsidRPr="00075492">
        <w:t>ö</w:t>
      </w:r>
      <w:r w:rsidRPr="00075492">
        <w:t xml:space="preserve">rer, är inte fullständiga. Revisorerna anser att det är mycket viktigt att det sker en förbättring av kommunernas rapportering till Livsmedelsverket. </w:t>
      </w:r>
    </w:p>
    <w:p w:rsidR="00547E7E" w:rsidRPr="00075492" w:rsidRDefault="00547E7E">
      <w:pPr>
        <w:pStyle w:val="Normaltindrag"/>
      </w:pPr>
      <w:r w:rsidRPr="00075492">
        <w:t>Enligt revisorernas uppfattning bör sanktionsmöjligheter övervägas för de kommuner som inte lämnar efterfrågade uppgifter. En sådan sanktionsmö</w:t>
      </w:r>
      <w:r w:rsidRPr="00075492">
        <w:t>j</w:t>
      </w:r>
      <w:r w:rsidRPr="00075492">
        <w:t>lighet kan vara att ett vite utgår vid utebliven rapportering. Kommunernas rapportering är väsentlig dels för Livsmedelsverkets behov för att fullgöra uppgiften med att leda och samordna tillsynsverksamheten, dels för de ra</w:t>
      </w:r>
      <w:r w:rsidRPr="00075492">
        <w:t>p</w:t>
      </w:r>
      <w:r w:rsidRPr="00075492">
        <w:t>porteringskrav till kommissionen som finns.</w:t>
      </w:r>
    </w:p>
    <w:p w:rsidR="00547E7E" w:rsidRPr="00075492" w:rsidRDefault="00547E7E">
      <w:pPr>
        <w:pStyle w:val="Normaltindrag"/>
      </w:pPr>
      <w:r w:rsidRPr="00075492">
        <w:t>Ett problem med Livsmedelsverkets sammanställning och redovisning av kommunernas uppgifter är att det sker en stor tidsfördröjning mellan ko</w:t>
      </w:r>
      <w:r w:rsidRPr="00075492">
        <w:t>m</w:t>
      </w:r>
      <w:r w:rsidRPr="00075492">
        <w:t xml:space="preserve">munernas rapportering och Livsmedelsverkets publicering av resultaten. Detta beror bl.a. på försenade svar från kommunerna.  </w:t>
      </w:r>
    </w:p>
    <w:p w:rsidR="00547E7E" w:rsidRPr="00075492" w:rsidRDefault="00547E7E">
      <w:pPr>
        <w:pStyle w:val="Normaltindrag"/>
      </w:pPr>
      <w:r w:rsidRPr="00075492">
        <w:t>Ett annat problem är att Livsmedelsverket inte genomför några fördjupade analyser på grundval av kommunernas rapportering.</w:t>
      </w:r>
    </w:p>
    <w:p w:rsidR="00547E7E" w:rsidRPr="00075492" w:rsidRDefault="00547E7E">
      <w:pPr>
        <w:pStyle w:val="Normaltindrag"/>
      </w:pPr>
      <w:r w:rsidRPr="00075492">
        <w:t xml:space="preserve">Regeringen bör därför uppdra åt Livsmedelsverket att vidta åtgärder för att förbättra kvaliteten i kommunernas uppgifter och vid behov göra fördjupade analyser av resultatet. </w:t>
      </w:r>
    </w:p>
    <w:p w:rsidR="00547E7E" w:rsidRPr="00075492" w:rsidRDefault="00547E7E">
      <w:pPr>
        <w:pStyle w:val="Normaltindrag"/>
      </w:pPr>
      <w:r w:rsidRPr="00075492">
        <w:t>Livsmedelsverket har dels i årsredovisningar, dels på grundval av komm</w:t>
      </w:r>
      <w:r w:rsidRPr="00075492">
        <w:t>u</w:t>
      </w:r>
      <w:r w:rsidRPr="00075492">
        <w:t>nernas årliga rapportering redovisat resultatet av den kommunala livsm</w:t>
      </w:r>
      <w:r w:rsidRPr="00075492">
        <w:t>e</w:t>
      </w:r>
      <w:r w:rsidRPr="00075492">
        <w:t>delstillsynen till regeringen. Under ett antal år har Livsmedelsverket rappo</w:t>
      </w:r>
      <w:r w:rsidRPr="00075492">
        <w:t>r</w:t>
      </w:r>
      <w:r w:rsidRPr="00075492">
        <w:t>terat om de brister som verket har uppmärksammat i den kommunala tills</w:t>
      </w:r>
      <w:r w:rsidRPr="00075492">
        <w:t>y</w:t>
      </w:r>
      <w:r w:rsidRPr="00075492">
        <w:t xml:space="preserve">nen. </w:t>
      </w:r>
    </w:p>
    <w:p w:rsidR="00547E7E" w:rsidRPr="00075492" w:rsidRDefault="00547E7E">
      <w:pPr>
        <w:pStyle w:val="Normaltindrag"/>
      </w:pPr>
      <w:r w:rsidRPr="00075492">
        <w:t>Regeringen har tagit initiativ till olika utredningar, men har i övrigt inte vidtagit några åtgärder med anledning av Livsmedelsverkets ra</w:t>
      </w:r>
      <w:r w:rsidRPr="00075492">
        <w:t>p</w:t>
      </w:r>
      <w:r w:rsidRPr="00075492">
        <w:t>portering.</w:t>
      </w:r>
    </w:p>
    <w:p w:rsidR="00547E7E" w:rsidRPr="00075492" w:rsidRDefault="00547E7E">
      <w:pPr>
        <w:pStyle w:val="Normaltindrag"/>
        <w:ind w:right="84"/>
      </w:pPr>
      <w:r w:rsidRPr="00075492">
        <w:t>Riksdagen får för närvarande ingen information om resultatet av den kommunala livsmedelstillsynen. Redovisningen i budgetpropositionen är inte resultatinriktad.</w:t>
      </w:r>
    </w:p>
    <w:p w:rsidR="00547E7E" w:rsidRPr="00075492" w:rsidRDefault="00547E7E">
      <w:pPr>
        <w:pStyle w:val="Normaltindrag"/>
        <w:ind w:right="84"/>
      </w:pPr>
      <w:r w:rsidRPr="00075492">
        <w:t>Revisorerna föreslår att regeringen lämnar information till riksdagen om resultatet av den offentliga livsmedelstillsynen. Informationen bör omfatta både Livsmedelsverkets och kommunernas tillsynsverksamhet. Därigenom tillgodoses riksdagens behov av överblick över hur den offentliga livsm</w:t>
      </w:r>
      <w:r w:rsidRPr="00075492">
        <w:t>e</w:t>
      </w:r>
      <w:r w:rsidRPr="00075492">
        <w:t>delstillsynen fungerar. Detta är av särskild betydelse dels för återföring till riksdagen av hur lagstiftningen fungerar, dels i relation till vårt medlemskap inom EU.</w:t>
      </w:r>
    </w:p>
    <w:p w:rsidR="00547E7E" w:rsidRPr="00075492" w:rsidRDefault="00547E7E">
      <w:pPr>
        <w:pStyle w:val="Normaltindrag"/>
        <w:ind w:right="84"/>
      </w:pPr>
    </w:p>
    <w:p w:rsidR="00547E7E" w:rsidRPr="00075492" w:rsidRDefault="00547E7E">
      <w:pPr>
        <w:pBdr>
          <w:top w:val="single" w:sz="4" w:space="1" w:color="auto"/>
          <w:left w:val="single" w:sz="4" w:space="1" w:color="auto"/>
          <w:bottom w:val="single" w:sz="4" w:space="1" w:color="auto"/>
          <w:right w:val="single" w:sz="4" w:space="1" w:color="auto"/>
        </w:pBdr>
      </w:pPr>
      <w:r w:rsidRPr="00075492">
        <w:t>Revisorerna föreslår att:</w:t>
      </w:r>
    </w:p>
    <w:p w:rsidR="00547E7E" w:rsidRPr="00075492" w:rsidRDefault="00547E7E">
      <w:pPr>
        <w:numPr>
          <w:ilvl w:val="0"/>
          <w:numId w:val="224"/>
        </w:numPr>
        <w:pBdr>
          <w:top w:val="single" w:sz="4" w:space="1" w:color="auto"/>
          <w:left w:val="single" w:sz="4" w:space="1" w:color="auto"/>
          <w:bottom w:val="single" w:sz="4" w:space="1" w:color="auto"/>
          <w:right w:val="single" w:sz="4" w:space="1" w:color="auto"/>
        </w:pBdr>
      </w:pPr>
      <w:r w:rsidRPr="00075492">
        <w:t>regeringen utreder vilka sanktionsmöjligheter som är lämpliga att vidta när kommuner inte uppfyller rapporteringskraven. En sådan sanktion</w:t>
      </w:r>
      <w:r w:rsidRPr="00075492">
        <w:t>s</w:t>
      </w:r>
      <w:r w:rsidRPr="00075492">
        <w:t>möjlighet kan vara att ett vite utgår vid utebliven rapport</w:t>
      </w:r>
      <w:r w:rsidRPr="00075492">
        <w:t>e</w:t>
      </w:r>
      <w:r w:rsidRPr="00075492">
        <w:t xml:space="preserve">ring. </w:t>
      </w:r>
    </w:p>
    <w:p w:rsidR="00547E7E" w:rsidRPr="00075492" w:rsidRDefault="00547E7E">
      <w:pPr>
        <w:numPr>
          <w:ilvl w:val="0"/>
          <w:numId w:val="265"/>
        </w:numPr>
        <w:pBdr>
          <w:top w:val="single" w:sz="4" w:space="1" w:color="auto"/>
          <w:left w:val="single" w:sz="4" w:space="1" w:color="auto"/>
          <w:bottom w:val="single" w:sz="4" w:space="1" w:color="auto"/>
          <w:right w:val="single" w:sz="4" w:space="1" w:color="auto"/>
        </w:pBdr>
      </w:pPr>
      <w:r w:rsidRPr="00075492">
        <w:t>regeringen uppdrar åt Livsmedelsverket att vidta åtgärder för att förbät</w:t>
      </w:r>
      <w:r w:rsidRPr="00075492">
        <w:t>t</w:t>
      </w:r>
      <w:r w:rsidRPr="00075492">
        <w:t xml:space="preserve">ra kvaliteten i kommunernas uppgifter och vid behov göra fördjupade analyser av resultatet. </w:t>
      </w:r>
    </w:p>
    <w:p w:rsidR="00547E7E" w:rsidRPr="00075492" w:rsidRDefault="00547E7E">
      <w:pPr>
        <w:numPr>
          <w:ilvl w:val="0"/>
          <w:numId w:val="225"/>
        </w:numPr>
        <w:pBdr>
          <w:top w:val="single" w:sz="4" w:space="1" w:color="auto"/>
          <w:left w:val="single" w:sz="4" w:space="1" w:color="auto"/>
          <w:bottom w:val="single" w:sz="4" w:space="1" w:color="auto"/>
          <w:right w:val="single" w:sz="4" w:space="1" w:color="auto"/>
        </w:pBdr>
      </w:pPr>
      <w:r w:rsidRPr="00075492">
        <w:t>regeringen lämnar information till riksdagen om resultatet av den o</w:t>
      </w:r>
      <w:r w:rsidRPr="00075492">
        <w:t>f</w:t>
      </w:r>
      <w:r w:rsidRPr="00075492">
        <w:t xml:space="preserve">fentliga tillsynen. </w:t>
      </w:r>
    </w:p>
    <w:p w:rsidR="00547E7E" w:rsidRPr="00075492" w:rsidRDefault="00547E7E">
      <w:pPr>
        <w:pStyle w:val="Rubrik2-Utannumrering"/>
      </w:pPr>
      <w:bookmarkStart w:id="815" w:name="_Toc532284586"/>
      <w:bookmarkStart w:id="816" w:name="_Toc532292153"/>
      <w:bookmarkStart w:id="817" w:name="_Toc84700"/>
      <w:bookmarkStart w:id="818" w:name="_Toc6634659"/>
      <w:bookmarkStart w:id="819" w:name="_Toc6637241"/>
      <w:r w:rsidRPr="00075492">
        <w:t>Hur används sanktionssystemet?</w:t>
      </w:r>
      <w:bookmarkEnd w:id="815"/>
      <w:bookmarkEnd w:id="816"/>
      <w:bookmarkEnd w:id="817"/>
      <w:bookmarkEnd w:id="818"/>
      <w:bookmarkEnd w:id="819"/>
      <w:r w:rsidRPr="00075492">
        <w:t xml:space="preserve"> </w:t>
      </w:r>
    </w:p>
    <w:p w:rsidR="00547E7E" w:rsidRPr="00075492" w:rsidRDefault="00547E7E">
      <w:pPr>
        <w:ind w:right="84"/>
      </w:pPr>
      <w:r w:rsidRPr="00075492">
        <w:t>Ansvarsbestämmelserna i livsmedelslagen ändrades år 1989. Tillsynsmy</w:t>
      </w:r>
      <w:r w:rsidRPr="00075492">
        <w:t>n</w:t>
      </w:r>
      <w:r w:rsidRPr="00075492">
        <w:t>digheterna fick bl.a. en allmän skyldighet att verka för att överträdelser b</w:t>
      </w:r>
      <w:r w:rsidRPr="00075492">
        <w:t>e</w:t>
      </w:r>
      <w:r w:rsidRPr="00075492">
        <w:t>ivras. Straffsatsen för brott mot livsmedelslagen höjdes till två år i grova fall. Syftet med dessa regeländringar var att öka respekten för livsmedelsl</w:t>
      </w:r>
      <w:r w:rsidRPr="00075492">
        <w:t>a</w:t>
      </w:r>
      <w:r w:rsidRPr="00075492">
        <w:t xml:space="preserve">gen. </w:t>
      </w:r>
    </w:p>
    <w:p w:rsidR="00547E7E" w:rsidRPr="00075492" w:rsidRDefault="00547E7E">
      <w:pPr>
        <w:pStyle w:val="Normaltindrag"/>
        <w:ind w:right="84"/>
      </w:pPr>
      <w:r w:rsidRPr="00075492">
        <w:t>Befintlig statistik visar att användningen av sanktioner sannolikt inte har fått den omfattning som avsågs i samband med 1989 års riksdagsbeslut. Åtalsanmälan är mycket sällsynt. År 1999 gjordes 33 anmälningar om åtalsprövning. Vitesföreläggande utfärdades vid 74 tillfällen.</w:t>
      </w:r>
      <w:r w:rsidRPr="00075492">
        <w:t xml:space="preserve"> I Sverige finns ca 52 000 anläggningar som är föremål för livsmedelstillsyn. I förhållande till såväl antal anläggningar som att konstaterade brister inte är helt ovanligt torde nuvarande a</w:t>
      </w:r>
      <w:r w:rsidRPr="00075492">
        <w:t>n</w:t>
      </w:r>
      <w:r w:rsidRPr="00075492">
        <w:t>vändning av sanktioner vara tämligen begränsad.</w:t>
      </w:r>
    </w:p>
    <w:p w:rsidR="00547E7E" w:rsidRPr="00075492" w:rsidRDefault="00547E7E">
      <w:pPr>
        <w:pStyle w:val="Normaltindrag"/>
        <w:ind w:right="84"/>
      </w:pPr>
      <w:r w:rsidRPr="00075492">
        <w:t>Det uppges vara svårt för tillsynsmyndigheterna att få gehör hos polis- och åklagarmyndigheter vid anmälningar om brott mot livsmedelslagstif</w:t>
      </w:r>
      <w:r w:rsidRPr="00075492">
        <w:t>t</w:t>
      </w:r>
      <w:r w:rsidRPr="00075492">
        <w:t>ningen. Vid en rättsbehandling som resulterar i en fällande dom är påföljden vanligtvis låga bötesbelopp. Vitesföreläggande anses vara en mer användbar sanktion för att ko</w:t>
      </w:r>
      <w:r w:rsidRPr="00075492">
        <w:t>m</w:t>
      </w:r>
      <w:r w:rsidRPr="00075492">
        <w:t xml:space="preserve">ma till rätta med konstaterade brister. </w:t>
      </w:r>
    </w:p>
    <w:p w:rsidR="00547E7E" w:rsidRPr="00075492" w:rsidRDefault="00547E7E">
      <w:pPr>
        <w:pStyle w:val="Normaltindrag"/>
        <w:ind w:right="84"/>
      </w:pPr>
      <w:r w:rsidRPr="00075492">
        <w:t xml:space="preserve">Enligt Livsmedelsverket varierar tillämpningen av sanktionssystemet mellan olika kommuner. Som orsak till detta framförs bristande juridisk kompetens i kommunerna. </w:t>
      </w:r>
    </w:p>
    <w:p w:rsidR="00547E7E" w:rsidRPr="00075492" w:rsidRDefault="00547E7E">
      <w:pPr>
        <w:pStyle w:val="Normaltindrag"/>
        <w:ind w:right="84"/>
      </w:pPr>
      <w:r w:rsidRPr="00075492">
        <w:t>Livsmedelsverket har dock inte utarbetat någon vägledning för tilläm</w:t>
      </w:r>
      <w:r w:rsidRPr="00075492">
        <w:t>p</w:t>
      </w:r>
      <w:r w:rsidRPr="00075492">
        <w:t xml:space="preserve">ning av sanktionsinstrumenten. </w:t>
      </w:r>
    </w:p>
    <w:p w:rsidR="00547E7E" w:rsidRPr="00075492" w:rsidRDefault="00547E7E">
      <w:pPr>
        <w:pStyle w:val="Normaltindrag"/>
        <w:ind w:right="84"/>
      </w:pPr>
      <w:r w:rsidRPr="00075492">
        <w:t>Vid revisorernas tidigare granskning av livsmedelstillsynen, som gjordes för omkring sju år sedan, framhölls att flertalet kommuner bör kunna stärka sin tillsynsverksamhet genom bättre kunskap om rättstillämpningen inom livsmedelslagstiftningen (förslag 1994/95:RR8).</w:t>
      </w:r>
    </w:p>
    <w:p w:rsidR="00547E7E" w:rsidRPr="00075492" w:rsidRDefault="00547E7E">
      <w:pPr>
        <w:pStyle w:val="Normaltindrag"/>
      </w:pPr>
      <w:r w:rsidRPr="00075492">
        <w:t>Livsmedelsverket redovisade i sitt remissvar med anledning av revisore</w:t>
      </w:r>
      <w:r w:rsidRPr="00075492">
        <w:t>r</w:t>
      </w:r>
      <w:r w:rsidRPr="00075492">
        <w:t>nas rapport att verket redan hade beslutat att införa en rutin som innebar att kommunerna fick del av rättsfall.</w:t>
      </w:r>
    </w:p>
    <w:p w:rsidR="00547E7E" w:rsidRPr="00075492" w:rsidRDefault="00547E7E">
      <w:pPr>
        <w:pStyle w:val="Normaltindrag"/>
      </w:pPr>
      <w:r w:rsidRPr="00075492">
        <w:t xml:space="preserve">Revisorerna konstaterar i denna granskning att verket enbart publicerar principiellt viktiga rättsfall. </w:t>
      </w:r>
    </w:p>
    <w:p w:rsidR="00547E7E" w:rsidRPr="00075492" w:rsidRDefault="00547E7E">
      <w:pPr>
        <w:pStyle w:val="Normaltindrag"/>
      </w:pPr>
      <w:r w:rsidRPr="00075492">
        <w:t>Enligt Livsmedelsverket varierar den juridiska kompetensen i kommune</w:t>
      </w:r>
      <w:r w:rsidRPr="00075492">
        <w:t>r</w:t>
      </w:r>
      <w:r w:rsidRPr="00075492">
        <w:t>na. Det är därför väsentligt att Livsmedelsverket undersöker vilket behov som finns av att utarbeta vägledningar för tillämpning av sanktion</w:t>
      </w:r>
      <w:r w:rsidRPr="00075492">
        <w:t>s</w:t>
      </w:r>
      <w:r w:rsidRPr="00075492">
        <w:t xml:space="preserve">systemet.  </w:t>
      </w:r>
    </w:p>
    <w:p w:rsidR="00547E7E" w:rsidRPr="00075492" w:rsidRDefault="00547E7E">
      <w:pPr>
        <w:pStyle w:val="Normaltindrag"/>
      </w:pPr>
      <w:r w:rsidRPr="00075492">
        <w:t>Revisorerna konstaterar samtidigt att myndigheterna nu har större möjli</w:t>
      </w:r>
      <w:r w:rsidRPr="00075492">
        <w:t>g</w:t>
      </w:r>
      <w:r w:rsidRPr="00075492">
        <w:t>heter än tidigare att ge offentlighet åt resultat från tillsynen. Livsmedelsve</w:t>
      </w:r>
      <w:r w:rsidRPr="00075492">
        <w:t>r</w:t>
      </w:r>
      <w:r w:rsidRPr="00075492">
        <w:t>ket anser att ett offentliggörande av brister kan vara ett mycket verksamt medel för att åstadkomma rättelse. Revisorerna delar denna uppfattning. Livsmedelsverket bör, enligt revisorernas uppfattning, utarbeta lämplig i</w:t>
      </w:r>
      <w:r w:rsidRPr="00075492">
        <w:t>n</w:t>
      </w:r>
      <w:r w:rsidRPr="00075492">
        <w:t>formation till tillsynsmyndigheterna i syfte att underlätta för de kommunala tillsynsmyndigheterna att offentliggöra resultat från tills</w:t>
      </w:r>
      <w:r w:rsidRPr="00075492">
        <w:t>y</w:t>
      </w:r>
      <w:r w:rsidRPr="00075492">
        <w:t>nen.</w:t>
      </w:r>
    </w:p>
    <w:p w:rsidR="00547E7E" w:rsidRPr="00075492" w:rsidRDefault="00547E7E">
      <w:pPr>
        <w:pBdr>
          <w:top w:val="single" w:sz="4" w:space="1" w:color="auto"/>
          <w:left w:val="single" w:sz="4" w:space="4" w:color="auto"/>
          <w:bottom w:val="single" w:sz="4" w:space="1" w:color="auto"/>
          <w:right w:val="single" w:sz="4" w:space="4" w:color="auto"/>
        </w:pBdr>
      </w:pPr>
      <w:r w:rsidRPr="00075492">
        <w:t>Revisorerna föreslår att:</w:t>
      </w:r>
    </w:p>
    <w:p w:rsidR="00547E7E" w:rsidRPr="00075492" w:rsidRDefault="00547E7E">
      <w:pPr>
        <w:numPr>
          <w:ilvl w:val="0"/>
          <w:numId w:val="12"/>
        </w:numPr>
        <w:pBdr>
          <w:top w:val="single" w:sz="4" w:space="1" w:color="auto"/>
          <w:left w:val="single" w:sz="4" w:space="4" w:color="auto"/>
          <w:bottom w:val="single" w:sz="4" w:space="1" w:color="auto"/>
          <w:right w:val="single" w:sz="4" w:space="4" w:color="auto"/>
        </w:pBdr>
      </w:pPr>
      <w:r w:rsidRPr="00075492">
        <w:t>regeringen uppdrar åt Livsmedelsverket att utreda behovet av att uta</w:t>
      </w:r>
      <w:r w:rsidRPr="00075492">
        <w:t>r</w:t>
      </w:r>
      <w:r w:rsidRPr="00075492">
        <w:t>beta vägledningar för tillämpningar av sanktionssy</w:t>
      </w:r>
      <w:r w:rsidRPr="00075492">
        <w:t>s</w:t>
      </w:r>
      <w:r w:rsidRPr="00075492">
        <w:t>temet.</w:t>
      </w:r>
    </w:p>
    <w:p w:rsidR="00547E7E" w:rsidRPr="00075492" w:rsidRDefault="00547E7E">
      <w:pPr>
        <w:numPr>
          <w:ilvl w:val="0"/>
          <w:numId w:val="13"/>
        </w:numPr>
        <w:pBdr>
          <w:top w:val="single" w:sz="4" w:space="1" w:color="auto"/>
          <w:left w:val="single" w:sz="4" w:space="4" w:color="auto"/>
          <w:bottom w:val="single" w:sz="4" w:space="1" w:color="auto"/>
          <w:right w:val="single" w:sz="4" w:space="4" w:color="auto"/>
        </w:pBdr>
      </w:pPr>
      <w:r w:rsidRPr="00075492">
        <w:t>Livsmedelsverket tillhandahåller befintligt underlag som kan vara till stöd för tillämpnin</w:t>
      </w:r>
      <w:r w:rsidRPr="00075492">
        <w:t>g</w:t>
      </w:r>
      <w:r w:rsidRPr="00075492">
        <w:t>en i tillsynsarbetet.</w:t>
      </w:r>
    </w:p>
    <w:p w:rsidR="00547E7E" w:rsidRPr="00075492" w:rsidRDefault="00547E7E">
      <w:pPr>
        <w:numPr>
          <w:ilvl w:val="0"/>
          <w:numId w:val="14"/>
        </w:numPr>
        <w:pBdr>
          <w:top w:val="single" w:sz="4" w:space="1" w:color="auto"/>
          <w:left w:val="single" w:sz="4" w:space="4" w:color="auto"/>
          <w:bottom w:val="single" w:sz="4" w:space="1" w:color="auto"/>
          <w:right w:val="single" w:sz="4" w:space="4" w:color="auto"/>
        </w:pBdr>
      </w:pPr>
      <w:r w:rsidRPr="00075492">
        <w:t>regeringen uppdrar åt Livsmedelsverket att utarbeta lämplig information i syfte att underlätta för kommunerna att offentliggöra resultat från til</w:t>
      </w:r>
      <w:r w:rsidRPr="00075492">
        <w:t>l</w:t>
      </w:r>
      <w:r w:rsidRPr="00075492">
        <w:t xml:space="preserve">synen. </w:t>
      </w:r>
    </w:p>
    <w:p w:rsidR="00547E7E" w:rsidRPr="00075492" w:rsidRDefault="00547E7E">
      <w:pPr>
        <w:pStyle w:val="Rubrik2-Utannumrering"/>
      </w:pPr>
      <w:bookmarkStart w:id="820" w:name="_Toc532284587"/>
      <w:bookmarkStart w:id="821" w:name="_Toc532292154"/>
      <w:bookmarkStart w:id="822" w:name="_Toc84701"/>
      <w:bookmarkStart w:id="823" w:name="_Toc6634660"/>
      <w:bookmarkStart w:id="824" w:name="_Toc6637242"/>
      <w:r w:rsidRPr="00075492">
        <w:t>Kommissionens utvärderingar av livsmedelstillsynen i Sverige</w:t>
      </w:r>
      <w:bookmarkEnd w:id="820"/>
      <w:bookmarkEnd w:id="821"/>
      <w:bookmarkEnd w:id="822"/>
      <w:bookmarkEnd w:id="823"/>
      <w:bookmarkEnd w:id="824"/>
      <w:r w:rsidRPr="00075492">
        <w:t xml:space="preserve"> </w:t>
      </w:r>
    </w:p>
    <w:p w:rsidR="00547E7E" w:rsidRPr="00075492" w:rsidRDefault="00547E7E">
      <w:r w:rsidRPr="00075492">
        <w:t>Europeiska kommissionen övervakar medlemsländernas efterlevnad av r</w:t>
      </w:r>
      <w:r w:rsidRPr="00075492">
        <w:t>e</w:t>
      </w:r>
      <w:r w:rsidRPr="00075492">
        <w:t xml:space="preserve">gelverket genom utvärderingar. </w:t>
      </w:r>
    </w:p>
    <w:p w:rsidR="00547E7E" w:rsidRPr="00075492" w:rsidRDefault="00547E7E">
      <w:pPr>
        <w:pStyle w:val="Normaltindrag"/>
        <w:ind w:right="84"/>
      </w:pPr>
      <w:r w:rsidRPr="00075492">
        <w:t>Resultatet av kommissionens utvärderingar av den svenska livsmedelstil</w:t>
      </w:r>
      <w:r w:rsidRPr="00075492">
        <w:t>l</w:t>
      </w:r>
      <w:r w:rsidRPr="00075492">
        <w:t>synen visar att både Livsmedelsverkets och kommunernas tillsyn har brister vad gäller tillsynsfrekvens, tillväg</w:t>
      </w:r>
      <w:r w:rsidRPr="00075492">
        <w:t>a</w:t>
      </w:r>
      <w:r w:rsidRPr="00075492">
        <w:t xml:space="preserve">gångssätt och resurser. </w:t>
      </w:r>
    </w:p>
    <w:p w:rsidR="00547E7E" w:rsidRPr="00075492" w:rsidRDefault="00547E7E">
      <w:pPr>
        <w:pStyle w:val="Normaltindrag"/>
        <w:ind w:right="84"/>
      </w:pPr>
      <w:r w:rsidRPr="00075492">
        <w:t>Kommissionen anser att orsaken till variationen i kommunernas tillsyn</w:t>
      </w:r>
      <w:r w:rsidRPr="00075492">
        <w:t>s</w:t>
      </w:r>
      <w:r w:rsidRPr="00075492">
        <w:t>verksamhet bl.a. består i bristande styrning av Livsmedelsverket. Kommi</w:t>
      </w:r>
      <w:r w:rsidRPr="00075492">
        <w:t>s</w:t>
      </w:r>
      <w:r w:rsidRPr="00075492">
        <w:t>sionen anser att Livsmedelsverkets styrning kan bli bättre. Livsmedelsve</w:t>
      </w:r>
      <w:r w:rsidRPr="00075492">
        <w:t>r</w:t>
      </w:r>
      <w:r w:rsidRPr="00075492">
        <w:t>ket får också kritik för styrningen av besiktningsveterinärsorganisationen som ligger inom verkets egen organisation. De åtgärder som Livsmedel</w:t>
      </w:r>
      <w:r w:rsidRPr="00075492">
        <w:t>s</w:t>
      </w:r>
      <w:r w:rsidRPr="00075492">
        <w:t>verket har vidtagit med anledning av kommissionens kritik rör främst de anläg</w:t>
      </w:r>
      <w:r w:rsidRPr="00075492">
        <w:t>g</w:t>
      </w:r>
      <w:r w:rsidRPr="00075492">
        <w:t xml:space="preserve">ningar som verket självt har ett tillsynsansvar för. </w:t>
      </w:r>
    </w:p>
    <w:p w:rsidR="00547E7E" w:rsidRPr="00075492" w:rsidRDefault="00547E7E">
      <w:pPr>
        <w:pStyle w:val="Normaltindrag"/>
        <w:ind w:right="84"/>
      </w:pPr>
      <w:r w:rsidRPr="00075492">
        <w:t>Livsmedelsverket har i ett svar till kommissionen framhållit att den svenska grundlagen fö</w:t>
      </w:r>
      <w:r w:rsidRPr="00075492">
        <w:t>rhindrar verket att styra kommunerna hårdare än vad man gör i dag. Revisorerna delar inte denna uppfattning. I denna granskning har revisorerna konstaterat att Livsmedelsverket har långtgående befoge</w:t>
      </w:r>
      <w:r w:rsidRPr="00075492">
        <w:t>n</w:t>
      </w:r>
      <w:r w:rsidRPr="00075492">
        <w:t>heter att styra kommunerna. Livsmedelsverket använder i mycket begränsad utsträckning de möjligheter som regeringen har delegerat till verket.</w:t>
      </w:r>
    </w:p>
    <w:p w:rsidR="00547E7E" w:rsidRPr="00075492" w:rsidRDefault="00547E7E">
      <w:pPr>
        <w:pStyle w:val="Normaltindrag"/>
        <w:ind w:right="84"/>
      </w:pPr>
      <w:r w:rsidRPr="00075492">
        <w:t>Revisorerna anser att det är angeläget att Livsmedelsverket vidtar och r</w:t>
      </w:r>
      <w:r w:rsidRPr="00075492">
        <w:t>e</w:t>
      </w:r>
      <w:r w:rsidRPr="00075492">
        <w:t xml:space="preserve">dovisar vidtagna åtgärder med anledning av kritik från kommissionen. Livsmedelsverkets åtgärder bör, enligt revisorernas mening, avse samtliga punkter som kommissionen har kritiserat. </w:t>
      </w:r>
    </w:p>
    <w:p w:rsidR="00547E7E" w:rsidRPr="00075492" w:rsidRDefault="00547E7E">
      <w:pPr>
        <w:pStyle w:val="Normaltindrag"/>
        <w:ind w:right="84"/>
      </w:pPr>
      <w:r w:rsidRPr="00075492">
        <w:t>Revisorerna anser att det också är angeläget att Livsmedelsverket förbät</w:t>
      </w:r>
      <w:r w:rsidRPr="00075492">
        <w:t>t</w:t>
      </w:r>
      <w:r w:rsidRPr="00075492">
        <w:t xml:space="preserve">rar informationen om resultatet av kommissionens utvärderingar och vilka åtgärder som vidtas med anledning av kritik från kommissionen. </w:t>
      </w:r>
    </w:p>
    <w:p w:rsidR="00547E7E" w:rsidRPr="00075492" w:rsidRDefault="00547E7E">
      <w:pPr>
        <w:pBdr>
          <w:top w:val="single" w:sz="4" w:space="1" w:color="auto"/>
          <w:left w:val="single" w:sz="4" w:space="4" w:color="auto"/>
          <w:bottom w:val="single" w:sz="4" w:space="1" w:color="auto"/>
          <w:right w:val="single" w:sz="4" w:space="4" w:color="auto"/>
        </w:pBdr>
      </w:pPr>
      <w:r w:rsidRPr="00075492">
        <w:t>Revisorerna föreslår att:</w:t>
      </w:r>
    </w:p>
    <w:p w:rsidR="00547E7E" w:rsidRPr="00075492" w:rsidRDefault="00547E7E">
      <w:pPr>
        <w:numPr>
          <w:ilvl w:val="0"/>
          <w:numId w:val="16"/>
        </w:numPr>
        <w:pBdr>
          <w:top w:val="single" w:sz="4" w:space="1" w:color="auto"/>
          <w:left w:val="single" w:sz="4" w:space="4" w:color="auto"/>
          <w:bottom w:val="single" w:sz="4" w:space="1" w:color="auto"/>
          <w:right w:val="single" w:sz="4" w:space="4" w:color="auto"/>
        </w:pBdr>
      </w:pPr>
      <w:r w:rsidRPr="00075492">
        <w:t xml:space="preserve">regeringen uppdrar åt Livsmedelsverket att i sin årsredovisning dels redovisa kommissionens synpunkter på livsmedelstillsynen i Sverige, dels redovisa vilka åtgärder som verket har vidtagit med anledning av kommissionens kritik. </w:t>
      </w:r>
    </w:p>
    <w:p w:rsidR="00547E7E" w:rsidRPr="00075492" w:rsidRDefault="00547E7E">
      <w:pPr>
        <w:pStyle w:val="Rubrik2-Utannumrering"/>
      </w:pPr>
      <w:bookmarkStart w:id="825" w:name="_Toc532284588"/>
      <w:bookmarkStart w:id="826" w:name="_Toc532292155"/>
      <w:bookmarkStart w:id="827" w:name="_Toc84702"/>
      <w:bookmarkStart w:id="828" w:name="_Toc6634661"/>
      <w:bookmarkStart w:id="829" w:name="_Toc6637243"/>
      <w:r w:rsidRPr="00075492">
        <w:t>Behöver ansvarsfördelningen mellan stat och kommun förändras?</w:t>
      </w:r>
      <w:bookmarkEnd w:id="825"/>
      <w:bookmarkEnd w:id="826"/>
      <w:bookmarkEnd w:id="827"/>
      <w:bookmarkEnd w:id="828"/>
      <w:bookmarkEnd w:id="829"/>
    </w:p>
    <w:p w:rsidR="00547E7E" w:rsidRPr="00075492" w:rsidRDefault="00547E7E">
      <w:r w:rsidRPr="00075492">
        <w:t xml:space="preserve">Revisorerna har i denna rapport uppmärksammat ett antal områden där det finns behov av att genomföra större eller mindre förändringar som syftar till att åstadkomma en fullgod livsmedelstillsyn i hela landet. </w:t>
      </w:r>
    </w:p>
    <w:p w:rsidR="00547E7E" w:rsidRPr="00075492" w:rsidRDefault="00547E7E">
      <w:pPr>
        <w:pStyle w:val="Normaltindrag"/>
      </w:pPr>
      <w:r w:rsidRPr="00075492">
        <w:t>Revisorerna har under denna granskning inte funnit några motiv för att överväga en radikalt förändrad ansvarsfördelning mellan stat och kommun avseende livsmedelstillsynen. Sådana förändringar skulle kunna vara att all tillsynsverksamhet decentraliserades till kommunerna eller att all tillsyn</w:t>
      </w:r>
      <w:r w:rsidRPr="00075492">
        <w:t>s</w:t>
      </w:r>
      <w:r w:rsidRPr="00075492">
        <w:t xml:space="preserve">verksamhet förstatligas. </w:t>
      </w:r>
    </w:p>
    <w:p w:rsidR="00547E7E" w:rsidRPr="00075492" w:rsidRDefault="00547E7E">
      <w:pPr>
        <w:pStyle w:val="Normaltindrag"/>
        <w:ind w:right="84"/>
      </w:pPr>
      <w:r w:rsidRPr="00075492">
        <w:t>Den förstnämnda förändringen skulle innebära ett stort åtagande för Livsmedelsverket att främst utbilda men även att kontrollera att den ko</w:t>
      </w:r>
      <w:r w:rsidRPr="00075492">
        <w:t>m</w:t>
      </w:r>
      <w:r w:rsidRPr="00075492">
        <w:t>munala tillsynsverksamheten sker i enlighet med gällande regelverk. Rev</w:t>
      </w:r>
      <w:r w:rsidRPr="00075492">
        <w:t>i</w:t>
      </w:r>
      <w:r w:rsidRPr="00075492">
        <w:t>sorerna har i denna granskning kunnat konstatera att Livsmedelsverkets nuvarande kontroll av den kommunala tillsynsverksamheten är alltför b</w:t>
      </w:r>
      <w:r w:rsidRPr="00075492">
        <w:t>e</w:t>
      </w:r>
      <w:r w:rsidRPr="00075492">
        <w:t>gränsad och att den har minskat över tiden.</w:t>
      </w:r>
    </w:p>
    <w:p w:rsidR="00547E7E" w:rsidRPr="00075492" w:rsidRDefault="00547E7E">
      <w:pPr>
        <w:pStyle w:val="Normaltindrag"/>
        <w:ind w:right="84"/>
      </w:pPr>
      <w:r w:rsidRPr="00075492">
        <w:t>Ett förstatligande av livsmedelstillsynen skulle enligt revisorernas up</w:t>
      </w:r>
      <w:r w:rsidRPr="00075492">
        <w:t>p</w:t>
      </w:r>
      <w:r w:rsidRPr="00075492">
        <w:t>fattning knappast innebära ett effektivare resursutnyttjande. Tillsynsobje</w:t>
      </w:r>
      <w:r w:rsidRPr="00075492">
        <w:t>k</w:t>
      </w:r>
      <w:r w:rsidRPr="00075492">
        <w:t>tens antal och spridning talar för en fortsatt kommunal tillsynsverksamhet. Av Sveriges 52 000 anläggningar är ca 80 % mindre anläggningar som sy</w:t>
      </w:r>
      <w:r w:rsidRPr="00075492">
        <w:t>s</w:t>
      </w:r>
      <w:r w:rsidRPr="00075492">
        <w:t xml:space="preserve">selsätter mindre än 4 årsarbetskrafter. Tillsynsobjekten är spridda från Riksgränsen i norr till Smygehuk i söder. </w:t>
      </w:r>
    </w:p>
    <w:p w:rsidR="00547E7E" w:rsidRPr="00075492" w:rsidRDefault="00547E7E">
      <w:pPr>
        <w:pStyle w:val="Normaltindrag"/>
        <w:ind w:right="84"/>
      </w:pPr>
      <w:r w:rsidRPr="00075492">
        <w:t>Inom den kommunala livsmedelstillsynen finns också möjlighet att tillv</w:t>
      </w:r>
      <w:r w:rsidRPr="00075492">
        <w:t>a</w:t>
      </w:r>
      <w:r w:rsidRPr="00075492">
        <w:t>rata samordningsvinster med annan kommunal verksamhet, t.ex. miljö- och hälsoskydd samt plan- och byggverksamhet.</w:t>
      </w:r>
    </w:p>
    <w:p w:rsidR="00547E7E" w:rsidRPr="00075492" w:rsidRDefault="00547E7E">
      <w:pPr>
        <w:pStyle w:val="Normaltindrag"/>
        <w:ind w:right="84"/>
      </w:pPr>
      <w:r w:rsidRPr="00075492">
        <w:t>Således talar närhetsprincipen och effektivitetsskäl för en fortsatt ko</w:t>
      </w:r>
      <w:r w:rsidRPr="00075492">
        <w:t>m</w:t>
      </w:r>
      <w:r w:rsidRPr="00075492">
        <w:t>munal livsmedelstillsyn. I kombination med ett reformerat finansierings- och avgiftssystem samt en mer aktiv styrning och samordning från Livsm</w:t>
      </w:r>
      <w:r w:rsidRPr="00075492">
        <w:t>e</w:t>
      </w:r>
      <w:r w:rsidRPr="00075492">
        <w:t>delsverket bör förutsättningar finnas för en fullgod livsmedelstillsyn i hela landet.</w:t>
      </w:r>
    </w:p>
    <w:p w:rsidR="00547E7E" w:rsidRPr="00075492" w:rsidRDefault="00547E7E">
      <w:pPr>
        <w:pStyle w:val="Rubrik2-Utannumrering"/>
      </w:pPr>
      <w:r w:rsidRPr="00075492">
        <w:br w:type="page"/>
      </w:r>
      <w:bookmarkStart w:id="830" w:name="_Toc532284589"/>
      <w:bookmarkStart w:id="831" w:name="_Toc532292156"/>
      <w:bookmarkStart w:id="832" w:name="_Toc84703"/>
      <w:bookmarkStart w:id="833" w:name="_Toc6634662"/>
      <w:bookmarkStart w:id="834" w:name="_Toc6637244"/>
      <w:r w:rsidRPr="00075492">
        <w:t>Referenser</w:t>
      </w:r>
      <w:bookmarkEnd w:id="830"/>
      <w:bookmarkEnd w:id="831"/>
      <w:bookmarkEnd w:id="832"/>
      <w:bookmarkEnd w:id="833"/>
      <w:bookmarkEnd w:id="834"/>
    </w:p>
    <w:p w:rsidR="00547E7E" w:rsidRPr="00075492" w:rsidRDefault="00547E7E">
      <w:r w:rsidRPr="00075492">
        <w:t xml:space="preserve">Delfi Marknadspartner AB 2000. </w:t>
      </w:r>
      <w:r w:rsidRPr="00075492">
        <w:rPr>
          <w:i/>
        </w:rPr>
        <w:t>Storhushållsguiden.</w:t>
      </w:r>
    </w:p>
    <w:p w:rsidR="00547E7E" w:rsidRPr="00075492" w:rsidRDefault="00547E7E">
      <w:pPr>
        <w:rPr>
          <w:i/>
        </w:rPr>
      </w:pPr>
      <w:r w:rsidRPr="00075492">
        <w:t xml:space="preserve">EU-kommissionen (1996), </w:t>
      </w:r>
      <w:r w:rsidRPr="00075492">
        <w:rPr>
          <w:i/>
        </w:rPr>
        <w:t>Results on the evaluation of the official foodstuffs control system in Sweden by the European Commission Foodstuffs Asse</w:t>
      </w:r>
      <w:r w:rsidRPr="00075492">
        <w:rPr>
          <w:i/>
        </w:rPr>
        <w:t>s</w:t>
      </w:r>
      <w:r w:rsidRPr="00075492">
        <w:rPr>
          <w:i/>
        </w:rPr>
        <w:t>ment Team</w:t>
      </w:r>
    </w:p>
    <w:p w:rsidR="00547E7E" w:rsidRPr="00075492" w:rsidRDefault="00547E7E">
      <w:pPr>
        <w:rPr>
          <w:i/>
        </w:rPr>
      </w:pPr>
      <w:r w:rsidRPr="00075492">
        <w:t xml:space="preserve">EU-kommissionen (1998), </w:t>
      </w:r>
      <w:r w:rsidRPr="00075492">
        <w:rPr>
          <w:i/>
        </w:rPr>
        <w:t>Utfall av det andra besöket av Europeiska ko</w:t>
      </w:r>
      <w:r w:rsidRPr="00075492">
        <w:rPr>
          <w:i/>
        </w:rPr>
        <w:t>m</w:t>
      </w:r>
      <w:r w:rsidRPr="00075492">
        <w:rPr>
          <w:i/>
        </w:rPr>
        <w:t>missionens team för bedömning av livsmedel för att utvärdera systemet för offentlig kontroll av livsmedel i Sverige</w:t>
      </w:r>
    </w:p>
    <w:p w:rsidR="00547E7E" w:rsidRPr="00075492" w:rsidRDefault="00547E7E">
      <w:pPr>
        <w:rPr>
          <w:i/>
        </w:rPr>
      </w:pPr>
      <w:r w:rsidRPr="00075492">
        <w:t xml:space="preserve">EU-kommissionen / FVO (2000), DG(SANCO)/1134/2000, </w:t>
      </w:r>
      <w:r w:rsidRPr="00075492">
        <w:rPr>
          <w:i/>
        </w:rPr>
        <w:t>Final report of a mission carried out in Sweden from 3 april to 7 april 2000 in order to eval</w:t>
      </w:r>
      <w:r w:rsidRPr="00075492">
        <w:rPr>
          <w:i/>
        </w:rPr>
        <w:t>u</w:t>
      </w:r>
      <w:r w:rsidRPr="00075492">
        <w:rPr>
          <w:i/>
        </w:rPr>
        <w:t>ate the official foodstuffs control system and in particular the implementation of control on food of non-animal origin</w:t>
      </w:r>
    </w:p>
    <w:p w:rsidR="00547E7E" w:rsidRPr="00075492" w:rsidRDefault="00547E7E">
      <w:r w:rsidRPr="00075492">
        <w:t xml:space="preserve">EU-kommissionen / FVO, DG(SANCO)/1153/1999, </w:t>
      </w:r>
      <w:r w:rsidRPr="00075492">
        <w:rPr>
          <w:i/>
        </w:rPr>
        <w:t>Utkast till rapport från en inspektionsresa till Sverige den 27 september till den 1 oktober 1999 om utvärderingen av tillämpningen av rådets direktiv 92/46/EEG om faststä</w:t>
      </w:r>
      <w:r w:rsidRPr="00075492">
        <w:rPr>
          <w:i/>
        </w:rPr>
        <w:t>l</w:t>
      </w:r>
      <w:r w:rsidRPr="00075492">
        <w:rPr>
          <w:i/>
        </w:rPr>
        <w:t>lande av hygienregler för produktion och utsläppande på marknaden av rå mjölk, värmebehandlad mjölk och mjölkbaserade produkter</w:t>
      </w:r>
    </w:p>
    <w:p w:rsidR="00547E7E" w:rsidRPr="00075492" w:rsidRDefault="00547E7E">
      <w:r w:rsidRPr="00075492">
        <w:t xml:space="preserve">EU-kommissionen / FVO, DG(SANCO)/1135/2000, </w:t>
      </w:r>
      <w:r w:rsidRPr="00075492">
        <w:rPr>
          <w:i/>
        </w:rPr>
        <w:t>Slutlig rapport om ett uppdrag utfört i Sverige 3 – 14 april 2000 angående livsmedelsproduktion – fjäderkött</w:t>
      </w:r>
    </w:p>
    <w:p w:rsidR="00547E7E" w:rsidRPr="00075492" w:rsidRDefault="00547E7E">
      <w:r w:rsidRPr="00075492">
        <w:t xml:space="preserve">EU-kommissionen / FVO, DG(SANCO)/1189/2000, </w:t>
      </w:r>
      <w:r w:rsidRPr="00075492">
        <w:rPr>
          <w:i/>
        </w:rPr>
        <w:t>Slutlig rapport om ett besök i Sverige 18 – 22 september 2000 inom området kontrollsystem för utsläppande på marknaden och användning av växtskyddsmedel samt för rester av bekämpningsmedel i livsmedel med vegetabiliskt ursprung</w:t>
      </w:r>
    </w:p>
    <w:p w:rsidR="00547E7E" w:rsidRPr="00075492" w:rsidRDefault="00547E7E">
      <w:r w:rsidRPr="00075492">
        <w:t xml:space="preserve">EU-kommissionen / FVO, DG(SANCO)/1216/2000, </w:t>
      </w:r>
      <w:r w:rsidRPr="00075492">
        <w:rPr>
          <w:i/>
        </w:rPr>
        <w:t>Slutlig rapport om ett besök i Sverige den 4 – 8 september 2000 för att utvärdera kontrollförfara</w:t>
      </w:r>
      <w:r w:rsidRPr="00075492">
        <w:rPr>
          <w:i/>
        </w:rPr>
        <w:t>n</w:t>
      </w:r>
      <w:r w:rsidRPr="00075492">
        <w:rPr>
          <w:i/>
        </w:rPr>
        <w:t>dena i samband med produktion och utsläppande på marknaden av köttpr</w:t>
      </w:r>
      <w:r w:rsidRPr="00075492">
        <w:rPr>
          <w:i/>
        </w:rPr>
        <w:t>o</w:t>
      </w:r>
      <w:r w:rsidRPr="00075492">
        <w:rPr>
          <w:i/>
        </w:rPr>
        <w:t>dukter, köttberedningar, malet kött och inälvspr</w:t>
      </w:r>
      <w:r w:rsidRPr="00075492">
        <w:rPr>
          <w:i/>
        </w:rPr>
        <w:t>o</w:t>
      </w:r>
      <w:r w:rsidRPr="00075492">
        <w:rPr>
          <w:i/>
        </w:rPr>
        <w:t>dukter</w:t>
      </w:r>
    </w:p>
    <w:p w:rsidR="00547E7E" w:rsidRPr="00075492" w:rsidRDefault="00547E7E">
      <w:r w:rsidRPr="00075492">
        <w:t xml:space="preserve">EU-kommissionen / FVO, DG(SANCO)/1226/2000, </w:t>
      </w:r>
      <w:r w:rsidRPr="00075492">
        <w:rPr>
          <w:i/>
        </w:rPr>
        <w:t>Slutlig rapport om ett besök i Sverige 16 – 20 oktober 2000 för att utvärdera kontrollförfarandena i samband med produktionen av kött från vilda djur i hägn och viltkött</w:t>
      </w:r>
    </w:p>
    <w:p w:rsidR="00547E7E" w:rsidRPr="00075492" w:rsidRDefault="00547E7E">
      <w:r w:rsidRPr="00075492">
        <w:t xml:space="preserve">EU-kommissionen / FVO, DG(SANCO)/1271/2000, </w:t>
      </w:r>
      <w:r w:rsidRPr="00075492">
        <w:rPr>
          <w:i/>
        </w:rPr>
        <w:t>Final report of a mi</w:t>
      </w:r>
      <w:r w:rsidRPr="00075492">
        <w:rPr>
          <w:i/>
        </w:rPr>
        <w:t>s</w:t>
      </w:r>
      <w:r w:rsidRPr="00075492">
        <w:rPr>
          <w:i/>
        </w:rPr>
        <w:t>sion to Sweden from 23 to 27 october 2000 concerning border inspection posts</w:t>
      </w:r>
    </w:p>
    <w:p w:rsidR="00547E7E" w:rsidRPr="00075492" w:rsidRDefault="00547E7E">
      <w:r w:rsidRPr="00075492">
        <w:t xml:space="preserve">EU-kommissionen / FVO, DG(SANCO)/3236/2001, </w:t>
      </w:r>
      <w:r w:rsidRPr="00075492">
        <w:rPr>
          <w:i/>
        </w:rPr>
        <w:t>Report of a mission carried out in Sweden from 5/02/2001 to 9/02/2001 in order to evaluate the application of control measures to protect against bovine spongiform e</w:t>
      </w:r>
      <w:r w:rsidRPr="00075492">
        <w:rPr>
          <w:i/>
        </w:rPr>
        <w:t>n</w:t>
      </w:r>
      <w:r w:rsidRPr="00075492">
        <w:rPr>
          <w:i/>
        </w:rPr>
        <w:t>cephalopathy (BSE)</w:t>
      </w:r>
    </w:p>
    <w:p w:rsidR="00547E7E" w:rsidRPr="00075492" w:rsidRDefault="00547E7E">
      <w:r w:rsidRPr="00075492">
        <w:t xml:space="preserve">EU-kommissionen / FVO, DG(SANCO)/1218/1999, </w:t>
      </w:r>
      <w:r w:rsidRPr="00075492">
        <w:rPr>
          <w:i/>
        </w:rPr>
        <w:t>Final report on a mi</w:t>
      </w:r>
      <w:r w:rsidRPr="00075492">
        <w:rPr>
          <w:i/>
        </w:rPr>
        <w:t>s</w:t>
      </w:r>
      <w:r w:rsidRPr="00075492">
        <w:rPr>
          <w:i/>
        </w:rPr>
        <w:t>sion carried out in Finland from 25 October  to 29 October 1999 in order to evaluate the official foodstuffs control system and in particular the impl</w:t>
      </w:r>
      <w:r w:rsidRPr="00075492">
        <w:rPr>
          <w:i/>
        </w:rPr>
        <w:t>e</w:t>
      </w:r>
      <w:r w:rsidRPr="00075492">
        <w:rPr>
          <w:i/>
        </w:rPr>
        <w:t>mentation of controls of food of non-animal origin in the retail sector</w:t>
      </w:r>
    </w:p>
    <w:p w:rsidR="00547E7E" w:rsidRPr="00075492" w:rsidRDefault="00547E7E">
      <w:r w:rsidRPr="00075492">
        <w:t xml:space="preserve">EU-kommissionen / FVO, DG(SANCO)/1258/2000, </w:t>
      </w:r>
      <w:r w:rsidRPr="00075492">
        <w:rPr>
          <w:i/>
        </w:rPr>
        <w:t>Final report on a mi</w:t>
      </w:r>
      <w:r w:rsidRPr="00075492">
        <w:rPr>
          <w:i/>
        </w:rPr>
        <w:t>s</w:t>
      </w:r>
      <w:r w:rsidRPr="00075492">
        <w:rPr>
          <w:i/>
        </w:rPr>
        <w:t>sion carried out in Italy from 18  to 22 September 2000 in order to evaluate the official foodstuffs control system and in particular the implementation of controls of food of non-animal or</w:t>
      </w:r>
      <w:r w:rsidRPr="00075492">
        <w:rPr>
          <w:i/>
        </w:rPr>
        <w:t>i</w:t>
      </w:r>
      <w:r w:rsidRPr="00075492">
        <w:rPr>
          <w:i/>
        </w:rPr>
        <w:t>gin in the retail sector</w:t>
      </w:r>
    </w:p>
    <w:p w:rsidR="00547E7E" w:rsidRPr="00075492" w:rsidRDefault="00547E7E">
      <w:r w:rsidRPr="00075492">
        <w:t xml:space="preserve">EU-kommissionen / FVO, DG(SANCO)/1259/2000, </w:t>
      </w:r>
      <w:r w:rsidRPr="00075492">
        <w:rPr>
          <w:i/>
        </w:rPr>
        <w:t>Final report on a mi</w:t>
      </w:r>
      <w:r w:rsidRPr="00075492">
        <w:rPr>
          <w:i/>
        </w:rPr>
        <w:t>s</w:t>
      </w:r>
      <w:r w:rsidRPr="00075492">
        <w:rPr>
          <w:i/>
        </w:rPr>
        <w:t>sion carried out in Germany from 30 October  to 3 November 2000 in order to evaluate the official foodstuffs control system and in particular the impl</w:t>
      </w:r>
      <w:r w:rsidRPr="00075492">
        <w:rPr>
          <w:i/>
        </w:rPr>
        <w:t>e</w:t>
      </w:r>
      <w:r w:rsidRPr="00075492">
        <w:rPr>
          <w:i/>
        </w:rPr>
        <w:t>mentation of controls of food of non-animal origin in the retail sector</w:t>
      </w:r>
    </w:p>
    <w:p w:rsidR="00547E7E" w:rsidRPr="00075492" w:rsidRDefault="00547E7E">
      <w:r w:rsidRPr="00075492">
        <w:t xml:space="preserve">EU-kommissionen / FVO, DG(SANCO)/1260/2000, </w:t>
      </w:r>
      <w:r w:rsidRPr="00075492">
        <w:rPr>
          <w:i/>
        </w:rPr>
        <w:t>Final report on a mi</w:t>
      </w:r>
      <w:r w:rsidRPr="00075492">
        <w:rPr>
          <w:i/>
        </w:rPr>
        <w:t>s</w:t>
      </w:r>
      <w:r w:rsidRPr="00075492">
        <w:rPr>
          <w:i/>
        </w:rPr>
        <w:t>sion carried out in the Netherlands from 11</w:t>
      </w:r>
      <w:r w:rsidRPr="00075492">
        <w:rPr>
          <w:i/>
          <w:vertAlign w:val="superscript"/>
        </w:rPr>
        <w:t>th</w:t>
      </w:r>
      <w:r w:rsidRPr="00075492">
        <w:rPr>
          <w:i/>
        </w:rPr>
        <w:t xml:space="preserve"> December to 15</w:t>
      </w:r>
      <w:r w:rsidRPr="00075492">
        <w:rPr>
          <w:i/>
          <w:vertAlign w:val="superscript"/>
        </w:rPr>
        <w:t>th</w:t>
      </w:r>
      <w:r w:rsidRPr="00075492">
        <w:rPr>
          <w:i/>
        </w:rPr>
        <w:t xml:space="preserve"> December 2000 in order to evaluate the official foodstuffs control system and in part</w:t>
      </w:r>
      <w:r w:rsidRPr="00075492">
        <w:rPr>
          <w:i/>
        </w:rPr>
        <w:t>i</w:t>
      </w:r>
      <w:r w:rsidRPr="00075492">
        <w:rPr>
          <w:i/>
        </w:rPr>
        <w:t>cular the implementation of controls of food of non-animal origin in the retail sector</w:t>
      </w:r>
    </w:p>
    <w:p w:rsidR="00547E7E" w:rsidRPr="00075492" w:rsidRDefault="00547E7E">
      <w:r w:rsidRPr="00075492">
        <w:t>Jordbruksutskottets betänkanden 1989/90:JoU14, 1989/90:JoU8</w:t>
      </w:r>
    </w:p>
    <w:p w:rsidR="00547E7E" w:rsidRPr="00075492" w:rsidRDefault="00547E7E">
      <w:pPr>
        <w:jc w:val="left"/>
      </w:pPr>
      <w:r w:rsidRPr="00075492">
        <w:t xml:space="preserve">Konkurrensverket 2000. </w:t>
      </w:r>
      <w:r w:rsidRPr="00075492">
        <w:rPr>
          <w:i/>
        </w:rPr>
        <w:t xml:space="preserve">Konkurrensen i Sverige. </w:t>
      </w:r>
    </w:p>
    <w:p w:rsidR="00547E7E" w:rsidRPr="00075492" w:rsidRDefault="00547E7E">
      <w:pPr>
        <w:jc w:val="left"/>
      </w:pPr>
      <w:r w:rsidRPr="00075492">
        <w:t xml:space="preserve">Konsumentkooperationen 2000. </w:t>
      </w:r>
      <w:r w:rsidRPr="00075492">
        <w:rPr>
          <w:i/>
        </w:rPr>
        <w:t>Tilltro till särarten. Verksamh</w:t>
      </w:r>
      <w:r w:rsidRPr="00075492">
        <w:rPr>
          <w:i/>
        </w:rPr>
        <w:t>e</w:t>
      </w:r>
      <w:r w:rsidRPr="00075492">
        <w:rPr>
          <w:i/>
        </w:rPr>
        <w:t>ten 2000</w:t>
      </w:r>
      <w:r w:rsidRPr="00075492">
        <w:t xml:space="preserve">. </w:t>
      </w:r>
    </w:p>
    <w:p w:rsidR="00547E7E" w:rsidRPr="00075492" w:rsidRDefault="00547E7E">
      <w:r w:rsidRPr="00075492">
        <w:t>Lagutskottets betänkande 1994/95:LU20</w:t>
      </w:r>
    </w:p>
    <w:p w:rsidR="00547E7E" w:rsidRPr="00075492" w:rsidRDefault="00547E7E">
      <w:r w:rsidRPr="00075492">
        <w:t xml:space="preserve">Livsmedelsverket (2000): </w:t>
      </w:r>
      <w:r w:rsidRPr="00075492">
        <w:rPr>
          <w:i/>
        </w:rPr>
        <w:t>Effektivare livsmedelstillsyn – förslag till arbet</w:t>
      </w:r>
      <w:r w:rsidRPr="00075492">
        <w:rPr>
          <w:i/>
        </w:rPr>
        <w:t>s</w:t>
      </w:r>
      <w:r w:rsidRPr="00075492">
        <w:rPr>
          <w:i/>
        </w:rPr>
        <w:t>sätt, organisation och finansiering</w:t>
      </w:r>
      <w:r w:rsidRPr="00075492">
        <w:t>. Rapport 9-2000</w:t>
      </w:r>
    </w:p>
    <w:p w:rsidR="00547E7E" w:rsidRPr="00075492" w:rsidRDefault="00547E7E">
      <w:r w:rsidRPr="00075492">
        <w:t xml:space="preserve">Livsmedelsverkets </w:t>
      </w:r>
      <w:r w:rsidRPr="00075492">
        <w:rPr>
          <w:i/>
        </w:rPr>
        <w:t>förslag till normer och avgifter för anläggningar som producerar livsmedel med animalisk innehåll.</w:t>
      </w:r>
      <w:r w:rsidRPr="00075492">
        <w:t xml:space="preserve"> 1995-03-22. Dnr ad845/94</w:t>
      </w:r>
    </w:p>
    <w:p w:rsidR="00547E7E" w:rsidRPr="00075492" w:rsidRDefault="00547E7E">
      <w:r w:rsidRPr="00075492">
        <w:t xml:space="preserve">Livsmedelsverket </w:t>
      </w:r>
      <w:r w:rsidRPr="00075492">
        <w:rPr>
          <w:i/>
        </w:rPr>
        <w:t>Rapportering om livsmedelstillsynen</w:t>
      </w:r>
      <w:r w:rsidRPr="00075492">
        <w:t xml:space="preserve"> 21/95, 21/96, 31/97, 20/98, 16/99 </w:t>
      </w:r>
    </w:p>
    <w:p w:rsidR="00547E7E" w:rsidRPr="00075492" w:rsidRDefault="00547E7E">
      <w:r w:rsidRPr="00075492">
        <w:t xml:space="preserve">Livsmedelsverket (2001-01-21), </w:t>
      </w:r>
      <w:r w:rsidRPr="00075492">
        <w:rPr>
          <w:i/>
        </w:rPr>
        <w:t>Sveriges kommentarer till utkastet till rap</w:t>
      </w:r>
      <w:r w:rsidRPr="00075492">
        <w:rPr>
          <w:i/>
        </w:rPr>
        <w:t>p</w:t>
      </w:r>
      <w:r w:rsidRPr="00075492">
        <w:rPr>
          <w:i/>
        </w:rPr>
        <w:t>ort från inspektionsresa den 27 september – 1 oktober 1999 avseende ti</w:t>
      </w:r>
      <w:r w:rsidRPr="00075492">
        <w:rPr>
          <w:i/>
        </w:rPr>
        <w:t>l</w:t>
      </w:r>
      <w:r w:rsidRPr="00075492">
        <w:rPr>
          <w:i/>
        </w:rPr>
        <w:t>lämpning av direktiv 92/46/EEG</w:t>
      </w:r>
      <w:r w:rsidRPr="00075492">
        <w:t xml:space="preserve"> </w:t>
      </w:r>
    </w:p>
    <w:p w:rsidR="00547E7E" w:rsidRPr="00075492" w:rsidRDefault="00547E7E">
      <w:r w:rsidRPr="00075492">
        <w:t xml:space="preserve">Livsmedelsverket (2000-07-14), </w:t>
      </w:r>
      <w:r w:rsidRPr="00075492">
        <w:rPr>
          <w:i/>
        </w:rPr>
        <w:t>Sweden’s comments on the draft report on the mission to Sweden on 3 – 7 April 2000</w:t>
      </w:r>
    </w:p>
    <w:p w:rsidR="00547E7E" w:rsidRPr="00075492" w:rsidRDefault="00547E7E">
      <w:r w:rsidRPr="00075492">
        <w:t xml:space="preserve">Livsmedelsverket </w:t>
      </w:r>
      <w:r w:rsidRPr="00075492">
        <w:rPr>
          <w:i/>
        </w:rPr>
        <w:t xml:space="preserve"> Årsredovisningar för åren 1991/92-2000</w:t>
      </w:r>
    </w:p>
    <w:p w:rsidR="00547E7E" w:rsidRPr="00075492" w:rsidRDefault="00547E7E">
      <w:r w:rsidRPr="00075492">
        <w:t xml:space="preserve">Livsmedelsverket (1998) </w:t>
      </w:r>
      <w:r w:rsidRPr="00075492">
        <w:rPr>
          <w:i/>
        </w:rPr>
        <w:t>Livsmedelstillsyn, Information till företag som hanterar livsmedel. Din och kundens garanti för säkra livsmedel</w:t>
      </w:r>
    </w:p>
    <w:p w:rsidR="00547E7E" w:rsidRPr="00075492" w:rsidRDefault="00547E7E">
      <w:r w:rsidRPr="00075492">
        <w:t xml:space="preserve">Länsstyrelsernas </w:t>
      </w:r>
      <w:r w:rsidRPr="00075492">
        <w:rPr>
          <w:i/>
        </w:rPr>
        <w:t>årsredovisningar år 2000</w:t>
      </w:r>
    </w:p>
    <w:p w:rsidR="00547E7E" w:rsidRPr="00075492" w:rsidRDefault="00547E7E">
      <w:r w:rsidRPr="00075492">
        <w:t>Naturvårdsverket (2000)</w:t>
      </w:r>
      <w:r w:rsidRPr="00075492">
        <w:rPr>
          <w:i/>
        </w:rPr>
        <w:t xml:space="preserve"> Kommunernas organisation för tillsyn över milj</w:t>
      </w:r>
      <w:r w:rsidRPr="00075492">
        <w:rPr>
          <w:i/>
        </w:rPr>
        <w:t>ö</w:t>
      </w:r>
      <w:r w:rsidRPr="00075492">
        <w:rPr>
          <w:i/>
        </w:rPr>
        <w:t>farlig verksamhet</w:t>
      </w:r>
      <w:r w:rsidRPr="00075492">
        <w:t>, Rapport 5127</w:t>
      </w:r>
    </w:p>
    <w:p w:rsidR="00547E7E" w:rsidRPr="00075492" w:rsidRDefault="00547E7E">
      <w:pPr>
        <w:rPr>
          <w:i/>
        </w:rPr>
      </w:pPr>
      <w:r w:rsidRPr="00075492">
        <w:t xml:space="preserve">Prop. 1988/89:68 </w:t>
      </w:r>
      <w:r w:rsidRPr="00075492">
        <w:rPr>
          <w:i/>
        </w:rPr>
        <w:t>Livsmedelskontroll</w:t>
      </w:r>
    </w:p>
    <w:p w:rsidR="00547E7E" w:rsidRPr="00075492" w:rsidRDefault="00547E7E">
      <w:r w:rsidRPr="00075492">
        <w:t xml:space="preserve">Prop. 1999/2000:1, </w:t>
      </w:r>
      <w:r w:rsidRPr="00075492">
        <w:rPr>
          <w:i/>
        </w:rPr>
        <w:t>Budgetpropositionen för år 2000,</w:t>
      </w:r>
      <w:r w:rsidRPr="00075492">
        <w:t xml:space="preserve"> utgiftsomr</w:t>
      </w:r>
      <w:r w:rsidRPr="00075492">
        <w:t>å</w:t>
      </w:r>
      <w:r w:rsidRPr="00075492">
        <w:t xml:space="preserve">de 23 </w:t>
      </w:r>
    </w:p>
    <w:p w:rsidR="00547E7E" w:rsidRPr="00075492" w:rsidRDefault="00547E7E">
      <w:r w:rsidRPr="00075492">
        <w:t xml:space="preserve">Prop. 2000/2001, </w:t>
      </w:r>
      <w:r w:rsidRPr="00075492">
        <w:rPr>
          <w:i/>
        </w:rPr>
        <w:t>Budgetpropositionen för år 2001,</w:t>
      </w:r>
      <w:r w:rsidRPr="00075492">
        <w:t xml:space="preserve"> utgiftsområde 23</w:t>
      </w:r>
    </w:p>
    <w:p w:rsidR="00547E7E" w:rsidRPr="00075492" w:rsidRDefault="00547E7E">
      <w:r w:rsidRPr="00075492">
        <w:t xml:space="preserve">Riksdagens revisorers förslag angående </w:t>
      </w:r>
      <w:r w:rsidRPr="00075492">
        <w:rPr>
          <w:i/>
        </w:rPr>
        <w:t>Kontroll av livsmedel</w:t>
      </w:r>
      <w:r w:rsidRPr="00075492">
        <w:t>, Förslag till riksdagen 1994/95:RR8</w:t>
      </w:r>
    </w:p>
    <w:p w:rsidR="00547E7E" w:rsidRPr="00075492" w:rsidRDefault="00547E7E">
      <w:r w:rsidRPr="00075492">
        <w:t>Riksdagsskrivelse 1994/95:268, 269</w:t>
      </w:r>
    </w:p>
    <w:p w:rsidR="00547E7E" w:rsidRPr="00075492" w:rsidRDefault="00547E7E">
      <w:r w:rsidRPr="00075492">
        <w:t xml:space="preserve">Regeringens skrivelse, </w:t>
      </w:r>
      <w:r w:rsidRPr="00075492">
        <w:rPr>
          <w:i/>
        </w:rPr>
        <w:t>Om ett nytt avgiftssystem inom livsmedelskontrollen,</w:t>
      </w:r>
      <w:r w:rsidRPr="00075492">
        <w:t xml:space="preserve"> Skr. 1989/90:45</w:t>
      </w:r>
    </w:p>
    <w:p w:rsidR="00547E7E" w:rsidRPr="00075492" w:rsidRDefault="00547E7E">
      <w:r w:rsidRPr="00075492">
        <w:t xml:space="preserve">RRV </w:t>
      </w:r>
      <w:r w:rsidRPr="00075492">
        <w:rPr>
          <w:i/>
        </w:rPr>
        <w:t>Revisionspromemoria</w:t>
      </w:r>
      <w:r w:rsidRPr="00075492">
        <w:t xml:space="preserve"> (2001-03-30)</w:t>
      </w:r>
    </w:p>
    <w:p w:rsidR="00547E7E" w:rsidRPr="00075492" w:rsidRDefault="00547E7E">
      <w:pPr>
        <w:jc w:val="left"/>
      </w:pPr>
      <w:r w:rsidRPr="00075492">
        <w:t>SCB 2000.</w:t>
      </w:r>
      <w:r w:rsidRPr="00075492">
        <w:rPr>
          <w:i/>
        </w:rPr>
        <w:t xml:space="preserve"> BASFAKTA 2000. Tabeller ur företag</w:t>
      </w:r>
      <w:r w:rsidRPr="00075492">
        <w:rPr>
          <w:i/>
        </w:rPr>
        <w:t>s</w:t>
      </w:r>
      <w:r w:rsidRPr="00075492">
        <w:rPr>
          <w:i/>
        </w:rPr>
        <w:t>registret</w:t>
      </w:r>
      <w:r w:rsidRPr="00075492">
        <w:t>.</w:t>
      </w:r>
    </w:p>
    <w:p w:rsidR="00547E7E" w:rsidRPr="00075492" w:rsidRDefault="00547E7E">
      <w:pPr>
        <w:jc w:val="left"/>
      </w:pPr>
      <w:r w:rsidRPr="00075492">
        <w:t xml:space="preserve">SCB 1999. </w:t>
      </w:r>
      <w:r w:rsidRPr="00075492">
        <w:rPr>
          <w:i/>
        </w:rPr>
        <w:t>Företagsstatistik 1999</w:t>
      </w:r>
    </w:p>
    <w:p w:rsidR="00547E7E" w:rsidRPr="00075492" w:rsidRDefault="00547E7E">
      <w:pPr>
        <w:jc w:val="left"/>
        <w:rPr>
          <w:i/>
        </w:rPr>
      </w:pPr>
      <w:r w:rsidRPr="00075492">
        <w:t xml:space="preserve">SCB 2000. </w:t>
      </w:r>
      <w:r w:rsidRPr="00075492">
        <w:rPr>
          <w:i/>
        </w:rPr>
        <w:t xml:space="preserve">När mat kommer på tal - tabeller om mat. </w:t>
      </w:r>
    </w:p>
    <w:p w:rsidR="00547E7E" w:rsidRPr="00075492" w:rsidRDefault="00547E7E">
      <w:r w:rsidRPr="00075492">
        <w:t xml:space="preserve">SOU 1993:40 </w:t>
      </w:r>
      <w:r w:rsidRPr="00075492">
        <w:rPr>
          <w:i/>
        </w:rPr>
        <w:t>Beskattningsmaktens gränser</w:t>
      </w:r>
    </w:p>
    <w:p w:rsidR="00547E7E" w:rsidRPr="00075492" w:rsidRDefault="00547E7E">
      <w:pPr>
        <w:rPr>
          <w:i/>
        </w:rPr>
      </w:pPr>
      <w:r w:rsidRPr="00075492">
        <w:t xml:space="preserve">SOU 1998:61 </w:t>
      </w:r>
      <w:r w:rsidRPr="00075492">
        <w:rPr>
          <w:i/>
        </w:rPr>
        <w:t>Livsmedelstillsynen i Sverige</w:t>
      </w:r>
    </w:p>
    <w:p w:rsidR="00547E7E" w:rsidRPr="00075492" w:rsidRDefault="00547E7E">
      <w:r w:rsidRPr="00075492">
        <w:t xml:space="preserve">Statskontoret 2001:14, </w:t>
      </w:r>
      <w:r w:rsidRPr="00075492">
        <w:rPr>
          <w:i/>
        </w:rPr>
        <w:t>Analys av EU-medlemsskapets effekter på svensk statlig tillsyn</w:t>
      </w:r>
      <w:r w:rsidRPr="00075492">
        <w:t xml:space="preserve"> (2001-09-14)</w:t>
      </w:r>
    </w:p>
    <w:p w:rsidR="00547E7E" w:rsidRPr="00075492" w:rsidRDefault="00547E7E">
      <w:r w:rsidRPr="00075492">
        <w:t xml:space="preserve">Statsliggare åren 1991-2001, utgiftsområdena 18 och 23 </w:t>
      </w:r>
    </w:p>
    <w:p w:rsidR="00547E7E" w:rsidRPr="00075492" w:rsidRDefault="00547E7E">
      <w:r w:rsidRPr="00075492">
        <w:t xml:space="preserve">Svenska kommunförbundet </w:t>
      </w:r>
      <w:r w:rsidRPr="00075492">
        <w:rPr>
          <w:i/>
        </w:rPr>
        <w:t>Bruttokostnader för livsmedelstillsyn i komm</w:t>
      </w:r>
      <w:r w:rsidRPr="00075492">
        <w:rPr>
          <w:i/>
        </w:rPr>
        <w:t>u</w:t>
      </w:r>
      <w:r w:rsidRPr="00075492">
        <w:rPr>
          <w:i/>
        </w:rPr>
        <w:t xml:space="preserve">nerna </w:t>
      </w:r>
      <w:r w:rsidRPr="00075492">
        <w:t>promemoria (2001-10-29)</w:t>
      </w:r>
    </w:p>
    <w:p w:rsidR="00547E7E" w:rsidRPr="00075492" w:rsidRDefault="00547E7E">
      <w:pPr>
        <w:rPr>
          <w:i/>
        </w:rPr>
      </w:pPr>
      <w:r w:rsidRPr="00075492">
        <w:t xml:space="preserve">Svenska kommunförbundet (2000) </w:t>
      </w:r>
      <w:r w:rsidRPr="00075492">
        <w:rPr>
          <w:i/>
        </w:rPr>
        <w:t>Miljö- &amp; hälsoskydd i kommunerna en enkätundersökning 2000</w:t>
      </w:r>
    </w:p>
    <w:p w:rsidR="00547E7E" w:rsidRPr="00075492" w:rsidRDefault="00547E7E">
      <w:pPr>
        <w:pStyle w:val="Rubrik2-Utannumrering"/>
      </w:pPr>
      <w:r w:rsidRPr="00075492">
        <w:br w:type="page"/>
      </w:r>
      <w:bookmarkStart w:id="835" w:name="_Toc532292157"/>
      <w:bookmarkStart w:id="836" w:name="_Toc84704"/>
      <w:bookmarkStart w:id="837" w:name="_Toc6634663"/>
      <w:bookmarkStart w:id="838" w:name="_Toc6637245"/>
      <w:r w:rsidRPr="00075492">
        <w:t>Intervjuer</w:t>
      </w:r>
      <w:bookmarkEnd w:id="835"/>
      <w:bookmarkEnd w:id="836"/>
      <w:bookmarkEnd w:id="837"/>
      <w:bookmarkEnd w:id="838"/>
      <w:r w:rsidRPr="00075492">
        <w:t xml:space="preserve"> </w:t>
      </w:r>
    </w:p>
    <w:p w:rsidR="00547E7E" w:rsidRPr="00075492" w:rsidRDefault="00547E7E">
      <w:pPr>
        <w:pStyle w:val="Normaltindrag"/>
      </w:pPr>
    </w:p>
    <w:p w:rsidR="00547E7E" w:rsidRPr="00075492" w:rsidRDefault="00547E7E">
      <w:pPr>
        <w:pStyle w:val="Normaltindrag"/>
        <w:ind w:firstLine="0"/>
      </w:pPr>
      <w:r w:rsidRPr="00075492">
        <w:t>Andersson, Jan Olof, kansliråd Finansdepartementet</w:t>
      </w:r>
    </w:p>
    <w:p w:rsidR="00547E7E" w:rsidRPr="00075492" w:rsidRDefault="00547E7E">
      <w:pPr>
        <w:pStyle w:val="Normaltindrag"/>
        <w:ind w:firstLine="0"/>
      </w:pPr>
      <w:r w:rsidRPr="00075492">
        <w:t>Andersson, Johanna, enhetschef Göteborgs kommun</w:t>
      </w:r>
    </w:p>
    <w:p w:rsidR="00547E7E" w:rsidRPr="00075492" w:rsidRDefault="00547E7E">
      <w:pPr>
        <w:pStyle w:val="Normaltindrag"/>
        <w:ind w:firstLine="0"/>
      </w:pPr>
      <w:r w:rsidRPr="00075492">
        <w:t>Boman, Maria, avdelningschef Göteborgs kommun</w:t>
      </w:r>
    </w:p>
    <w:p w:rsidR="00547E7E" w:rsidRPr="00075492" w:rsidRDefault="00547E7E">
      <w:pPr>
        <w:pStyle w:val="Normaltindrag"/>
        <w:ind w:firstLine="0"/>
      </w:pPr>
      <w:r w:rsidRPr="00075492">
        <w:t>Boström, Ulrika, departementssekreterare Jordbruksdepart</w:t>
      </w:r>
      <w:r w:rsidRPr="00075492">
        <w:t>e</w:t>
      </w:r>
      <w:r w:rsidRPr="00075492">
        <w:t>mentet</w:t>
      </w:r>
    </w:p>
    <w:p w:rsidR="00547E7E" w:rsidRPr="00075492" w:rsidRDefault="00547E7E">
      <w:pPr>
        <w:pStyle w:val="Normaltindrag"/>
        <w:ind w:firstLine="0"/>
      </w:pPr>
      <w:r w:rsidRPr="00075492">
        <w:t>Brattström, Rolf, kvalitetschef KF</w:t>
      </w:r>
    </w:p>
    <w:p w:rsidR="00547E7E" w:rsidRPr="00075492" w:rsidRDefault="00547E7E">
      <w:pPr>
        <w:pStyle w:val="Normaltindrag"/>
        <w:ind w:firstLine="0"/>
      </w:pPr>
      <w:r w:rsidRPr="00075492">
        <w:t>Edholm, Arne, senior adviser Svenska Kommunförbundet</w:t>
      </w:r>
    </w:p>
    <w:p w:rsidR="00547E7E" w:rsidRPr="00075492" w:rsidRDefault="00547E7E">
      <w:pPr>
        <w:pStyle w:val="Normaltindrag"/>
        <w:ind w:firstLine="0"/>
      </w:pPr>
      <w:r w:rsidRPr="00075492">
        <w:t>Elferson, Cajsa, departementssekreterare Jordbruksdeparteme</w:t>
      </w:r>
      <w:r w:rsidRPr="00075492">
        <w:t>n</w:t>
      </w:r>
      <w:r w:rsidRPr="00075492">
        <w:t>tet</w:t>
      </w:r>
    </w:p>
    <w:p w:rsidR="00547E7E" w:rsidRPr="00075492" w:rsidRDefault="00547E7E">
      <w:pPr>
        <w:pStyle w:val="Normaltindrag"/>
        <w:ind w:firstLine="0"/>
      </w:pPr>
      <w:r w:rsidRPr="00075492">
        <w:t>Ericsson, Bo, direktör, Livsmedelshandlareförbundet</w:t>
      </w:r>
    </w:p>
    <w:p w:rsidR="00547E7E" w:rsidRPr="00075492" w:rsidRDefault="00547E7E">
      <w:pPr>
        <w:pStyle w:val="Normaltindrag"/>
        <w:ind w:firstLine="0"/>
      </w:pPr>
      <w:r w:rsidRPr="00075492">
        <w:t xml:space="preserve">Eriksson, Göran, avdelningen för utbildning och säkerhet Vivo Stockholm </w:t>
      </w:r>
    </w:p>
    <w:p w:rsidR="00547E7E" w:rsidRPr="00075492" w:rsidRDefault="00547E7E">
      <w:pPr>
        <w:pStyle w:val="Normaltindrag"/>
        <w:ind w:firstLine="0"/>
      </w:pPr>
      <w:r w:rsidRPr="00075492">
        <w:t>Falkenmark, Andreas, affärsområdeschef Coop Forum</w:t>
      </w:r>
    </w:p>
    <w:p w:rsidR="00547E7E" w:rsidRPr="00075492" w:rsidRDefault="00547E7E">
      <w:pPr>
        <w:pStyle w:val="Normaltindrag"/>
        <w:ind w:firstLine="0"/>
      </w:pPr>
      <w:r w:rsidRPr="00075492">
        <w:t>Fins, Lars, affärsområdeschef Gröna konsum</w:t>
      </w:r>
    </w:p>
    <w:p w:rsidR="00547E7E" w:rsidRPr="00075492" w:rsidRDefault="00547E7E">
      <w:pPr>
        <w:pStyle w:val="Normaltindrag"/>
        <w:ind w:firstLine="0"/>
      </w:pPr>
      <w:r w:rsidRPr="00075492">
        <w:t>Fladvad, Lars, projektledare Svenska Kommunförbundet</w:t>
      </w:r>
    </w:p>
    <w:p w:rsidR="00547E7E" w:rsidRPr="00075492" w:rsidRDefault="00547E7E">
      <w:pPr>
        <w:pStyle w:val="Normaltindrag"/>
        <w:ind w:firstLine="0"/>
      </w:pPr>
      <w:r w:rsidRPr="00075492">
        <w:t>Hallgren, Anders, förbundssekreterare ICA</w:t>
      </w:r>
    </w:p>
    <w:p w:rsidR="00547E7E" w:rsidRPr="00075492" w:rsidRDefault="00547E7E">
      <w:pPr>
        <w:pStyle w:val="Normaltindrag"/>
        <w:ind w:firstLine="0"/>
      </w:pPr>
      <w:r w:rsidRPr="00075492">
        <w:t>Hansson-Palo, Holger miljö- och byggchef Bodens kommun</w:t>
      </w:r>
    </w:p>
    <w:p w:rsidR="00547E7E" w:rsidRPr="00075492" w:rsidRDefault="00547E7E">
      <w:pPr>
        <w:pStyle w:val="Normaltindrag"/>
        <w:ind w:firstLine="0"/>
      </w:pPr>
      <w:r w:rsidRPr="00075492">
        <w:t>Holm, Maria, enhetschef Göteborgs kommun</w:t>
      </w:r>
    </w:p>
    <w:p w:rsidR="00547E7E" w:rsidRPr="00075492" w:rsidRDefault="00547E7E">
      <w:pPr>
        <w:pStyle w:val="Normaltindrag"/>
        <w:ind w:firstLine="0"/>
      </w:pPr>
      <w:r w:rsidRPr="00075492">
        <w:t>Håkansson, Gunnar säljledare Vivo Stockholm</w:t>
      </w:r>
    </w:p>
    <w:p w:rsidR="00547E7E" w:rsidRPr="00075492" w:rsidRDefault="00547E7E">
      <w:pPr>
        <w:pStyle w:val="Normaltindrag"/>
        <w:ind w:firstLine="0"/>
      </w:pPr>
      <w:r w:rsidRPr="00075492">
        <w:t>Johansson Sten, departementsråd Tillsynsutredningen</w:t>
      </w:r>
    </w:p>
    <w:p w:rsidR="00547E7E" w:rsidRPr="00075492" w:rsidRDefault="00547E7E">
      <w:pPr>
        <w:pStyle w:val="Normaltindrag"/>
        <w:ind w:firstLine="0"/>
      </w:pPr>
      <w:r w:rsidRPr="00075492">
        <w:t>Karner, Fredrik, livsmedelsinspektör Göteborgs kommun</w:t>
      </w:r>
    </w:p>
    <w:p w:rsidR="00547E7E" w:rsidRPr="00075492" w:rsidRDefault="00547E7E">
      <w:pPr>
        <w:pStyle w:val="Normaltindrag"/>
        <w:ind w:firstLine="0"/>
      </w:pPr>
      <w:r w:rsidRPr="00075492">
        <w:t>Lannto, Johny, miljö- och byggchef Pajala kommun</w:t>
      </w:r>
    </w:p>
    <w:p w:rsidR="00547E7E" w:rsidRPr="00075492" w:rsidRDefault="00547E7E">
      <w:pPr>
        <w:pStyle w:val="Normaltindrag"/>
        <w:ind w:firstLine="0"/>
      </w:pPr>
      <w:r w:rsidRPr="00075492">
        <w:t xml:space="preserve">Lindgren, Erik, organisationsdirektör Statskontoret </w:t>
      </w:r>
    </w:p>
    <w:p w:rsidR="00547E7E" w:rsidRPr="00075492" w:rsidRDefault="00547E7E">
      <w:pPr>
        <w:pStyle w:val="Normaltindrag"/>
        <w:ind w:firstLine="0"/>
      </w:pPr>
      <w:r w:rsidRPr="00075492">
        <w:t>Lindström, Anders, generalsekreterare Sveriges Konsumentråd</w:t>
      </w:r>
    </w:p>
    <w:p w:rsidR="00547E7E" w:rsidRPr="00075492" w:rsidRDefault="00547E7E">
      <w:pPr>
        <w:pStyle w:val="Normaltindrag"/>
        <w:ind w:firstLine="0"/>
      </w:pPr>
      <w:r w:rsidRPr="00075492">
        <w:t>Lundin, Linda, miljö- och hälsoskyddsinspektör Bodens ko</w:t>
      </w:r>
      <w:r w:rsidRPr="00075492">
        <w:t>m</w:t>
      </w:r>
      <w:r w:rsidRPr="00075492">
        <w:t>mun</w:t>
      </w:r>
    </w:p>
    <w:p w:rsidR="00547E7E" w:rsidRPr="00075492" w:rsidRDefault="00547E7E">
      <w:pPr>
        <w:pStyle w:val="Normaltindrag"/>
        <w:ind w:firstLine="0"/>
      </w:pPr>
      <w:r w:rsidRPr="00075492">
        <w:t>Lönnblad, Anders, departementsråd Jordbruksdepartementet</w:t>
      </w:r>
    </w:p>
    <w:p w:rsidR="00547E7E" w:rsidRPr="00075492" w:rsidRDefault="00547E7E">
      <w:pPr>
        <w:pStyle w:val="Normaltindrag"/>
        <w:ind w:firstLine="0"/>
      </w:pPr>
      <w:r w:rsidRPr="00075492">
        <w:t>Movitz, Jan, chefsutredare Livsmedelsverket</w:t>
      </w:r>
    </w:p>
    <w:p w:rsidR="00547E7E" w:rsidRPr="00075492" w:rsidRDefault="00547E7E">
      <w:pPr>
        <w:pStyle w:val="Normaltindrag"/>
        <w:ind w:firstLine="0"/>
      </w:pPr>
      <w:r w:rsidRPr="00075492">
        <w:t>Nilsson, Jeanette, jurist Livsmedelsverket</w:t>
      </w:r>
    </w:p>
    <w:p w:rsidR="00547E7E" w:rsidRPr="00075492" w:rsidRDefault="00547E7E">
      <w:pPr>
        <w:pStyle w:val="Normaltindrag"/>
        <w:ind w:firstLine="0"/>
      </w:pPr>
      <w:r w:rsidRPr="00075492">
        <w:t>Nilsson, Lars, ordförande Miljö- och byggnämnden i Bodens kommun</w:t>
      </w:r>
    </w:p>
    <w:p w:rsidR="00547E7E" w:rsidRPr="00075492" w:rsidRDefault="00547E7E">
      <w:pPr>
        <w:pStyle w:val="Normaltindrag"/>
        <w:ind w:firstLine="0"/>
      </w:pPr>
      <w:r w:rsidRPr="00075492">
        <w:t>Norbelie, Bertil, generaldirektör Livsmedelsverket</w:t>
      </w:r>
    </w:p>
    <w:p w:rsidR="00547E7E" w:rsidRPr="00075492" w:rsidRDefault="00547E7E">
      <w:pPr>
        <w:pStyle w:val="Normaltindrag"/>
        <w:ind w:firstLine="0"/>
      </w:pPr>
      <w:r w:rsidRPr="00075492">
        <w:t>Nyrén, Allan, vice VD Sveriges Hotell &amp; Restaurangföretagare</w:t>
      </w:r>
    </w:p>
    <w:p w:rsidR="00547E7E" w:rsidRPr="00075492" w:rsidRDefault="00547E7E">
      <w:pPr>
        <w:pStyle w:val="Normaltindrag"/>
        <w:ind w:firstLine="0"/>
      </w:pPr>
      <w:r w:rsidRPr="00075492">
        <w:t>Ovegård, Mats, ansvarig för kvalitet i butik ICA</w:t>
      </w:r>
    </w:p>
    <w:p w:rsidR="00547E7E" w:rsidRPr="00075492" w:rsidRDefault="00547E7E">
      <w:pPr>
        <w:pStyle w:val="Normaltindrag"/>
        <w:ind w:firstLine="0"/>
      </w:pPr>
      <w:r w:rsidRPr="00075492">
        <w:t>Rydberg, Sven, f.d. stadsveterinär Stockholms kommun</w:t>
      </w:r>
    </w:p>
    <w:p w:rsidR="00547E7E" w:rsidRPr="00075492" w:rsidRDefault="00547E7E">
      <w:pPr>
        <w:pStyle w:val="Normaltindrag"/>
        <w:ind w:firstLine="0"/>
      </w:pPr>
      <w:r w:rsidRPr="00075492">
        <w:t>Röken, Barbro, länsveterinär Länsstyrelsen i Östergötland</w:t>
      </w:r>
    </w:p>
    <w:p w:rsidR="00547E7E" w:rsidRPr="00075492" w:rsidRDefault="00547E7E">
      <w:pPr>
        <w:pStyle w:val="Normaltindrag"/>
        <w:ind w:firstLine="0"/>
      </w:pPr>
      <w:r w:rsidRPr="00075492">
        <w:t>Schöndahl, Leif, bitr. direktör Göteborgs kommun</w:t>
      </w:r>
    </w:p>
    <w:p w:rsidR="00547E7E" w:rsidRPr="00075492" w:rsidRDefault="00547E7E">
      <w:pPr>
        <w:pStyle w:val="Normaltindrag"/>
        <w:ind w:firstLine="0"/>
      </w:pPr>
      <w:r w:rsidRPr="00075492">
        <w:t>Sojdelius, Lars-Erik, kanslichef miljö- och jordbruksutskottet</w:t>
      </w:r>
    </w:p>
    <w:p w:rsidR="00547E7E" w:rsidRPr="00075492" w:rsidRDefault="00547E7E">
      <w:pPr>
        <w:pStyle w:val="Normaltindrag"/>
        <w:ind w:firstLine="0"/>
      </w:pPr>
      <w:r w:rsidRPr="00075492">
        <w:t>Stjernstedt, Johanna, departementssekreterare Jordbruksdepart</w:t>
      </w:r>
      <w:r w:rsidRPr="00075492">
        <w:t>e</w:t>
      </w:r>
      <w:r w:rsidRPr="00075492">
        <w:t>mentet</w:t>
      </w:r>
    </w:p>
    <w:p w:rsidR="00547E7E" w:rsidRPr="00075492" w:rsidRDefault="00547E7E">
      <w:pPr>
        <w:pStyle w:val="Normaltindrag"/>
        <w:ind w:firstLine="0"/>
      </w:pPr>
      <w:r w:rsidRPr="00075492">
        <w:t>Sundström, Micael, utredningssekreterare Göteborgs kommun</w:t>
      </w:r>
    </w:p>
    <w:p w:rsidR="00547E7E" w:rsidRPr="00075492" w:rsidRDefault="00547E7E">
      <w:pPr>
        <w:pStyle w:val="Normaltindrag"/>
        <w:ind w:firstLine="0"/>
      </w:pPr>
      <w:r w:rsidRPr="00075492">
        <w:t>Svensson, Bo, direktör Göteborgs kommun</w:t>
      </w:r>
    </w:p>
    <w:p w:rsidR="00547E7E" w:rsidRPr="00075492" w:rsidRDefault="00547E7E">
      <w:pPr>
        <w:pStyle w:val="Normaltindrag"/>
        <w:ind w:firstLine="0"/>
      </w:pPr>
      <w:r w:rsidRPr="00075492">
        <w:t>Söderberg, Barbro, departementssekreterare Jordbruksdepart</w:t>
      </w:r>
      <w:r w:rsidRPr="00075492">
        <w:t>e</w:t>
      </w:r>
      <w:r w:rsidRPr="00075492">
        <w:t>mentet</w:t>
      </w:r>
    </w:p>
    <w:p w:rsidR="00547E7E" w:rsidRPr="00075492" w:rsidRDefault="00547E7E">
      <w:pPr>
        <w:pStyle w:val="Normaltindrag"/>
        <w:ind w:firstLine="0"/>
      </w:pPr>
      <w:r w:rsidRPr="00075492">
        <w:t>Törme, Martina, miljö- och hälsoskyddsinspektör Pajala ko</w:t>
      </w:r>
      <w:r w:rsidRPr="00075492">
        <w:t>m</w:t>
      </w:r>
      <w:r w:rsidRPr="00075492">
        <w:t>mun</w:t>
      </w:r>
    </w:p>
    <w:p w:rsidR="00547E7E" w:rsidRPr="00075492" w:rsidRDefault="00547E7E">
      <w:pPr>
        <w:pStyle w:val="Normaltindrag"/>
        <w:ind w:firstLine="0"/>
      </w:pPr>
      <w:r w:rsidRPr="00075492">
        <w:t xml:space="preserve">Wilhelmsson-Alexis, Greta, länsveterinär Norrbottens län </w:t>
      </w:r>
    </w:p>
    <w:p w:rsidR="00547E7E" w:rsidRPr="00075492" w:rsidRDefault="00547E7E">
      <w:pPr>
        <w:pStyle w:val="Normaltindrag"/>
        <w:ind w:firstLine="0"/>
      </w:pPr>
    </w:p>
    <w:p w:rsidR="00547E7E" w:rsidRPr="00075492" w:rsidRDefault="00547E7E">
      <w:pPr>
        <w:pStyle w:val="Normaltindrag"/>
        <w:ind w:firstLine="0"/>
      </w:pPr>
      <w:r w:rsidRPr="00075492">
        <w:t>Studiebesök:</w:t>
      </w:r>
    </w:p>
    <w:p w:rsidR="00547E7E" w:rsidRPr="00075492" w:rsidRDefault="00547E7E">
      <w:pPr>
        <w:pStyle w:val="Normaltindrag"/>
        <w:ind w:firstLine="0"/>
      </w:pPr>
    </w:p>
    <w:p w:rsidR="00547E7E" w:rsidRPr="00075492" w:rsidRDefault="00547E7E">
      <w:pPr>
        <w:pStyle w:val="Normaltindrag"/>
        <w:ind w:firstLine="0"/>
      </w:pPr>
      <w:r w:rsidRPr="00075492">
        <w:t>Signal &amp; Andersson Eftr. AB, Göteborg</w:t>
      </w:r>
    </w:p>
    <w:p w:rsidR="00547E7E" w:rsidRPr="00075492" w:rsidRDefault="00547E7E">
      <w:pPr>
        <w:pStyle w:val="Normaltindrag"/>
        <w:ind w:firstLine="0"/>
      </w:pPr>
      <w:r w:rsidRPr="00075492">
        <w:t>AB Åke Screiber, Göteborg</w:t>
      </w:r>
    </w:p>
    <w:p w:rsidR="00547E7E" w:rsidRPr="00075492" w:rsidRDefault="00547E7E">
      <w:pPr>
        <w:pStyle w:val="Rubrik1-Utannumrering"/>
        <w:sectPr w:rsidR="00000000" w:rsidRPr="00075492">
          <w:type w:val="oddPage"/>
          <w:pgSz w:w="11906" w:h="16838" w:code="9"/>
          <w:pgMar w:top="567" w:right="4876" w:bottom="4508" w:left="1134" w:header="227" w:footer="227" w:gutter="0"/>
          <w:cols w:space="720"/>
        </w:sectPr>
      </w:pPr>
      <w:bookmarkStart w:id="839" w:name="_Toc528046335"/>
      <w:bookmarkStart w:id="840" w:name="_Toc532284590"/>
    </w:p>
    <w:p w:rsidR="00547E7E" w:rsidRPr="00075492" w:rsidRDefault="00547E7E">
      <w:pPr>
        <w:pStyle w:val="Rubrik1-Utannumrering"/>
      </w:pPr>
      <w:bookmarkStart w:id="841" w:name="_Toc532292158"/>
      <w:bookmarkStart w:id="842" w:name="_Toc84705"/>
      <w:bookmarkStart w:id="843" w:name="_Toc6634664"/>
      <w:bookmarkStart w:id="844" w:name="_Toc6637246"/>
      <w:r w:rsidRPr="00075492">
        <w:t>Bilaga 1 – EG-förordningar om livsmedel</w:t>
      </w:r>
      <w:bookmarkEnd w:id="839"/>
      <w:bookmarkEnd w:id="840"/>
      <w:bookmarkEnd w:id="841"/>
      <w:bookmarkEnd w:id="842"/>
      <w:bookmarkEnd w:id="843"/>
      <w:bookmarkEnd w:id="844"/>
    </w:p>
    <w:p w:rsidR="00547E7E" w:rsidRPr="00075492" w:rsidRDefault="00547E7E">
      <w:r w:rsidRPr="00075492">
        <w:t>Sammanställningen av förordningar baseras på regeringens tillkännagivande (SFS 2001:801) om de EG-förordningar som kompletteras av livsmedelsl</w:t>
      </w:r>
      <w:r w:rsidRPr="00075492">
        <w:t>a</w:t>
      </w:r>
      <w:r w:rsidRPr="00075492">
        <w:t>gen, samt kompletteringar från Liv</w:t>
      </w:r>
      <w:r w:rsidRPr="00075492">
        <w:t>s</w:t>
      </w:r>
      <w:r w:rsidRPr="00075492">
        <w:t xml:space="preserve">medelsverket. </w:t>
      </w:r>
    </w:p>
    <w:p w:rsidR="00547E7E" w:rsidRPr="00075492" w:rsidRDefault="00547E7E">
      <w:pPr>
        <w:pStyle w:val="Normaltindrag"/>
      </w:pPr>
      <w:r w:rsidRPr="00075492">
        <w:t>I regeringens tillkännagivande identifieras 22 förordningar som komplett</w:t>
      </w:r>
      <w:r w:rsidRPr="00075492">
        <w:t>e</w:t>
      </w:r>
      <w:r w:rsidRPr="00075492">
        <w:t>ras av livsmedelslagen. På sin webbplats tar Livsmedelsverket upp ytterlig</w:t>
      </w:r>
      <w:r w:rsidRPr="00075492">
        <w:t>a</w:t>
      </w:r>
      <w:r w:rsidRPr="00075492">
        <w:t>re 16 förordningar som inte nämns i regeringens tillkännagivande.</w:t>
      </w:r>
      <w:r w:rsidRPr="00075492">
        <w:rPr>
          <w:rStyle w:val="Fotnotsreferens"/>
        </w:rPr>
        <w:footnoteReference w:id="86"/>
      </w:r>
      <w:r w:rsidRPr="00075492">
        <w:t xml:space="preserve"> Livsm</w:t>
      </w:r>
      <w:r w:rsidRPr="00075492">
        <w:t>e</w:t>
      </w:r>
      <w:r w:rsidRPr="00075492">
        <w:t>delsverket har dessutom under denna granskning i två olika omgångar ident</w:t>
      </w:r>
      <w:r w:rsidRPr="00075492">
        <w:t>i</w:t>
      </w:r>
      <w:r w:rsidRPr="00075492">
        <w:t>fierat ytterligare 25 förordningar som varken nämns i regeringens tillkänn</w:t>
      </w:r>
      <w:r w:rsidRPr="00075492">
        <w:t>a</w:t>
      </w:r>
      <w:r w:rsidRPr="00075492">
        <w:t>givande eller finns på verkets webbplats.</w:t>
      </w:r>
    </w:p>
    <w:p w:rsidR="00547E7E" w:rsidRPr="00075492" w:rsidRDefault="00547E7E">
      <w:pPr>
        <w:pStyle w:val="Normaltindrag"/>
      </w:pPr>
      <w:r w:rsidRPr="00075492">
        <w:t>Sammanlagt har totalt 63 förordningar med relevans för livsmedelstills</w:t>
      </w:r>
      <w:r w:rsidRPr="00075492">
        <w:t>y</w:t>
      </w:r>
      <w:r w:rsidRPr="00075492">
        <w:t>nen identifierats. Mot bakgrund av de svårigheter som kan konstateras vid redovisningen av gällande förordningar är det inte helt säkert att förtecknin</w:t>
      </w:r>
      <w:r w:rsidRPr="00075492">
        <w:t>g</w:t>
      </w:r>
      <w:r w:rsidRPr="00075492">
        <w:t>en i denna bilaga är fullständig.</w:t>
      </w:r>
    </w:p>
    <w:p w:rsidR="00547E7E" w:rsidRPr="00075492" w:rsidRDefault="00547E7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4253"/>
      </w:tblGrid>
      <w:tr w:rsidR="00000000" w:rsidRPr="00075492">
        <w:tblPrEx>
          <w:tblCellMar>
            <w:top w:w="0" w:type="dxa"/>
            <w:bottom w:w="0" w:type="dxa"/>
          </w:tblCellMar>
        </w:tblPrEx>
        <w:trPr>
          <w:cantSplit/>
        </w:trPr>
        <w:tc>
          <w:tcPr>
            <w:tcW w:w="637" w:type="dxa"/>
          </w:tcPr>
          <w:p w:rsidR="00547E7E" w:rsidRPr="00075492" w:rsidRDefault="00547E7E">
            <w:pPr>
              <w:jc w:val="left"/>
              <w:rPr>
                <w:b/>
              </w:rPr>
            </w:pPr>
            <w:r w:rsidRPr="00075492">
              <w:rPr>
                <w:b/>
              </w:rPr>
              <w:t>År</w:t>
            </w:r>
          </w:p>
        </w:tc>
        <w:tc>
          <w:tcPr>
            <w:tcW w:w="1134" w:type="dxa"/>
          </w:tcPr>
          <w:p w:rsidR="00547E7E" w:rsidRPr="00075492" w:rsidRDefault="00547E7E">
            <w:pPr>
              <w:jc w:val="left"/>
              <w:rPr>
                <w:b/>
              </w:rPr>
            </w:pPr>
            <w:r w:rsidRPr="00075492">
              <w:rPr>
                <w:b/>
              </w:rPr>
              <w:t>Nu</w:t>
            </w:r>
            <w:r w:rsidRPr="00075492">
              <w:rPr>
                <w:b/>
              </w:rPr>
              <w:t>m</w:t>
            </w:r>
            <w:r w:rsidRPr="00075492">
              <w:rPr>
                <w:b/>
              </w:rPr>
              <w:t>mer</w:t>
            </w:r>
          </w:p>
        </w:tc>
        <w:tc>
          <w:tcPr>
            <w:tcW w:w="4253" w:type="dxa"/>
          </w:tcPr>
          <w:p w:rsidR="00547E7E" w:rsidRPr="00075492" w:rsidRDefault="00547E7E">
            <w:pPr>
              <w:jc w:val="left"/>
              <w:rPr>
                <w:sz w:val="17"/>
              </w:rPr>
            </w:pPr>
            <w:r w:rsidRPr="00075492">
              <w:rPr>
                <w:b/>
              </w:rPr>
              <w:t>Förordning</w:t>
            </w:r>
          </w:p>
          <w:p w:rsidR="00547E7E" w:rsidRPr="00075492" w:rsidRDefault="00547E7E">
            <w:pPr>
              <w:pStyle w:val="Tabell"/>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024" w:type="dxa"/>
            <w:gridSpan w:val="3"/>
          </w:tcPr>
          <w:p w:rsidR="00547E7E" w:rsidRPr="00075492" w:rsidRDefault="00547E7E">
            <w:pPr>
              <w:pStyle w:val="Normaltindrag"/>
              <w:ind w:firstLine="0"/>
              <w:rPr>
                <w:b/>
              </w:rPr>
            </w:pPr>
            <w:r w:rsidRPr="00075492">
              <w:rPr>
                <w:b/>
              </w:rPr>
              <w:t>Förordningar identifierade i regeringens tillkännagivande</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1966</w:t>
            </w:r>
          </w:p>
        </w:tc>
        <w:tc>
          <w:tcPr>
            <w:tcW w:w="1134" w:type="dxa"/>
          </w:tcPr>
          <w:p w:rsidR="00547E7E" w:rsidRPr="00075492" w:rsidRDefault="00547E7E">
            <w:pPr>
              <w:pStyle w:val="Normaltindrag"/>
              <w:ind w:firstLine="0"/>
              <w:jc w:val="left"/>
            </w:pPr>
            <w:r w:rsidRPr="00075492">
              <w:t>136/66</w:t>
            </w:r>
          </w:p>
        </w:tc>
        <w:tc>
          <w:tcPr>
            <w:tcW w:w="4253" w:type="dxa"/>
          </w:tcPr>
          <w:p w:rsidR="00547E7E" w:rsidRPr="00075492" w:rsidRDefault="00547E7E">
            <w:pPr>
              <w:pStyle w:val="Normaltindrag"/>
              <w:ind w:firstLine="0"/>
            </w:pPr>
            <w:r w:rsidRPr="00075492">
              <w:t>Den gemensamma organisationen av marknaden för oljor och fetter.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1987</w:t>
            </w:r>
          </w:p>
        </w:tc>
        <w:tc>
          <w:tcPr>
            <w:tcW w:w="1134" w:type="dxa"/>
          </w:tcPr>
          <w:p w:rsidR="00547E7E" w:rsidRPr="00075492" w:rsidRDefault="00547E7E">
            <w:pPr>
              <w:pStyle w:val="Normaltindrag"/>
              <w:ind w:firstLine="0"/>
              <w:jc w:val="left"/>
            </w:pPr>
            <w:r w:rsidRPr="00075492">
              <w:t>1898/87</w:t>
            </w:r>
          </w:p>
        </w:tc>
        <w:tc>
          <w:tcPr>
            <w:tcW w:w="4253" w:type="dxa"/>
          </w:tcPr>
          <w:p w:rsidR="00547E7E" w:rsidRPr="00075492" w:rsidRDefault="00547E7E">
            <w:pPr>
              <w:pStyle w:val="Normaltindrag"/>
              <w:ind w:firstLine="0"/>
            </w:pPr>
            <w:r w:rsidRPr="00075492">
              <w:t>Skydd av beteckningar som används vid saluhållande av mjölk och mjölkprodukter.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1989</w:t>
            </w:r>
          </w:p>
        </w:tc>
        <w:tc>
          <w:tcPr>
            <w:tcW w:w="1134" w:type="dxa"/>
          </w:tcPr>
          <w:p w:rsidR="00547E7E" w:rsidRPr="00075492" w:rsidRDefault="00547E7E">
            <w:pPr>
              <w:pStyle w:val="Normaltindrag"/>
              <w:ind w:firstLine="0"/>
              <w:jc w:val="left"/>
            </w:pPr>
            <w:r w:rsidRPr="00075492">
              <w:t>1576/89</w:t>
            </w:r>
          </w:p>
        </w:tc>
        <w:tc>
          <w:tcPr>
            <w:tcW w:w="4253" w:type="dxa"/>
          </w:tcPr>
          <w:p w:rsidR="00547E7E" w:rsidRPr="00075492" w:rsidRDefault="00547E7E">
            <w:pPr>
              <w:pStyle w:val="Normaltindrag"/>
              <w:ind w:firstLine="0"/>
            </w:pPr>
            <w:r w:rsidRPr="00075492">
              <w:t>Allmänna bestämmelser för definition, beskrivning och presentation av spritdrycker.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2136/89</w:t>
            </w:r>
          </w:p>
        </w:tc>
        <w:tc>
          <w:tcPr>
            <w:tcW w:w="4253" w:type="dxa"/>
          </w:tcPr>
          <w:p w:rsidR="00547E7E" w:rsidRPr="00075492" w:rsidRDefault="00547E7E">
            <w:pPr>
              <w:pStyle w:val="Normaltindrag"/>
              <w:ind w:firstLine="0"/>
            </w:pPr>
            <w:r w:rsidRPr="00075492">
              <w:t>Gemensamma marknadsnormer för konserverade sard</w:t>
            </w:r>
            <w:r w:rsidRPr="00075492">
              <w:t>i</w:t>
            </w:r>
            <w:r w:rsidRPr="00075492">
              <w:t>ner.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1990</w:t>
            </w:r>
          </w:p>
        </w:tc>
        <w:tc>
          <w:tcPr>
            <w:tcW w:w="1134" w:type="dxa"/>
          </w:tcPr>
          <w:p w:rsidR="00547E7E" w:rsidRPr="00075492" w:rsidRDefault="00547E7E">
            <w:pPr>
              <w:pStyle w:val="Normaltindrag"/>
              <w:ind w:firstLine="0"/>
              <w:jc w:val="left"/>
            </w:pPr>
            <w:r w:rsidRPr="00075492">
              <w:t>737/90</w:t>
            </w:r>
          </w:p>
        </w:tc>
        <w:tc>
          <w:tcPr>
            <w:tcW w:w="4253" w:type="dxa"/>
          </w:tcPr>
          <w:p w:rsidR="00547E7E" w:rsidRPr="00075492" w:rsidRDefault="00547E7E">
            <w:pPr>
              <w:pStyle w:val="Normaltindrag"/>
              <w:ind w:firstLine="0"/>
            </w:pPr>
            <w:r w:rsidRPr="00075492">
              <w:t>Villkoren för import av jordbruksprodukter med ursprung i tredje land efter olyckan vid kärnkraftve</w:t>
            </w:r>
            <w:r w:rsidRPr="00075492">
              <w:t>r</w:t>
            </w:r>
            <w:r w:rsidRPr="00075492">
              <w:t>ket i Tjernobyl.</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1906/90</w:t>
            </w:r>
          </w:p>
        </w:tc>
        <w:tc>
          <w:tcPr>
            <w:tcW w:w="4253" w:type="dxa"/>
          </w:tcPr>
          <w:p w:rsidR="00547E7E" w:rsidRPr="00075492" w:rsidRDefault="00547E7E">
            <w:pPr>
              <w:pStyle w:val="Normaltindrag"/>
              <w:ind w:firstLine="0"/>
            </w:pPr>
            <w:r w:rsidRPr="00075492">
              <w:t>Vissa handelsnormer för fjäderfä.</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1907/90</w:t>
            </w:r>
          </w:p>
        </w:tc>
        <w:tc>
          <w:tcPr>
            <w:tcW w:w="4253" w:type="dxa"/>
          </w:tcPr>
          <w:p w:rsidR="00547E7E" w:rsidRPr="00075492" w:rsidRDefault="00547E7E">
            <w:pPr>
              <w:pStyle w:val="Normaltindrag"/>
              <w:ind w:firstLine="0"/>
            </w:pPr>
            <w:r w:rsidRPr="00075492">
              <w:t>Vissa handelsnormer för ägg.</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2377/90</w:t>
            </w:r>
          </w:p>
        </w:tc>
        <w:tc>
          <w:tcPr>
            <w:tcW w:w="4253" w:type="dxa"/>
          </w:tcPr>
          <w:p w:rsidR="00547E7E" w:rsidRPr="00075492" w:rsidRDefault="00547E7E">
            <w:pPr>
              <w:pStyle w:val="Normaltindrag"/>
              <w:ind w:firstLine="0"/>
            </w:pPr>
            <w:r w:rsidRPr="00075492">
              <w:t>Inrättandet av ett gemenskapsförfarande för att fas</w:t>
            </w:r>
            <w:r w:rsidRPr="00075492">
              <w:t>t</w:t>
            </w:r>
            <w:r w:rsidRPr="00075492">
              <w:t>ställa gränsvärden för högsta tillåtna restmängder av veterinärmedicinska läkemedel i livsmedel av anim</w:t>
            </w:r>
            <w:r w:rsidRPr="00075492">
              <w:t>a</w:t>
            </w:r>
            <w:r w:rsidRPr="00075492">
              <w:t>liskt u</w:t>
            </w:r>
            <w:r w:rsidRPr="00075492">
              <w:t>r</w:t>
            </w:r>
            <w:r w:rsidRPr="00075492">
              <w:t>sprung.</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1991</w:t>
            </w:r>
          </w:p>
        </w:tc>
        <w:tc>
          <w:tcPr>
            <w:tcW w:w="1134" w:type="dxa"/>
          </w:tcPr>
          <w:p w:rsidR="00547E7E" w:rsidRPr="00075492" w:rsidRDefault="00547E7E">
            <w:pPr>
              <w:pStyle w:val="Normaltindrag"/>
              <w:ind w:firstLine="0"/>
              <w:jc w:val="left"/>
            </w:pPr>
            <w:r w:rsidRPr="00075492">
              <w:t>1601/91</w:t>
            </w:r>
          </w:p>
        </w:tc>
        <w:tc>
          <w:tcPr>
            <w:tcW w:w="4253" w:type="dxa"/>
          </w:tcPr>
          <w:p w:rsidR="00547E7E" w:rsidRPr="00075492" w:rsidRDefault="00547E7E">
            <w:pPr>
              <w:pStyle w:val="Normaltindrag"/>
              <w:ind w:firstLine="0"/>
            </w:pPr>
            <w:r w:rsidRPr="00075492">
              <w:t>Allmänna bestämmelser för definition, beskrivning och presentation av aromatiserade viner, aromatiser</w:t>
            </w:r>
            <w:r w:rsidRPr="00075492">
              <w:t>a</w:t>
            </w:r>
            <w:r w:rsidRPr="00075492">
              <w:t>de vinbaserade drycker och aromatiserade drinkar baserade på vinpr</w:t>
            </w:r>
            <w:r w:rsidRPr="00075492">
              <w:t>o</w:t>
            </w:r>
            <w:r w:rsidRPr="00075492">
              <w:t>dukter.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1992</w:t>
            </w:r>
          </w:p>
        </w:tc>
        <w:tc>
          <w:tcPr>
            <w:tcW w:w="1134" w:type="dxa"/>
          </w:tcPr>
          <w:p w:rsidR="00547E7E" w:rsidRPr="00075492" w:rsidRDefault="00547E7E">
            <w:pPr>
              <w:pStyle w:val="Normaltindrag"/>
              <w:ind w:firstLine="0"/>
              <w:jc w:val="left"/>
            </w:pPr>
            <w:r w:rsidRPr="00075492">
              <w:t>1536/92</w:t>
            </w:r>
          </w:p>
        </w:tc>
        <w:tc>
          <w:tcPr>
            <w:tcW w:w="4253" w:type="dxa"/>
          </w:tcPr>
          <w:p w:rsidR="00547E7E" w:rsidRPr="00075492" w:rsidRDefault="00547E7E">
            <w:pPr>
              <w:pStyle w:val="Normaltindrag"/>
              <w:ind w:firstLine="0"/>
            </w:pPr>
            <w:r w:rsidRPr="00075492">
              <w:t>Gemensamma marknadsnormer för konserverad tonfisk och bonit.</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1993</w:t>
            </w:r>
          </w:p>
        </w:tc>
        <w:tc>
          <w:tcPr>
            <w:tcW w:w="1134" w:type="dxa"/>
          </w:tcPr>
          <w:p w:rsidR="00547E7E" w:rsidRPr="00075492" w:rsidRDefault="00547E7E">
            <w:pPr>
              <w:pStyle w:val="Normaltindrag"/>
              <w:ind w:firstLine="0"/>
              <w:jc w:val="left"/>
            </w:pPr>
            <w:r w:rsidRPr="00075492">
              <w:t>315/93</w:t>
            </w:r>
          </w:p>
        </w:tc>
        <w:tc>
          <w:tcPr>
            <w:tcW w:w="4253" w:type="dxa"/>
          </w:tcPr>
          <w:p w:rsidR="00547E7E" w:rsidRPr="00075492" w:rsidRDefault="00547E7E">
            <w:pPr>
              <w:pStyle w:val="Normaltindrag"/>
              <w:ind w:firstLine="0"/>
            </w:pPr>
            <w:r w:rsidRPr="00075492">
              <w:t>Fastställande av gemenskapsförfaranden för frä</w:t>
            </w:r>
            <w:r w:rsidRPr="00075492">
              <w:t>m</w:t>
            </w:r>
            <w:r w:rsidRPr="00075492">
              <w:t>mande ämnen i livsmedel.</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1994</w:t>
            </w:r>
          </w:p>
        </w:tc>
        <w:tc>
          <w:tcPr>
            <w:tcW w:w="1134" w:type="dxa"/>
          </w:tcPr>
          <w:p w:rsidR="00547E7E" w:rsidRPr="00075492" w:rsidRDefault="00547E7E">
            <w:pPr>
              <w:pStyle w:val="Normaltindrag"/>
              <w:ind w:firstLine="0"/>
              <w:jc w:val="left"/>
            </w:pPr>
            <w:r w:rsidRPr="00075492">
              <w:t>2991/94</w:t>
            </w:r>
          </w:p>
        </w:tc>
        <w:tc>
          <w:tcPr>
            <w:tcW w:w="4253" w:type="dxa"/>
          </w:tcPr>
          <w:p w:rsidR="00547E7E" w:rsidRPr="00075492" w:rsidRDefault="00547E7E">
            <w:pPr>
              <w:pStyle w:val="Normaltindrag"/>
              <w:ind w:firstLine="0"/>
            </w:pPr>
            <w:r w:rsidRPr="00075492">
              <w:t>Regler för bredbara fetter.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1996</w:t>
            </w:r>
          </w:p>
        </w:tc>
        <w:tc>
          <w:tcPr>
            <w:tcW w:w="1134" w:type="dxa"/>
          </w:tcPr>
          <w:p w:rsidR="00547E7E" w:rsidRPr="00075492" w:rsidRDefault="00547E7E">
            <w:pPr>
              <w:pStyle w:val="Normaltindrag"/>
              <w:ind w:firstLine="0"/>
              <w:jc w:val="left"/>
            </w:pPr>
            <w:r w:rsidRPr="00075492">
              <w:t>2232/96</w:t>
            </w:r>
          </w:p>
        </w:tc>
        <w:tc>
          <w:tcPr>
            <w:tcW w:w="4253" w:type="dxa"/>
          </w:tcPr>
          <w:p w:rsidR="00547E7E" w:rsidRPr="00075492" w:rsidRDefault="00547E7E">
            <w:pPr>
              <w:pStyle w:val="Normaltindrag"/>
              <w:ind w:firstLine="0"/>
            </w:pPr>
            <w:r w:rsidRPr="00075492">
              <w:t>Gemenskapsregler för aromämnen som används eller är avsedda att användas i eller på livsmedel.</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1997</w:t>
            </w:r>
          </w:p>
        </w:tc>
        <w:tc>
          <w:tcPr>
            <w:tcW w:w="1134" w:type="dxa"/>
          </w:tcPr>
          <w:p w:rsidR="00547E7E" w:rsidRPr="00075492" w:rsidRDefault="00547E7E">
            <w:pPr>
              <w:pStyle w:val="Normaltindrag"/>
              <w:ind w:firstLine="0"/>
              <w:jc w:val="left"/>
            </w:pPr>
            <w:r w:rsidRPr="00075492">
              <w:t>258/97</w:t>
            </w:r>
          </w:p>
        </w:tc>
        <w:tc>
          <w:tcPr>
            <w:tcW w:w="4253" w:type="dxa"/>
          </w:tcPr>
          <w:p w:rsidR="00547E7E" w:rsidRPr="00075492" w:rsidRDefault="00547E7E">
            <w:pPr>
              <w:pStyle w:val="Normaltindrag"/>
              <w:ind w:firstLine="0"/>
            </w:pPr>
            <w:r w:rsidRPr="00075492">
              <w:t>Nya livsmedel och nya livsmedelsingredie</w:t>
            </w:r>
            <w:r w:rsidRPr="00075492">
              <w:t>n</w:t>
            </w:r>
            <w:r w:rsidRPr="00075492">
              <w:t>ser.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2596/97</w:t>
            </w:r>
          </w:p>
        </w:tc>
        <w:tc>
          <w:tcPr>
            <w:tcW w:w="4253" w:type="dxa"/>
          </w:tcPr>
          <w:p w:rsidR="00547E7E" w:rsidRPr="00075492" w:rsidRDefault="00547E7E">
            <w:pPr>
              <w:pStyle w:val="Normaltindrag"/>
              <w:ind w:firstLine="0"/>
            </w:pPr>
            <w:r w:rsidRPr="00075492">
              <w:t>Förlängningen av den frist som föreskrivs i artikel 149.1 i Anslutningsakten för Österrike, Finland och Sverige.</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2597/97</w:t>
            </w:r>
          </w:p>
        </w:tc>
        <w:tc>
          <w:tcPr>
            <w:tcW w:w="4253" w:type="dxa"/>
          </w:tcPr>
          <w:p w:rsidR="00547E7E" w:rsidRPr="00075492" w:rsidRDefault="00547E7E">
            <w:pPr>
              <w:pStyle w:val="Normaltindrag"/>
              <w:ind w:firstLine="0"/>
            </w:pPr>
            <w:r w:rsidRPr="00075492">
              <w:t>Ytterligare bestämmelser för den gemensamma org</w:t>
            </w:r>
            <w:r w:rsidRPr="00075492">
              <w:t>a</w:t>
            </w:r>
            <w:r w:rsidRPr="00075492">
              <w:t>nisationen av marknaden för mjölk och mjölkpr</w:t>
            </w:r>
            <w:r w:rsidRPr="00075492">
              <w:t>o</w:t>
            </w:r>
            <w:r w:rsidRPr="00075492">
              <w:t>dukter med avseende på konsumtion</w:t>
            </w:r>
            <w:r w:rsidRPr="00075492">
              <w:t>s</w:t>
            </w:r>
            <w:r w:rsidRPr="00075492">
              <w:t>mjölk.</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1998</w:t>
            </w:r>
          </w:p>
        </w:tc>
        <w:tc>
          <w:tcPr>
            <w:tcW w:w="1134" w:type="dxa"/>
          </w:tcPr>
          <w:p w:rsidR="00547E7E" w:rsidRPr="00075492" w:rsidRDefault="00547E7E">
            <w:pPr>
              <w:pStyle w:val="Normaltindrag"/>
              <w:ind w:firstLine="0"/>
              <w:jc w:val="left"/>
            </w:pPr>
            <w:r w:rsidRPr="00075492">
              <w:t>1139/98</w:t>
            </w:r>
          </w:p>
        </w:tc>
        <w:tc>
          <w:tcPr>
            <w:tcW w:w="4253" w:type="dxa"/>
          </w:tcPr>
          <w:p w:rsidR="00547E7E" w:rsidRPr="00075492" w:rsidRDefault="00547E7E">
            <w:pPr>
              <w:pStyle w:val="Normaltindrag"/>
              <w:ind w:firstLine="0"/>
            </w:pPr>
            <w:r w:rsidRPr="00075492">
              <w:t>Obligatoriska uppgifter vid märkning av vissa liv</w:t>
            </w:r>
            <w:r w:rsidRPr="00075492">
              <w:t>s</w:t>
            </w:r>
            <w:r w:rsidRPr="00075492">
              <w:t>medel som framställs från genetiskt modifierade organismer utöver de uppgifter som föreskrivs i d</w:t>
            </w:r>
            <w:r w:rsidRPr="00075492">
              <w:t>i</w:t>
            </w:r>
            <w:r w:rsidRPr="00075492">
              <w:t>rektiv 79/112/EEG.</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1999</w:t>
            </w:r>
          </w:p>
        </w:tc>
        <w:tc>
          <w:tcPr>
            <w:tcW w:w="1134" w:type="dxa"/>
          </w:tcPr>
          <w:p w:rsidR="00547E7E" w:rsidRPr="00075492" w:rsidRDefault="00547E7E">
            <w:pPr>
              <w:pStyle w:val="Normaltindrag"/>
              <w:ind w:firstLine="0"/>
              <w:jc w:val="left"/>
            </w:pPr>
            <w:r w:rsidRPr="00075492">
              <w:t>1493/1999</w:t>
            </w:r>
          </w:p>
        </w:tc>
        <w:tc>
          <w:tcPr>
            <w:tcW w:w="4253" w:type="dxa"/>
          </w:tcPr>
          <w:p w:rsidR="00547E7E" w:rsidRPr="00075492" w:rsidRDefault="00547E7E">
            <w:pPr>
              <w:pStyle w:val="Normaltindrag"/>
              <w:ind w:firstLine="0"/>
            </w:pPr>
            <w:r w:rsidRPr="00075492">
              <w:t xml:space="preserve">Den gemensamma organisationen av marknaden för vin. </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2000</w:t>
            </w:r>
          </w:p>
        </w:tc>
        <w:tc>
          <w:tcPr>
            <w:tcW w:w="1134" w:type="dxa"/>
          </w:tcPr>
          <w:p w:rsidR="00547E7E" w:rsidRPr="00075492" w:rsidRDefault="00547E7E">
            <w:pPr>
              <w:pStyle w:val="Normaltindrag"/>
              <w:ind w:firstLine="0"/>
              <w:jc w:val="left"/>
            </w:pPr>
            <w:r w:rsidRPr="00075492">
              <w:t>50/2000</w:t>
            </w:r>
          </w:p>
        </w:tc>
        <w:tc>
          <w:tcPr>
            <w:tcW w:w="4253" w:type="dxa"/>
          </w:tcPr>
          <w:p w:rsidR="00547E7E" w:rsidRPr="00075492" w:rsidRDefault="00547E7E">
            <w:pPr>
              <w:pStyle w:val="Normaltindrag"/>
              <w:ind w:firstLine="0"/>
            </w:pPr>
            <w:r w:rsidRPr="00075492">
              <w:t xml:space="preserve">Märkning av livsmedel och livsmedelsingredienser som innehåller genetiskt modifierade tillsatser och aromer eller sådana som framställts av genetiskt modifierade organismer. </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104/2000</w:t>
            </w:r>
          </w:p>
        </w:tc>
        <w:tc>
          <w:tcPr>
            <w:tcW w:w="4253" w:type="dxa"/>
          </w:tcPr>
          <w:p w:rsidR="00547E7E" w:rsidRPr="00075492" w:rsidRDefault="00547E7E">
            <w:pPr>
              <w:pStyle w:val="Normaltindrag"/>
              <w:ind w:firstLine="0"/>
            </w:pPr>
            <w:r w:rsidRPr="00075492">
              <w:t>Den gemensamma organisationen av marknaden för fiskeri- och vattenbruksprodukter.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1760/2000</w:t>
            </w:r>
          </w:p>
        </w:tc>
        <w:tc>
          <w:tcPr>
            <w:tcW w:w="4253" w:type="dxa"/>
          </w:tcPr>
          <w:p w:rsidR="00547E7E" w:rsidRPr="00075492" w:rsidRDefault="00547E7E">
            <w:pPr>
              <w:pStyle w:val="Normaltindrag"/>
              <w:ind w:firstLine="0"/>
            </w:pPr>
            <w:r w:rsidRPr="00075492">
              <w:t>Upprättande av ett system för identifiering och reg</w:t>
            </w:r>
            <w:r w:rsidRPr="00075492">
              <w:t>i</w:t>
            </w:r>
            <w:r w:rsidRPr="00075492">
              <w:t>strering av nötkreatur och om upphävande av rådets föror</w:t>
            </w:r>
            <w:r w:rsidRPr="00075492">
              <w:t>d</w:t>
            </w:r>
            <w:r w:rsidRPr="00075492">
              <w:t>ning (EG) nr 820/97.</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2001</w:t>
            </w:r>
          </w:p>
        </w:tc>
        <w:tc>
          <w:tcPr>
            <w:tcW w:w="1134" w:type="dxa"/>
          </w:tcPr>
          <w:p w:rsidR="00547E7E" w:rsidRPr="00075492" w:rsidRDefault="00547E7E">
            <w:pPr>
              <w:pStyle w:val="Normaltindrag"/>
              <w:ind w:firstLine="0"/>
              <w:jc w:val="left"/>
            </w:pPr>
            <w:r w:rsidRPr="00075492">
              <w:t>999/2001</w:t>
            </w:r>
          </w:p>
        </w:tc>
        <w:tc>
          <w:tcPr>
            <w:tcW w:w="4253" w:type="dxa"/>
          </w:tcPr>
          <w:p w:rsidR="00547E7E" w:rsidRPr="00075492" w:rsidRDefault="00547E7E">
            <w:pPr>
              <w:pStyle w:val="Normaltindrag"/>
              <w:ind w:firstLine="0"/>
            </w:pPr>
            <w:r w:rsidRPr="00075492">
              <w:t>Fastställande av bestämmelser för förebyggande, kontroll och utrotning av vissa typer av transmissibel spongiform encefalopati (TSE/BSE).</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bl>
    <w:p w:rsidR="00547E7E" w:rsidRPr="00075492" w:rsidRDefault="00547E7E"/>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4253"/>
      </w:tblGrid>
      <w:tr w:rsidR="00000000" w:rsidRPr="00075492">
        <w:tblPrEx>
          <w:tblCellMar>
            <w:top w:w="0" w:type="dxa"/>
            <w:bottom w:w="0" w:type="dxa"/>
          </w:tblCellMar>
        </w:tblPrEx>
        <w:trPr>
          <w:cantSplit/>
        </w:trPr>
        <w:tc>
          <w:tcPr>
            <w:tcW w:w="6024" w:type="dxa"/>
            <w:gridSpan w:val="3"/>
          </w:tcPr>
          <w:p w:rsidR="00547E7E" w:rsidRPr="00075492" w:rsidRDefault="00547E7E">
            <w:pPr>
              <w:pStyle w:val="Normaltindrag"/>
              <w:ind w:firstLine="0"/>
            </w:pPr>
            <w:r w:rsidRPr="00075492">
              <w:rPr>
                <w:b/>
              </w:rPr>
              <w:t>Ytterligare förordningar på Livsmedelsverkets webbplats</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1990</w:t>
            </w:r>
          </w:p>
        </w:tc>
        <w:tc>
          <w:tcPr>
            <w:tcW w:w="1134" w:type="dxa"/>
          </w:tcPr>
          <w:p w:rsidR="00547E7E" w:rsidRPr="00075492" w:rsidRDefault="00547E7E">
            <w:pPr>
              <w:pStyle w:val="Normaltindrag"/>
              <w:ind w:firstLine="0"/>
              <w:jc w:val="left"/>
            </w:pPr>
            <w:r w:rsidRPr="00075492">
              <w:t>1014/90</w:t>
            </w:r>
          </w:p>
        </w:tc>
        <w:tc>
          <w:tcPr>
            <w:tcW w:w="4253" w:type="dxa"/>
          </w:tcPr>
          <w:p w:rsidR="00547E7E" w:rsidRPr="00075492" w:rsidRDefault="00547E7E">
            <w:pPr>
              <w:pStyle w:val="Normaltindrag"/>
              <w:ind w:firstLine="0"/>
            </w:pPr>
            <w:r w:rsidRPr="00075492">
              <w:t>Tillämpningsföreskrifter för spritdrycker.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3201/90</w:t>
            </w:r>
          </w:p>
        </w:tc>
        <w:tc>
          <w:tcPr>
            <w:tcW w:w="4253" w:type="dxa"/>
          </w:tcPr>
          <w:p w:rsidR="00547E7E" w:rsidRPr="00075492" w:rsidRDefault="00547E7E">
            <w:pPr>
              <w:pStyle w:val="Normaltindrag"/>
              <w:ind w:firstLine="0"/>
            </w:pPr>
            <w:r w:rsidRPr="00075492">
              <w:t>Närmare bestämmelser om märkning av vin och druvmust.</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1991</w:t>
            </w:r>
          </w:p>
        </w:tc>
        <w:tc>
          <w:tcPr>
            <w:tcW w:w="1134" w:type="dxa"/>
          </w:tcPr>
          <w:p w:rsidR="00547E7E" w:rsidRPr="00075492" w:rsidRDefault="00547E7E">
            <w:pPr>
              <w:pStyle w:val="Normaltindrag"/>
              <w:ind w:firstLine="0"/>
              <w:jc w:val="left"/>
            </w:pPr>
            <w:r w:rsidRPr="00075492">
              <w:t>1274/91</w:t>
            </w:r>
          </w:p>
        </w:tc>
        <w:tc>
          <w:tcPr>
            <w:tcW w:w="4253" w:type="dxa"/>
          </w:tcPr>
          <w:p w:rsidR="00547E7E" w:rsidRPr="00075492" w:rsidRDefault="00547E7E">
            <w:pPr>
              <w:pStyle w:val="Normaltindrag"/>
              <w:ind w:firstLine="0"/>
            </w:pPr>
            <w:r w:rsidRPr="00075492">
              <w:t>Tillämpningsföreskrifter för ägg.</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2092/91</w:t>
            </w:r>
          </w:p>
        </w:tc>
        <w:tc>
          <w:tcPr>
            <w:tcW w:w="4253" w:type="dxa"/>
          </w:tcPr>
          <w:p w:rsidR="00547E7E" w:rsidRPr="00075492" w:rsidRDefault="00547E7E">
            <w:pPr>
              <w:pStyle w:val="Normaltindrag"/>
              <w:ind w:firstLine="0"/>
            </w:pPr>
            <w:r w:rsidRPr="00075492">
              <w:t>Ekologisk produktion av jordbruksprodukter och uppgifter därom på jordbruksprodukter och livsm</w:t>
            </w:r>
            <w:r w:rsidRPr="00075492">
              <w:t>e</w:t>
            </w:r>
            <w:r w:rsidRPr="00075492">
              <w:t xml:space="preserve">del. </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2568/91</w:t>
            </w:r>
          </w:p>
        </w:tc>
        <w:tc>
          <w:tcPr>
            <w:tcW w:w="4253" w:type="dxa"/>
          </w:tcPr>
          <w:p w:rsidR="00547E7E" w:rsidRPr="00075492" w:rsidRDefault="00547E7E">
            <w:pPr>
              <w:pStyle w:val="Normaltindrag"/>
              <w:ind w:firstLine="0"/>
            </w:pPr>
            <w:r w:rsidRPr="00075492">
              <w:t>Egenskaper hos olivolja och olivolja av pressrester och om lämpliga analysmetoder.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1992</w:t>
            </w:r>
          </w:p>
        </w:tc>
        <w:tc>
          <w:tcPr>
            <w:tcW w:w="1134" w:type="dxa"/>
          </w:tcPr>
          <w:p w:rsidR="00547E7E" w:rsidRPr="00075492" w:rsidRDefault="00547E7E">
            <w:pPr>
              <w:pStyle w:val="Normaltindrag"/>
              <w:ind w:firstLine="0"/>
              <w:jc w:val="left"/>
            </w:pPr>
            <w:r w:rsidRPr="00075492">
              <w:t>2081/92</w:t>
            </w:r>
          </w:p>
        </w:tc>
        <w:tc>
          <w:tcPr>
            <w:tcW w:w="4253" w:type="dxa"/>
          </w:tcPr>
          <w:p w:rsidR="00547E7E" w:rsidRPr="00075492" w:rsidRDefault="00547E7E">
            <w:pPr>
              <w:pStyle w:val="Normaltindrag"/>
              <w:ind w:firstLine="0"/>
            </w:pPr>
            <w:r w:rsidRPr="00075492">
              <w:t>Skydd för geografiska och ursprungsbetecknin</w:t>
            </w:r>
            <w:r w:rsidRPr="00075492">
              <w:t>g</w:t>
            </w:r>
            <w:r w:rsidRPr="00075492">
              <w:t>ar.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2082/92</w:t>
            </w:r>
          </w:p>
        </w:tc>
        <w:tc>
          <w:tcPr>
            <w:tcW w:w="4253" w:type="dxa"/>
          </w:tcPr>
          <w:p w:rsidR="00547E7E" w:rsidRPr="00075492" w:rsidRDefault="00547E7E">
            <w:pPr>
              <w:pStyle w:val="Normaltindrag"/>
              <w:ind w:firstLine="0"/>
            </w:pPr>
            <w:r w:rsidRPr="00075492">
              <w:t>Särartsskydd för jordbruksprodukter och livsm</w:t>
            </w:r>
            <w:r w:rsidRPr="00075492">
              <w:t>e</w:t>
            </w:r>
            <w:r w:rsidRPr="00075492">
              <w:t>del.</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1993</w:t>
            </w:r>
          </w:p>
        </w:tc>
        <w:tc>
          <w:tcPr>
            <w:tcW w:w="1134" w:type="dxa"/>
          </w:tcPr>
          <w:p w:rsidR="00547E7E" w:rsidRPr="00075492" w:rsidRDefault="00547E7E">
            <w:pPr>
              <w:pStyle w:val="Normaltindrag"/>
              <w:ind w:firstLine="0"/>
              <w:jc w:val="left"/>
            </w:pPr>
            <w:r w:rsidRPr="00075492">
              <w:t>339/93</w:t>
            </w:r>
          </w:p>
        </w:tc>
        <w:tc>
          <w:tcPr>
            <w:tcW w:w="4253" w:type="dxa"/>
          </w:tcPr>
          <w:p w:rsidR="00547E7E" w:rsidRPr="00075492" w:rsidRDefault="00547E7E">
            <w:pPr>
              <w:pStyle w:val="Normaltindrag"/>
              <w:ind w:firstLine="0"/>
            </w:pPr>
            <w:r w:rsidRPr="00075492">
              <w:t>Kontroll av produktsäkerhet vid import från tredje land.</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1994</w:t>
            </w:r>
          </w:p>
        </w:tc>
        <w:tc>
          <w:tcPr>
            <w:tcW w:w="1134" w:type="dxa"/>
          </w:tcPr>
          <w:p w:rsidR="00547E7E" w:rsidRPr="00075492" w:rsidRDefault="00547E7E">
            <w:pPr>
              <w:pStyle w:val="Normaltindrag"/>
              <w:ind w:firstLine="0"/>
              <w:jc w:val="left"/>
            </w:pPr>
            <w:r w:rsidRPr="00075492">
              <w:t>1093/94</w:t>
            </w:r>
          </w:p>
        </w:tc>
        <w:tc>
          <w:tcPr>
            <w:tcW w:w="4253" w:type="dxa"/>
          </w:tcPr>
          <w:p w:rsidR="00547E7E" w:rsidRPr="00075492" w:rsidRDefault="00547E7E">
            <w:pPr>
              <w:pStyle w:val="Normaltindrag"/>
              <w:ind w:firstLine="0"/>
            </w:pPr>
            <w:r w:rsidRPr="00075492">
              <w:t>Marknadsordning för direktlandning av fisk från tredje land.</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1998</w:t>
            </w:r>
          </w:p>
        </w:tc>
        <w:tc>
          <w:tcPr>
            <w:tcW w:w="1134" w:type="dxa"/>
          </w:tcPr>
          <w:p w:rsidR="00547E7E" w:rsidRPr="00075492" w:rsidRDefault="00547E7E">
            <w:pPr>
              <w:pStyle w:val="Normaltindrag"/>
              <w:ind w:firstLine="0"/>
              <w:jc w:val="left"/>
            </w:pPr>
            <w:r w:rsidRPr="00075492">
              <w:t>280/98</w:t>
            </w:r>
          </w:p>
        </w:tc>
        <w:tc>
          <w:tcPr>
            <w:tcW w:w="4253" w:type="dxa"/>
          </w:tcPr>
          <w:p w:rsidR="00547E7E" w:rsidRPr="00075492" w:rsidRDefault="00547E7E">
            <w:pPr>
              <w:pStyle w:val="Normaltindrag"/>
              <w:ind w:firstLine="0"/>
            </w:pPr>
            <w:r w:rsidRPr="00075492">
              <w:t>Undantagsregler för konsumtionsmjölk som produc</w:t>
            </w:r>
            <w:r w:rsidRPr="00075492">
              <w:t>e</w:t>
            </w:r>
            <w:r w:rsidRPr="00075492">
              <w:t>ras i Finland och Sverige.</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2815/98</w:t>
            </w:r>
          </w:p>
        </w:tc>
        <w:tc>
          <w:tcPr>
            <w:tcW w:w="4253" w:type="dxa"/>
          </w:tcPr>
          <w:p w:rsidR="00547E7E" w:rsidRPr="00075492" w:rsidRDefault="00547E7E">
            <w:pPr>
              <w:pStyle w:val="Normaltindrag"/>
              <w:ind w:firstLine="0"/>
            </w:pPr>
            <w:r w:rsidRPr="00075492">
              <w:t>Marknadsordning för olivolja.</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2000</w:t>
            </w:r>
          </w:p>
        </w:tc>
        <w:tc>
          <w:tcPr>
            <w:tcW w:w="1134" w:type="dxa"/>
          </w:tcPr>
          <w:p w:rsidR="00547E7E" w:rsidRPr="00075492" w:rsidRDefault="00547E7E">
            <w:pPr>
              <w:pStyle w:val="Normaltindrag"/>
              <w:ind w:firstLine="0"/>
              <w:jc w:val="left"/>
            </w:pPr>
            <w:r w:rsidRPr="00075492">
              <w:t>104/2000</w:t>
            </w:r>
          </w:p>
        </w:tc>
        <w:tc>
          <w:tcPr>
            <w:tcW w:w="4253" w:type="dxa"/>
          </w:tcPr>
          <w:p w:rsidR="00547E7E" w:rsidRPr="00075492" w:rsidRDefault="00547E7E">
            <w:pPr>
              <w:pStyle w:val="Normaltindrag"/>
              <w:ind w:firstLine="0"/>
            </w:pPr>
            <w:r w:rsidRPr="00075492">
              <w:t>Den gemensamma organisationen av marknaden för fiskeri- och vattenbruksprodukter.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1607/2000</w:t>
            </w:r>
          </w:p>
        </w:tc>
        <w:tc>
          <w:tcPr>
            <w:tcW w:w="4253" w:type="dxa"/>
          </w:tcPr>
          <w:p w:rsidR="00547E7E" w:rsidRPr="00075492" w:rsidRDefault="00547E7E">
            <w:pPr>
              <w:pStyle w:val="Normaltindrag"/>
              <w:ind w:firstLine="0"/>
            </w:pPr>
            <w:r w:rsidRPr="00075492">
              <w:t>Tillämpningsföreskrifter för kvalitetsvin framställt inom specialiserade områden.</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1622/2000</w:t>
            </w:r>
          </w:p>
        </w:tc>
        <w:tc>
          <w:tcPr>
            <w:tcW w:w="4253" w:type="dxa"/>
          </w:tcPr>
          <w:p w:rsidR="00547E7E" w:rsidRPr="00075492" w:rsidRDefault="00547E7E">
            <w:pPr>
              <w:pStyle w:val="Normaltindrag"/>
              <w:ind w:firstLine="0"/>
            </w:pPr>
            <w:r w:rsidRPr="00075492">
              <w:t>Gemenskapskodex för oenologiska metoder och behan</w:t>
            </w:r>
            <w:r w:rsidRPr="00075492">
              <w:t>d</w:t>
            </w:r>
            <w:r w:rsidRPr="00075492">
              <w:t>lingar.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2001</w:t>
            </w:r>
          </w:p>
        </w:tc>
        <w:tc>
          <w:tcPr>
            <w:tcW w:w="1134" w:type="dxa"/>
          </w:tcPr>
          <w:p w:rsidR="00547E7E" w:rsidRPr="00075492" w:rsidRDefault="00547E7E">
            <w:pPr>
              <w:pStyle w:val="Normaltindrag"/>
              <w:ind w:firstLine="0"/>
              <w:jc w:val="left"/>
            </w:pPr>
            <w:r w:rsidRPr="00075492">
              <w:t>466/2001</w:t>
            </w:r>
          </w:p>
        </w:tc>
        <w:tc>
          <w:tcPr>
            <w:tcW w:w="4253" w:type="dxa"/>
          </w:tcPr>
          <w:p w:rsidR="00547E7E" w:rsidRPr="00075492" w:rsidRDefault="00547E7E">
            <w:pPr>
              <w:pStyle w:val="Normaltindrag"/>
              <w:ind w:firstLine="0"/>
            </w:pPr>
            <w:r w:rsidRPr="00075492">
              <w:t>Fastställande av högsta tillåtna halt för vissa frä</w:t>
            </w:r>
            <w:r w:rsidRPr="00075492">
              <w:t>m</w:t>
            </w:r>
            <w:r w:rsidRPr="00075492">
              <w:t>mande ämnen i livsmedel.</w:t>
            </w:r>
          </w:p>
        </w:tc>
      </w:tr>
    </w:tbl>
    <w:p w:rsidR="00547E7E" w:rsidRPr="00075492" w:rsidRDefault="00547E7E"/>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4253"/>
      </w:tblGrid>
      <w:tr w:rsidR="00000000" w:rsidRPr="00075492">
        <w:tblPrEx>
          <w:tblCellMar>
            <w:top w:w="0" w:type="dxa"/>
            <w:bottom w:w="0" w:type="dxa"/>
          </w:tblCellMar>
        </w:tblPrEx>
        <w:trPr>
          <w:cantSplit/>
        </w:trPr>
        <w:tc>
          <w:tcPr>
            <w:tcW w:w="6024" w:type="dxa"/>
            <w:gridSpan w:val="3"/>
          </w:tcPr>
          <w:p w:rsidR="00547E7E" w:rsidRPr="00075492" w:rsidRDefault="00547E7E">
            <w:pPr>
              <w:pStyle w:val="Normaltindrag"/>
              <w:ind w:firstLine="0"/>
            </w:pPr>
            <w:r w:rsidRPr="00075492">
              <w:rPr>
                <w:b/>
              </w:rPr>
              <w:t>Ytterligare förordningar identifierade av Livsmedelsve</w:t>
            </w:r>
            <w:r w:rsidRPr="00075492">
              <w:rPr>
                <w:b/>
              </w:rPr>
              <w:t>r</w:t>
            </w:r>
            <w:r w:rsidRPr="00075492">
              <w:rPr>
                <w:b/>
              </w:rPr>
              <w:t>ket</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1990</w:t>
            </w:r>
          </w:p>
        </w:tc>
        <w:tc>
          <w:tcPr>
            <w:tcW w:w="1134" w:type="dxa"/>
          </w:tcPr>
          <w:p w:rsidR="00547E7E" w:rsidRPr="00075492" w:rsidRDefault="00547E7E">
            <w:pPr>
              <w:pStyle w:val="Normaltindrag"/>
              <w:ind w:firstLine="0"/>
              <w:jc w:val="left"/>
            </w:pPr>
            <w:r w:rsidRPr="00075492">
              <w:t>2676/90</w:t>
            </w:r>
          </w:p>
        </w:tc>
        <w:tc>
          <w:tcPr>
            <w:tcW w:w="4253" w:type="dxa"/>
          </w:tcPr>
          <w:p w:rsidR="00547E7E" w:rsidRPr="00075492" w:rsidRDefault="00547E7E">
            <w:pPr>
              <w:pStyle w:val="Normaltindrag"/>
              <w:ind w:firstLine="0"/>
            </w:pPr>
            <w:r w:rsidRPr="00075492">
              <w:t>Framställande av gemensamma analysmetoder för vin.</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1991</w:t>
            </w:r>
          </w:p>
        </w:tc>
        <w:tc>
          <w:tcPr>
            <w:tcW w:w="1134" w:type="dxa"/>
          </w:tcPr>
          <w:p w:rsidR="00547E7E" w:rsidRPr="00075492" w:rsidRDefault="00547E7E">
            <w:pPr>
              <w:pStyle w:val="Normaltindrag"/>
              <w:ind w:firstLine="0"/>
              <w:jc w:val="left"/>
            </w:pPr>
            <w:r w:rsidRPr="00075492">
              <w:t>1538/91</w:t>
            </w:r>
          </w:p>
        </w:tc>
        <w:tc>
          <w:tcPr>
            <w:tcW w:w="4253" w:type="dxa"/>
          </w:tcPr>
          <w:p w:rsidR="00547E7E" w:rsidRPr="00075492" w:rsidRDefault="00547E7E">
            <w:pPr>
              <w:pStyle w:val="Normaltindrag"/>
              <w:ind w:firstLine="0"/>
            </w:pPr>
            <w:r w:rsidRPr="00075492">
              <w:t>Tillämpningsföreskrifter för fjäderfä till 1906/90.</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1992</w:t>
            </w:r>
          </w:p>
        </w:tc>
        <w:tc>
          <w:tcPr>
            <w:tcW w:w="1134" w:type="dxa"/>
          </w:tcPr>
          <w:p w:rsidR="00547E7E" w:rsidRPr="00075492" w:rsidRDefault="00547E7E">
            <w:pPr>
              <w:pStyle w:val="Normaltindrag"/>
              <w:ind w:firstLine="0"/>
              <w:jc w:val="left"/>
            </w:pPr>
            <w:r w:rsidRPr="00075492">
              <w:t>94/92</w:t>
            </w:r>
          </w:p>
        </w:tc>
        <w:tc>
          <w:tcPr>
            <w:tcW w:w="4253" w:type="dxa"/>
          </w:tcPr>
          <w:p w:rsidR="00547E7E" w:rsidRPr="00075492" w:rsidRDefault="00547E7E">
            <w:pPr>
              <w:pStyle w:val="Normaltindrag"/>
              <w:ind w:firstLine="0"/>
            </w:pPr>
            <w:r w:rsidRPr="00075492">
              <w:t>Import från tredje land.</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2009/92</w:t>
            </w:r>
          </w:p>
        </w:tc>
        <w:tc>
          <w:tcPr>
            <w:tcW w:w="4253" w:type="dxa"/>
          </w:tcPr>
          <w:p w:rsidR="00547E7E" w:rsidRPr="00075492" w:rsidRDefault="00547E7E">
            <w:pPr>
              <w:pStyle w:val="Normaltindrag"/>
              <w:ind w:firstLine="0"/>
            </w:pPr>
            <w:r w:rsidRPr="00075492">
              <w:t>Gemenskapsmetoder för analys av jordbruksalkohol som används vid framställning av spritdrycker, ar</w:t>
            </w:r>
            <w:r w:rsidRPr="00075492">
              <w:t>o</w:t>
            </w:r>
            <w:r w:rsidRPr="00075492">
              <w:t>matiserade viner, aromatiserade vinbaserade drycker och aromatiserade drinkar bas</w:t>
            </w:r>
            <w:r w:rsidRPr="00075492">
              <w:t>e</w:t>
            </w:r>
            <w:r w:rsidRPr="00075492">
              <w:t>rade på vinprodukter.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1993</w:t>
            </w:r>
          </w:p>
        </w:tc>
        <w:tc>
          <w:tcPr>
            <w:tcW w:w="1134" w:type="dxa"/>
          </w:tcPr>
          <w:p w:rsidR="00547E7E" w:rsidRPr="00075492" w:rsidRDefault="00547E7E">
            <w:pPr>
              <w:pStyle w:val="Normaltindrag"/>
              <w:ind w:firstLine="0"/>
              <w:jc w:val="left"/>
            </w:pPr>
            <w:r w:rsidRPr="00075492">
              <w:t>207/93</w:t>
            </w:r>
          </w:p>
        </w:tc>
        <w:tc>
          <w:tcPr>
            <w:tcW w:w="4253" w:type="dxa"/>
          </w:tcPr>
          <w:p w:rsidR="00547E7E" w:rsidRPr="00075492" w:rsidRDefault="00547E7E">
            <w:pPr>
              <w:pStyle w:val="Normaltindrag"/>
              <w:ind w:firstLine="0"/>
            </w:pPr>
            <w:r w:rsidRPr="00075492">
              <w:t>Ingredienser som inte är av jordbruksursprung, pr</w:t>
            </w:r>
            <w:r w:rsidRPr="00075492">
              <w:t>o</w:t>
            </w:r>
            <w:r w:rsidRPr="00075492">
              <w:t>cess</w:t>
            </w:r>
            <w:r w:rsidRPr="00075492">
              <w:softHyphen/>
              <w:t>hjälpmedel samt icke ekologiskt framställda ingredie</w:t>
            </w:r>
            <w:r w:rsidRPr="00075492">
              <w:t>n</w:t>
            </w:r>
            <w:r w:rsidRPr="00075492">
              <w:t>ser.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1848/93</w:t>
            </w:r>
          </w:p>
        </w:tc>
        <w:tc>
          <w:tcPr>
            <w:tcW w:w="4253" w:type="dxa"/>
          </w:tcPr>
          <w:p w:rsidR="00547E7E" w:rsidRPr="00075492" w:rsidRDefault="00547E7E">
            <w:pPr>
              <w:pStyle w:val="Normaltindrag"/>
              <w:ind w:firstLine="0"/>
            </w:pPr>
            <w:r w:rsidRPr="00075492">
              <w:t>Tillämpningsföreskrifter för särartsskydd till 2082/92.</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2037/93</w:t>
            </w:r>
          </w:p>
        </w:tc>
        <w:tc>
          <w:tcPr>
            <w:tcW w:w="4253" w:type="dxa"/>
          </w:tcPr>
          <w:p w:rsidR="00547E7E" w:rsidRPr="00075492" w:rsidRDefault="00547E7E">
            <w:pPr>
              <w:pStyle w:val="Normaltindrag"/>
              <w:ind w:firstLine="0"/>
            </w:pPr>
            <w:r w:rsidRPr="00075492">
              <w:t>Tillämpningsföreskrifter för geografiska beteckningar och ursprungsbeteckningar till 2081/92.</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1994</w:t>
            </w:r>
          </w:p>
        </w:tc>
        <w:tc>
          <w:tcPr>
            <w:tcW w:w="1134" w:type="dxa"/>
          </w:tcPr>
          <w:p w:rsidR="00547E7E" w:rsidRPr="00075492" w:rsidRDefault="00547E7E">
            <w:pPr>
              <w:pStyle w:val="Normaltindrag"/>
              <w:ind w:firstLine="0"/>
              <w:jc w:val="left"/>
            </w:pPr>
            <w:r w:rsidRPr="00075492">
              <w:t>122/94</w:t>
            </w:r>
          </w:p>
        </w:tc>
        <w:tc>
          <w:tcPr>
            <w:tcW w:w="4253" w:type="dxa"/>
          </w:tcPr>
          <w:p w:rsidR="00547E7E" w:rsidRPr="00075492" w:rsidRDefault="00547E7E">
            <w:pPr>
              <w:pStyle w:val="Normaltindrag"/>
              <w:ind w:firstLine="0"/>
            </w:pPr>
            <w:r w:rsidRPr="00075492">
              <w:t>Tillämpningsföreskrifter om definition, beskrivning och presentation av aromatiserade viner, aromatiser</w:t>
            </w:r>
            <w:r w:rsidRPr="00075492">
              <w:t>a</w:t>
            </w:r>
            <w:r w:rsidRPr="00075492">
              <w:t>de vinbaserade drycker och aromatiserade cocktails av vinpr</w:t>
            </w:r>
            <w:r w:rsidRPr="00075492">
              <w:t>o</w:t>
            </w:r>
            <w:r w:rsidRPr="00075492">
              <w:t>dukter.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1995</w:t>
            </w:r>
          </w:p>
        </w:tc>
        <w:tc>
          <w:tcPr>
            <w:tcW w:w="1134" w:type="dxa"/>
          </w:tcPr>
          <w:p w:rsidR="00547E7E" w:rsidRPr="00075492" w:rsidRDefault="00547E7E">
            <w:pPr>
              <w:pStyle w:val="Normaltindrag"/>
              <w:ind w:firstLine="0"/>
              <w:jc w:val="left"/>
            </w:pPr>
            <w:r w:rsidRPr="00075492">
              <w:t>554/95</w:t>
            </w:r>
          </w:p>
        </w:tc>
        <w:tc>
          <w:tcPr>
            <w:tcW w:w="4253" w:type="dxa"/>
          </w:tcPr>
          <w:p w:rsidR="00547E7E" w:rsidRPr="00075492" w:rsidRDefault="00547E7E">
            <w:pPr>
              <w:pStyle w:val="Normaltindrag"/>
              <w:ind w:firstLine="0"/>
            </w:pPr>
            <w:r w:rsidRPr="00075492">
              <w:t>Närmare bestämmelser om beskrivning och present</w:t>
            </w:r>
            <w:r w:rsidRPr="00075492">
              <w:t>a</w:t>
            </w:r>
            <w:r w:rsidRPr="00075492">
              <w:t xml:space="preserve">tion av mousserande vin och mousserande vin med tillsatt koldioxid. </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1996</w:t>
            </w:r>
          </w:p>
        </w:tc>
        <w:tc>
          <w:tcPr>
            <w:tcW w:w="1134" w:type="dxa"/>
          </w:tcPr>
          <w:p w:rsidR="00547E7E" w:rsidRPr="00075492" w:rsidRDefault="00547E7E">
            <w:pPr>
              <w:pStyle w:val="Normaltindrag"/>
              <w:ind w:firstLine="0"/>
              <w:jc w:val="left"/>
            </w:pPr>
            <w:r w:rsidRPr="00075492">
              <w:t>1107/96</w:t>
            </w:r>
          </w:p>
        </w:tc>
        <w:tc>
          <w:tcPr>
            <w:tcW w:w="4253" w:type="dxa"/>
          </w:tcPr>
          <w:p w:rsidR="00547E7E" w:rsidRPr="00075492" w:rsidRDefault="00547E7E">
            <w:pPr>
              <w:pStyle w:val="Normaltindrag"/>
              <w:ind w:firstLine="0"/>
            </w:pPr>
            <w:r w:rsidRPr="00075492">
              <w:t>Registrering av geografiska beteckningar och u</w:t>
            </w:r>
            <w:r w:rsidRPr="00075492">
              <w:t>r</w:t>
            </w:r>
            <w:r w:rsidRPr="00075492">
              <w:t>sprung</w:t>
            </w:r>
            <w:r w:rsidRPr="00075492">
              <w:t>s</w:t>
            </w:r>
            <w:r w:rsidRPr="00075492">
              <w:t>beteckningar.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2400/96</w:t>
            </w:r>
          </w:p>
        </w:tc>
        <w:tc>
          <w:tcPr>
            <w:tcW w:w="4253" w:type="dxa"/>
          </w:tcPr>
          <w:p w:rsidR="00547E7E" w:rsidRPr="00075492" w:rsidRDefault="00547E7E">
            <w:pPr>
              <w:pStyle w:val="Normaltindrag"/>
              <w:ind w:firstLine="0"/>
            </w:pPr>
            <w:r w:rsidRPr="00075492">
              <w:t>Upptagande av vissa namn i registret över betec</w:t>
            </w:r>
            <w:r w:rsidRPr="00075492">
              <w:t>k</w:t>
            </w:r>
            <w:r w:rsidRPr="00075492">
              <w:t>ningar.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1997</w:t>
            </w:r>
          </w:p>
        </w:tc>
        <w:tc>
          <w:tcPr>
            <w:tcW w:w="1134" w:type="dxa"/>
          </w:tcPr>
          <w:p w:rsidR="00547E7E" w:rsidRPr="00075492" w:rsidRDefault="00547E7E">
            <w:pPr>
              <w:pStyle w:val="Normaltindrag"/>
              <w:ind w:firstLine="0"/>
              <w:jc w:val="left"/>
            </w:pPr>
            <w:r w:rsidRPr="00075492">
              <w:t>194/97</w:t>
            </w:r>
          </w:p>
        </w:tc>
        <w:tc>
          <w:tcPr>
            <w:tcW w:w="4253" w:type="dxa"/>
          </w:tcPr>
          <w:p w:rsidR="00547E7E" w:rsidRPr="00075492" w:rsidRDefault="00547E7E">
            <w:pPr>
              <w:pStyle w:val="Normaltindrag"/>
              <w:ind w:firstLine="0"/>
            </w:pPr>
            <w:r w:rsidRPr="00075492">
              <w:t>Högsta tillåtna halter av främmande ämnen.</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577/97</w:t>
            </w:r>
          </w:p>
        </w:tc>
        <w:tc>
          <w:tcPr>
            <w:tcW w:w="4253" w:type="dxa"/>
          </w:tcPr>
          <w:p w:rsidR="00547E7E" w:rsidRPr="00075492" w:rsidRDefault="00547E7E">
            <w:pPr>
              <w:pStyle w:val="Normaltindrag"/>
              <w:ind w:firstLine="0"/>
            </w:pPr>
            <w:r w:rsidRPr="00075492">
              <w:t>Tillämpningsföreskrifter för mjölk och mjölkpr</w:t>
            </w:r>
            <w:r w:rsidRPr="00075492">
              <w:t>o</w:t>
            </w:r>
            <w:r w:rsidRPr="00075492">
              <w:t>dukter till 1898/87.</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2301/97</w:t>
            </w:r>
          </w:p>
        </w:tc>
        <w:tc>
          <w:tcPr>
            <w:tcW w:w="4253" w:type="dxa"/>
          </w:tcPr>
          <w:p w:rsidR="00547E7E" w:rsidRPr="00075492" w:rsidRDefault="00547E7E">
            <w:pPr>
              <w:pStyle w:val="Normaltindrag"/>
              <w:ind w:firstLine="0"/>
            </w:pPr>
            <w:r w:rsidRPr="00075492">
              <w:t>Benämningar i registret över skyddade sära</w:t>
            </w:r>
            <w:r w:rsidRPr="00075492">
              <w:t>r</w:t>
            </w:r>
            <w:r w:rsidRPr="00075492">
              <w:t>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1999</w:t>
            </w:r>
          </w:p>
        </w:tc>
        <w:tc>
          <w:tcPr>
            <w:tcW w:w="1134" w:type="dxa"/>
          </w:tcPr>
          <w:p w:rsidR="00547E7E" w:rsidRPr="00075492" w:rsidRDefault="00547E7E">
            <w:pPr>
              <w:pStyle w:val="Normaltindrag"/>
              <w:ind w:firstLine="0"/>
              <w:jc w:val="left"/>
            </w:pPr>
            <w:r w:rsidRPr="00075492">
              <w:t>872/1999</w:t>
            </w:r>
          </w:p>
        </w:tc>
        <w:tc>
          <w:tcPr>
            <w:tcW w:w="4253" w:type="dxa"/>
          </w:tcPr>
          <w:p w:rsidR="00547E7E" w:rsidRPr="00075492" w:rsidRDefault="00547E7E">
            <w:pPr>
              <w:pStyle w:val="Normaltindrag"/>
              <w:ind w:firstLine="0"/>
            </w:pPr>
            <w:r w:rsidRPr="00075492">
              <w:t>Upptagande av vissa namn i registret över betec</w:t>
            </w:r>
            <w:r w:rsidRPr="00075492">
              <w:t>k</w:t>
            </w:r>
            <w:r w:rsidRPr="00075492">
              <w:t>ningar.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1804/1999</w:t>
            </w:r>
          </w:p>
        </w:tc>
        <w:tc>
          <w:tcPr>
            <w:tcW w:w="4253" w:type="dxa"/>
          </w:tcPr>
          <w:p w:rsidR="00547E7E" w:rsidRPr="00075492" w:rsidRDefault="00547E7E">
            <w:pPr>
              <w:pStyle w:val="Normaltindrag"/>
              <w:ind w:firstLine="0"/>
            </w:pPr>
            <w:r w:rsidRPr="00075492">
              <w:t>Ekologisk produktion; animalier.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2000</w:t>
            </w:r>
          </w:p>
        </w:tc>
        <w:tc>
          <w:tcPr>
            <w:tcW w:w="1134" w:type="dxa"/>
          </w:tcPr>
          <w:p w:rsidR="00547E7E" w:rsidRPr="00075492" w:rsidRDefault="00547E7E">
            <w:pPr>
              <w:pStyle w:val="Normaltindrag"/>
              <w:ind w:firstLine="0"/>
              <w:jc w:val="left"/>
            </w:pPr>
            <w:r w:rsidRPr="00075492">
              <w:t>169/2000</w:t>
            </w:r>
          </w:p>
        </w:tc>
        <w:tc>
          <w:tcPr>
            <w:tcW w:w="4253" w:type="dxa"/>
          </w:tcPr>
          <w:p w:rsidR="00547E7E" w:rsidRPr="00075492" w:rsidRDefault="00547E7E">
            <w:pPr>
              <w:pStyle w:val="Normaltindrag"/>
              <w:ind w:firstLine="0"/>
            </w:pPr>
            <w:r w:rsidRPr="00075492">
              <w:t>Tillfälligt undantag för mjölk producerad i Sverige; fetthalter.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1565/00</w:t>
            </w:r>
          </w:p>
        </w:tc>
        <w:tc>
          <w:tcPr>
            <w:tcW w:w="4253" w:type="dxa"/>
          </w:tcPr>
          <w:p w:rsidR="00547E7E" w:rsidRPr="00075492" w:rsidRDefault="00547E7E">
            <w:pPr>
              <w:pStyle w:val="Normaltindrag"/>
              <w:ind w:firstLine="0"/>
            </w:pPr>
            <w:r w:rsidRPr="00075492">
              <w:t>Utvärderingsprogram för aromämnen.</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1608/2000</w:t>
            </w:r>
          </w:p>
        </w:tc>
        <w:tc>
          <w:tcPr>
            <w:tcW w:w="4253" w:type="dxa"/>
          </w:tcPr>
          <w:p w:rsidR="00547E7E" w:rsidRPr="00075492" w:rsidRDefault="00547E7E">
            <w:pPr>
              <w:pStyle w:val="Normaltindrag"/>
              <w:ind w:firstLine="0"/>
            </w:pPr>
            <w:r w:rsidRPr="00075492">
              <w:t>Övergångsåtgärder i väntan på slutliga tillämpning</w:t>
            </w:r>
            <w:r w:rsidRPr="00075492">
              <w:t>s</w:t>
            </w:r>
            <w:r w:rsidRPr="00075492">
              <w:t>bestämmelser för EG 1493/1999 om den gemensa</w:t>
            </w:r>
            <w:r w:rsidRPr="00075492">
              <w:t>m</w:t>
            </w:r>
            <w:r w:rsidRPr="00075492">
              <w:t>ma organisationen av marknaden för vin.</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2729/2000</w:t>
            </w:r>
          </w:p>
        </w:tc>
        <w:tc>
          <w:tcPr>
            <w:tcW w:w="4253" w:type="dxa"/>
          </w:tcPr>
          <w:p w:rsidR="00547E7E" w:rsidRPr="00075492" w:rsidRDefault="00547E7E">
            <w:pPr>
              <w:pStyle w:val="Normaltindrag"/>
              <w:ind w:firstLine="0"/>
            </w:pPr>
            <w:r w:rsidRPr="00075492">
              <w:t>Tillämpningsföreskrifter för kontroller inom vinse</w:t>
            </w:r>
            <w:r w:rsidRPr="00075492">
              <w:t>k</w:t>
            </w:r>
            <w:r w:rsidRPr="00075492">
              <w:t>torn.</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2870/2000</w:t>
            </w:r>
          </w:p>
        </w:tc>
        <w:tc>
          <w:tcPr>
            <w:tcW w:w="4253" w:type="dxa"/>
          </w:tcPr>
          <w:p w:rsidR="00547E7E" w:rsidRPr="00075492" w:rsidRDefault="00547E7E">
            <w:pPr>
              <w:pStyle w:val="Normaltindrag"/>
              <w:ind w:firstLine="0"/>
            </w:pPr>
            <w:r w:rsidRPr="00075492">
              <w:t>Gemenskapsmetoder för analys av spritdryc</w:t>
            </w:r>
            <w:r w:rsidRPr="00075492">
              <w:t>k</w:t>
            </w:r>
            <w:r w:rsidRPr="00075492">
              <w:t>er.</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p>
        </w:tc>
        <w:tc>
          <w:tcPr>
            <w:tcW w:w="4253" w:type="dxa"/>
          </w:tcPr>
          <w:p w:rsidR="00547E7E" w:rsidRPr="00075492" w:rsidRDefault="00547E7E">
            <w:pPr>
              <w:pStyle w:val="Normaltindrag"/>
              <w:ind w:firstLine="0"/>
            </w:pP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r w:rsidRPr="00075492">
              <w:rPr>
                <w:b/>
              </w:rPr>
              <w:t>2001</w:t>
            </w:r>
          </w:p>
        </w:tc>
        <w:tc>
          <w:tcPr>
            <w:tcW w:w="1134" w:type="dxa"/>
          </w:tcPr>
          <w:p w:rsidR="00547E7E" w:rsidRPr="00075492" w:rsidRDefault="00547E7E">
            <w:pPr>
              <w:pStyle w:val="Normaltindrag"/>
              <w:ind w:firstLine="0"/>
              <w:jc w:val="left"/>
            </w:pPr>
            <w:r w:rsidRPr="00075492">
              <w:t>883/2001</w:t>
            </w:r>
          </w:p>
        </w:tc>
        <w:tc>
          <w:tcPr>
            <w:tcW w:w="4253" w:type="dxa"/>
          </w:tcPr>
          <w:p w:rsidR="00547E7E" w:rsidRPr="00075492" w:rsidRDefault="00547E7E">
            <w:pPr>
              <w:pStyle w:val="Normaltindrag"/>
              <w:ind w:firstLine="0"/>
            </w:pPr>
            <w:r w:rsidRPr="00075492">
              <w:t>Tillämpningsföreskrifter för handeln med produkter inom vinsektorn med tredje land.</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884/2001</w:t>
            </w:r>
          </w:p>
        </w:tc>
        <w:tc>
          <w:tcPr>
            <w:tcW w:w="4253" w:type="dxa"/>
          </w:tcPr>
          <w:p w:rsidR="00547E7E" w:rsidRPr="00075492" w:rsidRDefault="00547E7E">
            <w:pPr>
              <w:pStyle w:val="Normaltindrag"/>
              <w:ind w:firstLine="0"/>
            </w:pPr>
            <w:r w:rsidRPr="00075492">
              <w:t>Tillämpningsföreskrifter för följedokument vid tran</w:t>
            </w:r>
            <w:r w:rsidRPr="00075492">
              <w:t>s</w:t>
            </w:r>
            <w:r w:rsidRPr="00075492">
              <w:t>port av vinprodukter och för register som skall föras inom vinsektorn.</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1037/2001</w:t>
            </w:r>
          </w:p>
        </w:tc>
        <w:tc>
          <w:tcPr>
            <w:tcW w:w="4253" w:type="dxa"/>
          </w:tcPr>
          <w:p w:rsidR="00547E7E" w:rsidRPr="00075492" w:rsidRDefault="00547E7E">
            <w:pPr>
              <w:pStyle w:val="Normaltindrag"/>
              <w:ind w:firstLine="0"/>
            </w:pPr>
            <w:r w:rsidRPr="00075492">
              <w:t>Om tillstånd för utbjudande och levererans för direkt konsumtion av vissa importerade viner som kan ha varit föremål för otillåtna oenologiska metoder enligt förordning (EG) nr 1493/1999.</w:t>
            </w:r>
          </w:p>
        </w:tc>
      </w:tr>
      <w:tr w:rsidR="00000000" w:rsidRPr="00075492">
        <w:tblPrEx>
          <w:tblCellMar>
            <w:top w:w="0" w:type="dxa"/>
            <w:bottom w:w="0" w:type="dxa"/>
          </w:tblCellMar>
        </w:tblPrEx>
        <w:trPr>
          <w:cantSplit/>
        </w:trPr>
        <w:tc>
          <w:tcPr>
            <w:tcW w:w="637" w:type="dxa"/>
          </w:tcPr>
          <w:p w:rsidR="00547E7E" w:rsidRPr="00075492" w:rsidRDefault="00547E7E">
            <w:pPr>
              <w:pStyle w:val="Normaltindrag"/>
              <w:ind w:firstLine="0"/>
              <w:jc w:val="left"/>
              <w:rPr>
                <w:b/>
              </w:rPr>
            </w:pPr>
          </w:p>
        </w:tc>
        <w:tc>
          <w:tcPr>
            <w:tcW w:w="1134" w:type="dxa"/>
          </w:tcPr>
          <w:p w:rsidR="00547E7E" w:rsidRPr="00075492" w:rsidRDefault="00547E7E">
            <w:pPr>
              <w:pStyle w:val="Normaltindrag"/>
              <w:ind w:firstLine="0"/>
              <w:jc w:val="left"/>
            </w:pPr>
            <w:r w:rsidRPr="00075492">
              <w:t>1788/2001</w:t>
            </w:r>
          </w:p>
        </w:tc>
        <w:tc>
          <w:tcPr>
            <w:tcW w:w="4253" w:type="dxa"/>
          </w:tcPr>
          <w:p w:rsidR="00547E7E" w:rsidRPr="00075492" w:rsidRDefault="00547E7E">
            <w:pPr>
              <w:pStyle w:val="Normaltindrag"/>
              <w:ind w:firstLine="0"/>
            </w:pPr>
            <w:r w:rsidRPr="00075492">
              <w:t>Kontrollintyg för import från tredje land.</w:t>
            </w:r>
          </w:p>
        </w:tc>
      </w:tr>
    </w:tbl>
    <w:p w:rsidR="00547E7E" w:rsidRPr="00075492" w:rsidRDefault="00547E7E">
      <w:pPr>
        <w:pStyle w:val="Rubrik1-Utannumrering"/>
        <w:sectPr w:rsidR="00000000" w:rsidRPr="00075492">
          <w:headerReference w:type="default" r:id="rId13"/>
          <w:footerReference w:type="default" r:id="rId14"/>
          <w:pgSz w:w="11906" w:h="16838" w:code="9"/>
          <w:pgMar w:top="567" w:right="4876" w:bottom="4508" w:left="1134" w:header="227" w:footer="227" w:gutter="0"/>
          <w:cols w:space="720"/>
        </w:sectPr>
      </w:pPr>
    </w:p>
    <w:p w:rsidR="00547E7E" w:rsidRPr="00075492" w:rsidRDefault="00547E7E">
      <w:pPr>
        <w:pStyle w:val="Rubrik1-Utannumrering"/>
      </w:pPr>
      <w:bookmarkStart w:id="845" w:name="_Toc532292159"/>
      <w:bookmarkStart w:id="846" w:name="_Toc84706"/>
      <w:bookmarkStart w:id="847" w:name="_Toc6634665"/>
      <w:bookmarkStart w:id="848" w:name="_Toc6637247"/>
      <w:r w:rsidRPr="00075492">
        <w:t>Bilaga 2 – Livsmedelssektorn</w:t>
      </w:r>
      <w:bookmarkEnd w:id="845"/>
      <w:bookmarkEnd w:id="846"/>
      <w:bookmarkEnd w:id="847"/>
      <w:bookmarkEnd w:id="848"/>
    </w:p>
    <w:p w:rsidR="00547E7E" w:rsidRPr="00075492" w:rsidRDefault="00547E7E">
      <w:pPr>
        <w:pStyle w:val="Rubrik2-Utannumrering"/>
      </w:pPr>
      <w:bookmarkStart w:id="849" w:name="_Toc531166500"/>
      <w:bookmarkStart w:id="850" w:name="_Toc532284591"/>
      <w:bookmarkStart w:id="851" w:name="_Toc84707"/>
      <w:bookmarkStart w:id="852" w:name="_Toc6634666"/>
      <w:bookmarkStart w:id="853" w:name="_Toc6637248"/>
      <w:r w:rsidRPr="00075492">
        <w:t>Allmänt om livsmedelssektorn</w:t>
      </w:r>
      <w:bookmarkEnd w:id="849"/>
      <w:bookmarkEnd w:id="850"/>
      <w:bookmarkEnd w:id="851"/>
      <w:bookmarkEnd w:id="852"/>
      <w:bookmarkEnd w:id="853"/>
    </w:p>
    <w:p w:rsidR="00547E7E" w:rsidRPr="00075492" w:rsidRDefault="00547E7E">
      <w:pPr>
        <w:tabs>
          <w:tab w:val="left" w:pos="425"/>
        </w:tabs>
        <w:outlineLvl w:val="0"/>
      </w:pPr>
      <w:r w:rsidRPr="00075492">
        <w:t>Livsmedelssektorn kan delas in i fyra led som motsvarar olika skeden i liv</w:t>
      </w:r>
      <w:r w:rsidRPr="00075492">
        <w:t>s</w:t>
      </w:r>
      <w:r w:rsidRPr="00075492">
        <w:t xml:space="preserve">medelskedjan. Första ledet består av </w:t>
      </w:r>
      <w:r w:rsidRPr="00075492">
        <w:rPr>
          <w:i/>
        </w:rPr>
        <w:t>råvaruproduktion</w:t>
      </w:r>
      <w:r w:rsidRPr="00075492">
        <w:t xml:space="preserve"> (ibland även kallad för </w:t>
      </w:r>
      <w:r w:rsidRPr="00075492">
        <w:rPr>
          <w:i/>
        </w:rPr>
        <w:t>primärproduktion</w:t>
      </w:r>
      <w:r w:rsidRPr="00075492">
        <w:t>) inom jordbruk, trädgårdsbruk, jakt, vattenbruk och fiske. Andra ledet är</w:t>
      </w:r>
      <w:r w:rsidRPr="00075492">
        <w:rPr>
          <w:i/>
        </w:rPr>
        <w:t xml:space="preserve"> förädlingsledet</w:t>
      </w:r>
      <w:r w:rsidRPr="00075492">
        <w:t xml:space="preserve"> som främst</w:t>
      </w:r>
      <w:r w:rsidRPr="00075492">
        <w:rPr>
          <w:i/>
        </w:rPr>
        <w:t xml:space="preserve"> </w:t>
      </w:r>
      <w:r w:rsidRPr="00075492">
        <w:t>avser tillverkningen i liv</w:t>
      </w:r>
      <w:r w:rsidRPr="00075492">
        <w:t>s</w:t>
      </w:r>
      <w:r w:rsidRPr="00075492">
        <w:t xml:space="preserve">medelsindustrin. I tredje ledet, </w:t>
      </w:r>
      <w:r w:rsidRPr="00075492">
        <w:rPr>
          <w:i/>
        </w:rPr>
        <w:t>distributionsledet</w:t>
      </w:r>
      <w:r w:rsidRPr="00075492">
        <w:t>, sprids maten via lagerce</w:t>
      </w:r>
      <w:r w:rsidRPr="00075492">
        <w:t>n</w:t>
      </w:r>
      <w:r w:rsidRPr="00075492">
        <w:t xml:space="preserve">traler och affärer för att sedan konsumeras i det fjärde och sista ledet, </w:t>
      </w:r>
      <w:r w:rsidRPr="00075492">
        <w:rPr>
          <w:i/>
        </w:rPr>
        <w:t>ko</w:t>
      </w:r>
      <w:r w:rsidRPr="00075492">
        <w:rPr>
          <w:i/>
        </w:rPr>
        <w:t>n</w:t>
      </w:r>
      <w:r w:rsidRPr="00075492">
        <w:rPr>
          <w:i/>
        </w:rPr>
        <w:t xml:space="preserve">sumtionsledet. </w:t>
      </w:r>
      <w:r w:rsidRPr="00075492">
        <w:t>Detta led inkluderar inte bara konsumtion i hemmet utan innefattar även det vi äter via olika former av storhushåll, t</w:t>
      </w:r>
      <w:r w:rsidRPr="00075492">
        <w:t xml:space="preserve">.ex. restauranger och skolbespisningar. </w:t>
      </w:r>
    </w:p>
    <w:p w:rsidR="00547E7E" w:rsidRPr="00075492" w:rsidRDefault="00547E7E">
      <w:pPr>
        <w:pStyle w:val="Normaltindrag"/>
      </w:pPr>
      <w:r w:rsidRPr="00075492">
        <w:t>Med livsmedel avses enligt livsmedelslagen matvara, dryckesvara, nju</w:t>
      </w:r>
      <w:r w:rsidRPr="00075492">
        <w:t>t</w:t>
      </w:r>
      <w:r w:rsidRPr="00075492">
        <w:t>ningsmedel eller annan vara som är avsedd att förtäras av människor, dock inte läkemedel. Enligt förarbetena till livsmedelslagen bör en råvara ur liv</w:t>
      </w:r>
      <w:r w:rsidRPr="00075492">
        <w:t>s</w:t>
      </w:r>
      <w:r w:rsidRPr="00075492">
        <w:t>medelshygienisk synpunkt bedömas som livsmedel på ett så tidigt stadium i beredningsproceduren som möjligt.</w:t>
      </w:r>
      <w:r w:rsidRPr="00075492">
        <w:rPr>
          <w:rStyle w:val="Fotnotsreferens"/>
        </w:rPr>
        <w:footnoteReference w:id="87"/>
      </w:r>
      <w:r w:rsidRPr="00075492">
        <w:t xml:space="preserve"> Detta innebär att råvaruproduktionen i huvudsak inte underkastas den livsmedelstillsyn som rapporten avser att studera. Livsmedelstillsynen koncentreras i stället till de övriga tre leden, inklusive konsumtionsledet i de fall maten lagas i storhushåll. Således ko</w:t>
      </w:r>
      <w:r w:rsidRPr="00075492">
        <w:t>m</w:t>
      </w:r>
      <w:r w:rsidRPr="00075492">
        <w:t>mer denna bilaga om livsmedelssektorn att fokusera på de tre sistnämnda leden.</w:t>
      </w:r>
      <w:r w:rsidRPr="00075492">
        <w:rPr>
          <w:rStyle w:val="Fotnotsreferens"/>
        </w:rPr>
        <w:footnoteReference w:id="88"/>
      </w:r>
      <w:r w:rsidRPr="00075492">
        <w:t xml:space="preserve"> Totalt finns det ca 48 000 arbetsställen med 284 000 sysselsatta inom livsmedelsindustrin, parti- och detaljhandeln samt storhushållsbra</w:t>
      </w:r>
      <w:r w:rsidRPr="00075492">
        <w:t>n</w:t>
      </w:r>
      <w:r w:rsidRPr="00075492">
        <w:t>schen.</w:t>
      </w:r>
    </w:p>
    <w:p w:rsidR="00547E7E" w:rsidRPr="00075492" w:rsidRDefault="00547E7E">
      <w:pPr>
        <w:pStyle w:val="Rubrik2-Utannumrering"/>
      </w:pPr>
      <w:bookmarkStart w:id="854" w:name="_Toc531166501"/>
      <w:bookmarkStart w:id="855" w:name="_Toc532284592"/>
      <w:bookmarkStart w:id="856" w:name="_Toc84708"/>
      <w:bookmarkStart w:id="857" w:name="_Toc6634667"/>
      <w:bookmarkStart w:id="858" w:name="_Toc6637249"/>
      <w:r w:rsidRPr="00075492">
        <w:t>Förädlingsledet: Livsmedelsindustrin</w:t>
      </w:r>
      <w:bookmarkEnd w:id="854"/>
      <w:bookmarkEnd w:id="855"/>
      <w:bookmarkEnd w:id="856"/>
      <w:bookmarkEnd w:id="857"/>
      <w:bookmarkEnd w:id="858"/>
    </w:p>
    <w:p w:rsidR="00547E7E" w:rsidRPr="00075492" w:rsidRDefault="00547E7E">
      <w:pPr>
        <w:tabs>
          <w:tab w:val="left" w:pos="425"/>
        </w:tabs>
      </w:pPr>
      <w:r w:rsidRPr="00075492">
        <w:t>Livsmedelsindustrin utgör en av landets största industrisektorer. Med liv</w:t>
      </w:r>
      <w:r w:rsidRPr="00075492">
        <w:t>s</w:t>
      </w:r>
      <w:r w:rsidRPr="00075492">
        <w:t>medelsindustrin avses den industri som förädlar råvaror genom att mala, stycka, blanda, värmebehandla, konservera, baka etc. Beroende på om man ser till omsättning eller antal anställda är livsmedelsindustrin landets fjärde respektive femte största industrisektor. År 1999 omsatte livsmedelsindustrin 133 miljarder kronor, vilket motsvarade ca 11 % av hela industrisektorns totala produktionsvärde. Med drygt 61 000 anställda 1999 svarade livsm</w:t>
      </w:r>
      <w:r w:rsidRPr="00075492">
        <w:t>e</w:t>
      </w:r>
      <w:r w:rsidRPr="00075492">
        <w:t>delsindustrin för 9 % av industrisysselsättningen i Sver</w:t>
      </w:r>
      <w:r w:rsidRPr="00075492">
        <w:t>i</w:t>
      </w:r>
      <w:r w:rsidRPr="00075492">
        <w:t>ge.</w:t>
      </w:r>
      <w:r w:rsidRPr="00075492">
        <w:rPr>
          <w:rStyle w:val="Fotnotsreferens"/>
        </w:rPr>
        <w:footnoteReference w:id="89"/>
      </w:r>
    </w:p>
    <w:p w:rsidR="00547E7E" w:rsidRPr="00075492" w:rsidRDefault="00547E7E">
      <w:pPr>
        <w:pStyle w:val="Normaltindrag"/>
      </w:pPr>
      <w:r w:rsidRPr="00075492">
        <w:t>Livsmedelsindustrin är en av de geografiskt mest spridda industrierna i landet. De senaste decennierna har livsmedelsindustrin blivit alltmer reg</w:t>
      </w:r>
      <w:r w:rsidRPr="00075492">
        <w:t>i</w:t>
      </w:r>
      <w:r w:rsidRPr="00075492">
        <w:t>onalt centrerad. I Skåne, Västsverige och Stockholmsområdet återfinns sammanlagt drygt hälften av alla sysselsätta inom livsmedelsindustrin. De främsta undantagen är charkuteri-, bageri- och mejeriindustrin som är relativt regionalt utspridda.</w:t>
      </w:r>
      <w:r w:rsidRPr="00075492">
        <w:rPr>
          <w:rStyle w:val="Fotnotsreferens"/>
        </w:rPr>
        <w:footnoteReference w:id="90"/>
      </w:r>
      <w:r w:rsidRPr="00075492">
        <w:t xml:space="preserve"> Mest betydelsefull ur sysselsättningssynpunkt är liv</w:t>
      </w:r>
      <w:r w:rsidRPr="00075492">
        <w:t>s</w:t>
      </w:r>
      <w:r w:rsidRPr="00075492">
        <w:t>medelsindustrin på Gotland och i Skåne där den svarar för 30 respektive 25 % av sysselsättningen.</w:t>
      </w:r>
      <w:r w:rsidRPr="00075492">
        <w:rPr>
          <w:rStyle w:val="Fotnotsreferens"/>
        </w:rPr>
        <w:footnoteReference w:id="91"/>
      </w:r>
      <w:r w:rsidRPr="00075492">
        <w:t xml:space="preserve"> </w:t>
      </w:r>
    </w:p>
    <w:p w:rsidR="00547E7E" w:rsidRPr="00075492" w:rsidRDefault="00547E7E">
      <w:pPr>
        <w:pStyle w:val="Normaltindrag"/>
      </w:pPr>
      <w:r w:rsidRPr="00075492">
        <w:t>Sedan 1970-talet har utvecklingen i Sverige gått mot allt större företag. Genom olika uppköp har produktionen koncentrerats till färre och större produktionsenheter. Mellan 1970 och 1990-talets slut halverades antalet arbetsställen medan antalet anställda minskade med en femtedel.</w:t>
      </w:r>
      <w:r w:rsidRPr="00075492">
        <w:rPr>
          <w:rStyle w:val="Fotnotsreferens"/>
        </w:rPr>
        <w:footnoteReference w:id="92"/>
      </w:r>
      <w:r w:rsidRPr="00075492">
        <w:t xml:space="preserve"> Konku</w:t>
      </w:r>
      <w:r w:rsidRPr="00075492">
        <w:t>r</w:t>
      </w:r>
      <w:r w:rsidRPr="00075492">
        <w:t>rensverket spår att koncentrationen kommer att öka ytterligare genom fler fusioner, både med utländska och inhemska för</w:t>
      </w:r>
      <w:r w:rsidRPr="00075492">
        <w:t>e</w:t>
      </w:r>
      <w:r w:rsidRPr="00075492">
        <w:t>tag.</w:t>
      </w:r>
      <w:r w:rsidRPr="00075492">
        <w:rPr>
          <w:rStyle w:val="Fotnotsreferens"/>
        </w:rPr>
        <w:footnoteReference w:id="93"/>
      </w:r>
    </w:p>
    <w:p w:rsidR="00547E7E" w:rsidRPr="00075492" w:rsidRDefault="00547E7E">
      <w:pPr>
        <w:pStyle w:val="Normaltindrag"/>
      </w:pPr>
      <w:r w:rsidRPr="00075492">
        <w:t>I tabell 1 redovisas antalet anställda och arbetsställen inom livsmedelsi</w:t>
      </w:r>
      <w:r w:rsidRPr="00075492">
        <w:t>n</w:t>
      </w:r>
      <w:r w:rsidRPr="00075492">
        <w:t xml:space="preserve">dustrin, fördelat på olika branscher. </w:t>
      </w:r>
    </w:p>
    <w:p w:rsidR="00547E7E" w:rsidRPr="00075492" w:rsidRDefault="00547E7E">
      <w:pPr>
        <w:pStyle w:val="Normaltindrag"/>
      </w:pPr>
    </w:p>
    <w:p w:rsidR="00547E7E" w:rsidRPr="00075492" w:rsidRDefault="00547E7E">
      <w:pPr>
        <w:pStyle w:val="Tabellrubrik"/>
      </w:pPr>
      <w:r w:rsidRPr="00075492">
        <w:t>Tabell 1 Branschdata för livsmedels- och dryckesvaruindustri inkl. alkoholhalt</w:t>
      </w:r>
      <w:r w:rsidRPr="00075492">
        <w:t>i</w:t>
      </w:r>
      <w:r w:rsidRPr="00075492">
        <w:t>ga drycker 1999</w:t>
      </w:r>
    </w:p>
    <w:p w:rsidR="00547E7E" w:rsidRPr="00075492" w:rsidRDefault="00547E7E">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134"/>
        <w:gridCol w:w="1134"/>
      </w:tblGrid>
      <w:tr w:rsidR="00000000" w:rsidRPr="00075492">
        <w:tblPrEx>
          <w:tblCellMar>
            <w:top w:w="0" w:type="dxa"/>
            <w:bottom w:w="0" w:type="dxa"/>
          </w:tblCellMar>
        </w:tblPrEx>
        <w:trPr>
          <w:trHeight w:val="280"/>
        </w:trPr>
        <w:tc>
          <w:tcPr>
            <w:tcW w:w="3686" w:type="dxa"/>
          </w:tcPr>
          <w:p w:rsidR="00547E7E" w:rsidRPr="00075492" w:rsidRDefault="00547E7E">
            <w:pPr>
              <w:pStyle w:val="Tabell"/>
            </w:pPr>
          </w:p>
        </w:tc>
        <w:tc>
          <w:tcPr>
            <w:tcW w:w="1134" w:type="dxa"/>
            <w:vAlign w:val="center"/>
          </w:tcPr>
          <w:p w:rsidR="00547E7E" w:rsidRPr="00075492" w:rsidRDefault="00547E7E">
            <w:pPr>
              <w:pStyle w:val="Tabell"/>
              <w:jc w:val="center"/>
            </w:pPr>
            <w:r w:rsidRPr="00075492">
              <w:t>Antal anstäl</w:t>
            </w:r>
            <w:r w:rsidRPr="00075492">
              <w:t>l</w:t>
            </w:r>
            <w:r w:rsidRPr="00075492">
              <w:t>da, tusental (avrundat i hundratal)</w:t>
            </w:r>
          </w:p>
        </w:tc>
        <w:tc>
          <w:tcPr>
            <w:tcW w:w="1134" w:type="dxa"/>
            <w:vAlign w:val="center"/>
          </w:tcPr>
          <w:p w:rsidR="00547E7E" w:rsidRPr="00075492" w:rsidRDefault="00547E7E">
            <w:pPr>
              <w:pStyle w:val="Tabell"/>
              <w:jc w:val="center"/>
            </w:pPr>
            <w:r w:rsidRPr="00075492">
              <w:t xml:space="preserve">Antal </w:t>
            </w:r>
          </w:p>
          <w:p w:rsidR="00547E7E" w:rsidRPr="00075492" w:rsidRDefault="00547E7E">
            <w:pPr>
              <w:pStyle w:val="Tabell"/>
              <w:jc w:val="center"/>
            </w:pPr>
            <w:r w:rsidRPr="00075492">
              <w:t>a</w:t>
            </w:r>
            <w:r w:rsidRPr="00075492">
              <w:t>r</w:t>
            </w:r>
            <w:r w:rsidRPr="00075492">
              <w:t>betsställen</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Slakterier och köttvaruindustri (inklusive foderm</w:t>
            </w:r>
            <w:r w:rsidRPr="00075492">
              <w:t>e</w:t>
            </w:r>
            <w:r w:rsidRPr="00075492">
              <w:t>del</w:t>
            </w:r>
            <w:r w:rsidRPr="00075492">
              <w:t>s</w:t>
            </w:r>
            <w:r w:rsidRPr="00075492">
              <w:t>industri)</w:t>
            </w:r>
          </w:p>
        </w:tc>
        <w:tc>
          <w:tcPr>
            <w:tcW w:w="1134" w:type="dxa"/>
            <w:vAlign w:val="center"/>
          </w:tcPr>
          <w:p w:rsidR="00547E7E" w:rsidRPr="00075492" w:rsidRDefault="00547E7E">
            <w:pPr>
              <w:pStyle w:val="Tabell"/>
              <w:jc w:val="right"/>
            </w:pPr>
            <w:r w:rsidRPr="00075492">
              <w:t>14 900</w:t>
            </w:r>
          </w:p>
        </w:tc>
        <w:tc>
          <w:tcPr>
            <w:tcW w:w="1134" w:type="dxa"/>
            <w:vAlign w:val="center"/>
          </w:tcPr>
          <w:p w:rsidR="00547E7E" w:rsidRPr="00075492" w:rsidRDefault="00547E7E">
            <w:pPr>
              <w:pStyle w:val="Tabell"/>
              <w:jc w:val="right"/>
            </w:pPr>
            <w:r w:rsidRPr="00075492">
              <w:t>661</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Fisk- och fiskberedningsindustri</w:t>
            </w:r>
          </w:p>
        </w:tc>
        <w:tc>
          <w:tcPr>
            <w:tcW w:w="1134" w:type="dxa"/>
            <w:vAlign w:val="center"/>
          </w:tcPr>
          <w:p w:rsidR="00547E7E" w:rsidRPr="00075492" w:rsidRDefault="00547E7E">
            <w:pPr>
              <w:pStyle w:val="Tabell"/>
              <w:jc w:val="right"/>
            </w:pPr>
            <w:r w:rsidRPr="00075492">
              <w:t>1 900</w:t>
            </w:r>
          </w:p>
        </w:tc>
        <w:tc>
          <w:tcPr>
            <w:tcW w:w="1134" w:type="dxa"/>
            <w:vAlign w:val="center"/>
          </w:tcPr>
          <w:p w:rsidR="00547E7E" w:rsidRPr="00075492" w:rsidRDefault="00547E7E">
            <w:pPr>
              <w:pStyle w:val="Tabell"/>
              <w:jc w:val="right"/>
            </w:pPr>
            <w:r w:rsidRPr="00075492">
              <w:t>192</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Frukt-, bär- och grönsaksindustri</w:t>
            </w:r>
          </w:p>
        </w:tc>
        <w:tc>
          <w:tcPr>
            <w:tcW w:w="1134" w:type="dxa"/>
            <w:vAlign w:val="center"/>
          </w:tcPr>
          <w:p w:rsidR="00547E7E" w:rsidRPr="00075492" w:rsidRDefault="00547E7E">
            <w:pPr>
              <w:pStyle w:val="Tabell"/>
              <w:jc w:val="right"/>
            </w:pPr>
            <w:r w:rsidRPr="00075492">
              <w:t>3 700</w:t>
            </w:r>
          </w:p>
        </w:tc>
        <w:tc>
          <w:tcPr>
            <w:tcW w:w="1134" w:type="dxa"/>
            <w:vAlign w:val="center"/>
          </w:tcPr>
          <w:p w:rsidR="00547E7E" w:rsidRPr="00075492" w:rsidRDefault="00547E7E">
            <w:pPr>
              <w:pStyle w:val="Tabell"/>
              <w:jc w:val="right"/>
            </w:pPr>
            <w:r w:rsidRPr="00075492">
              <w:t>171</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Olje- och fettvaruindustri</w:t>
            </w:r>
          </w:p>
        </w:tc>
        <w:tc>
          <w:tcPr>
            <w:tcW w:w="1134" w:type="dxa"/>
            <w:vAlign w:val="center"/>
          </w:tcPr>
          <w:p w:rsidR="00547E7E" w:rsidRPr="00075492" w:rsidRDefault="00547E7E">
            <w:pPr>
              <w:pStyle w:val="Tabell"/>
              <w:jc w:val="right"/>
            </w:pPr>
            <w:r w:rsidRPr="00075492">
              <w:t>1 500</w:t>
            </w:r>
          </w:p>
        </w:tc>
        <w:tc>
          <w:tcPr>
            <w:tcW w:w="1134" w:type="dxa"/>
            <w:vAlign w:val="center"/>
          </w:tcPr>
          <w:p w:rsidR="00547E7E" w:rsidRPr="00075492" w:rsidRDefault="00547E7E">
            <w:pPr>
              <w:pStyle w:val="Tabell"/>
              <w:jc w:val="right"/>
            </w:pPr>
            <w:r w:rsidRPr="00075492">
              <w:t>44</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Mejerier och glassindustri</w:t>
            </w:r>
          </w:p>
        </w:tc>
        <w:tc>
          <w:tcPr>
            <w:tcW w:w="1134" w:type="dxa"/>
            <w:vAlign w:val="center"/>
          </w:tcPr>
          <w:p w:rsidR="00547E7E" w:rsidRPr="00075492" w:rsidRDefault="00547E7E">
            <w:pPr>
              <w:pStyle w:val="Tabell"/>
              <w:jc w:val="right"/>
            </w:pPr>
            <w:r w:rsidRPr="00075492">
              <w:t>8 800</w:t>
            </w:r>
          </w:p>
        </w:tc>
        <w:tc>
          <w:tcPr>
            <w:tcW w:w="1134" w:type="dxa"/>
            <w:vAlign w:val="center"/>
          </w:tcPr>
          <w:p w:rsidR="00547E7E" w:rsidRPr="00075492" w:rsidRDefault="00547E7E">
            <w:pPr>
              <w:pStyle w:val="Tabell"/>
              <w:jc w:val="right"/>
            </w:pPr>
            <w:r w:rsidRPr="00075492">
              <w:t>188</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Kvarnprodukt- och stärkelseindustri</w:t>
            </w:r>
          </w:p>
        </w:tc>
        <w:tc>
          <w:tcPr>
            <w:tcW w:w="1134" w:type="dxa"/>
            <w:vAlign w:val="center"/>
          </w:tcPr>
          <w:p w:rsidR="00547E7E" w:rsidRPr="00075492" w:rsidRDefault="00547E7E">
            <w:pPr>
              <w:pStyle w:val="Tabell"/>
              <w:jc w:val="right"/>
            </w:pPr>
            <w:r w:rsidRPr="00075492">
              <w:t>1 400</w:t>
            </w:r>
          </w:p>
        </w:tc>
        <w:tc>
          <w:tcPr>
            <w:tcW w:w="1134" w:type="dxa"/>
            <w:vAlign w:val="center"/>
          </w:tcPr>
          <w:p w:rsidR="00547E7E" w:rsidRPr="00075492" w:rsidRDefault="00547E7E">
            <w:pPr>
              <w:pStyle w:val="Tabell"/>
              <w:jc w:val="right"/>
            </w:pPr>
            <w:r w:rsidRPr="00075492">
              <w:t>163</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Bagerier, knäckebröds- och kexi</w:t>
            </w:r>
            <w:r w:rsidRPr="00075492">
              <w:t>n</w:t>
            </w:r>
            <w:r w:rsidRPr="00075492">
              <w:t>dustri</w:t>
            </w:r>
          </w:p>
        </w:tc>
        <w:tc>
          <w:tcPr>
            <w:tcW w:w="1134" w:type="dxa"/>
            <w:vAlign w:val="center"/>
          </w:tcPr>
          <w:p w:rsidR="00547E7E" w:rsidRPr="00075492" w:rsidRDefault="00547E7E">
            <w:pPr>
              <w:pStyle w:val="Tabell"/>
              <w:jc w:val="right"/>
            </w:pPr>
            <w:r w:rsidRPr="00075492">
              <w:t>14 000</w:t>
            </w:r>
          </w:p>
        </w:tc>
        <w:tc>
          <w:tcPr>
            <w:tcW w:w="1134" w:type="dxa"/>
            <w:vAlign w:val="center"/>
          </w:tcPr>
          <w:p w:rsidR="00547E7E" w:rsidRPr="00075492" w:rsidRDefault="00547E7E">
            <w:pPr>
              <w:pStyle w:val="Tabell"/>
              <w:jc w:val="right"/>
            </w:pPr>
            <w:r w:rsidRPr="00075492">
              <w:t>1 489</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Choklad- och konfektyrindustri</w:t>
            </w:r>
          </w:p>
        </w:tc>
        <w:tc>
          <w:tcPr>
            <w:tcW w:w="1134" w:type="dxa"/>
            <w:vAlign w:val="center"/>
          </w:tcPr>
          <w:p w:rsidR="00547E7E" w:rsidRPr="00075492" w:rsidRDefault="00547E7E">
            <w:pPr>
              <w:pStyle w:val="Tabell"/>
              <w:jc w:val="right"/>
            </w:pPr>
            <w:r w:rsidRPr="00075492">
              <w:t>3 500</w:t>
            </w:r>
          </w:p>
        </w:tc>
        <w:tc>
          <w:tcPr>
            <w:tcW w:w="1134" w:type="dxa"/>
            <w:vAlign w:val="center"/>
          </w:tcPr>
          <w:p w:rsidR="00547E7E" w:rsidRPr="00075492" w:rsidRDefault="00547E7E">
            <w:pPr>
              <w:pStyle w:val="Tabell"/>
              <w:jc w:val="right"/>
            </w:pPr>
            <w:r w:rsidRPr="00075492">
              <w:t>163</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Övrig livsmedelsindustri (t.ex. tillverkning av socker, pasta, te, kaffe m.m.)</w:t>
            </w:r>
          </w:p>
        </w:tc>
        <w:tc>
          <w:tcPr>
            <w:tcW w:w="1134" w:type="dxa"/>
            <w:vAlign w:val="center"/>
          </w:tcPr>
          <w:p w:rsidR="00547E7E" w:rsidRPr="00075492" w:rsidRDefault="00547E7E">
            <w:pPr>
              <w:pStyle w:val="Tabell"/>
              <w:jc w:val="right"/>
            </w:pPr>
            <w:r w:rsidRPr="00075492">
              <w:t>5 600</w:t>
            </w:r>
          </w:p>
        </w:tc>
        <w:tc>
          <w:tcPr>
            <w:tcW w:w="1134" w:type="dxa"/>
            <w:vAlign w:val="center"/>
          </w:tcPr>
          <w:p w:rsidR="00547E7E" w:rsidRPr="00075492" w:rsidRDefault="00547E7E">
            <w:pPr>
              <w:pStyle w:val="Tabell"/>
              <w:jc w:val="right"/>
            </w:pPr>
            <w:r w:rsidRPr="00075492">
              <w:t>166</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Alkoholhaltiga drycker</w:t>
            </w:r>
          </w:p>
        </w:tc>
        <w:tc>
          <w:tcPr>
            <w:tcW w:w="1134" w:type="dxa"/>
            <w:vAlign w:val="center"/>
          </w:tcPr>
          <w:p w:rsidR="00547E7E" w:rsidRPr="00075492" w:rsidRDefault="00547E7E">
            <w:pPr>
              <w:pStyle w:val="Tabell"/>
              <w:jc w:val="right"/>
            </w:pPr>
            <w:r w:rsidRPr="00075492">
              <w:t>3 200</w:t>
            </w:r>
          </w:p>
        </w:tc>
        <w:tc>
          <w:tcPr>
            <w:tcW w:w="1134" w:type="dxa"/>
            <w:vAlign w:val="center"/>
          </w:tcPr>
          <w:p w:rsidR="00547E7E" w:rsidRPr="00075492" w:rsidRDefault="00547E7E">
            <w:pPr>
              <w:pStyle w:val="Tabell"/>
              <w:jc w:val="right"/>
            </w:pPr>
            <w:r w:rsidRPr="00075492">
              <w:t>102</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left"/>
            </w:pPr>
            <w:r w:rsidRPr="00075492">
              <w:t>Mineralvatten- och läskedrycksindus</w:t>
            </w:r>
            <w:r w:rsidRPr="00075492">
              <w:t>t</w:t>
            </w:r>
            <w:r w:rsidRPr="00075492">
              <w:t>rin</w:t>
            </w:r>
          </w:p>
        </w:tc>
        <w:tc>
          <w:tcPr>
            <w:tcW w:w="1134" w:type="dxa"/>
            <w:vAlign w:val="center"/>
          </w:tcPr>
          <w:p w:rsidR="00547E7E" w:rsidRPr="00075492" w:rsidRDefault="00547E7E">
            <w:pPr>
              <w:pStyle w:val="Tabell"/>
              <w:jc w:val="right"/>
            </w:pPr>
            <w:r w:rsidRPr="00075492">
              <w:t>2 800</w:t>
            </w:r>
          </w:p>
        </w:tc>
        <w:tc>
          <w:tcPr>
            <w:tcW w:w="1134" w:type="dxa"/>
            <w:vAlign w:val="center"/>
          </w:tcPr>
          <w:p w:rsidR="00547E7E" w:rsidRPr="00075492" w:rsidRDefault="00547E7E">
            <w:pPr>
              <w:pStyle w:val="Tabell"/>
              <w:jc w:val="right"/>
            </w:pPr>
            <w:r w:rsidRPr="00075492">
              <w:t>70</w:t>
            </w:r>
          </w:p>
        </w:tc>
      </w:tr>
      <w:tr w:rsidR="00000000" w:rsidRPr="00075492">
        <w:tblPrEx>
          <w:tblCellMar>
            <w:top w:w="0" w:type="dxa"/>
            <w:bottom w:w="0" w:type="dxa"/>
          </w:tblCellMar>
        </w:tblPrEx>
        <w:trPr>
          <w:trHeight w:val="280"/>
        </w:trPr>
        <w:tc>
          <w:tcPr>
            <w:tcW w:w="3686" w:type="dxa"/>
            <w:vAlign w:val="center"/>
          </w:tcPr>
          <w:p w:rsidR="00547E7E" w:rsidRPr="00075492" w:rsidRDefault="00547E7E">
            <w:pPr>
              <w:pStyle w:val="Tabell"/>
              <w:jc w:val="right"/>
            </w:pPr>
            <w:r w:rsidRPr="00075492">
              <w:t>Totalt</w:t>
            </w:r>
          </w:p>
        </w:tc>
        <w:tc>
          <w:tcPr>
            <w:tcW w:w="1134" w:type="dxa"/>
            <w:vAlign w:val="center"/>
          </w:tcPr>
          <w:p w:rsidR="00547E7E" w:rsidRPr="00075492" w:rsidRDefault="00547E7E">
            <w:pPr>
              <w:pStyle w:val="Tabell"/>
              <w:jc w:val="right"/>
            </w:pPr>
            <w:r w:rsidRPr="00075492">
              <w:t>61 300</w:t>
            </w:r>
          </w:p>
        </w:tc>
        <w:tc>
          <w:tcPr>
            <w:tcW w:w="1134" w:type="dxa"/>
            <w:vAlign w:val="center"/>
          </w:tcPr>
          <w:p w:rsidR="00547E7E" w:rsidRPr="00075492" w:rsidRDefault="00547E7E">
            <w:pPr>
              <w:pStyle w:val="Tabell"/>
              <w:jc w:val="right"/>
            </w:pPr>
            <w:r w:rsidRPr="00075492">
              <w:t>3409</w:t>
            </w:r>
          </w:p>
        </w:tc>
      </w:tr>
    </w:tbl>
    <w:p w:rsidR="00547E7E" w:rsidRPr="00075492" w:rsidRDefault="00547E7E">
      <w:pPr>
        <w:pStyle w:val="Tabell"/>
      </w:pPr>
      <w:r w:rsidRPr="00075492">
        <w:t xml:space="preserve">Källa: SCB 1999: </w:t>
      </w:r>
      <w:r w:rsidRPr="00075492">
        <w:rPr>
          <w:i/>
        </w:rPr>
        <w:t>Företagsstatistik 1999.</w:t>
      </w:r>
      <w:r w:rsidRPr="00075492">
        <w:t xml:space="preserve"> </w:t>
      </w:r>
      <w:r w:rsidRPr="00075492">
        <w:rPr>
          <w:rStyle w:val="Fotnotsreferens"/>
        </w:rPr>
        <w:footnoteReference w:id="94"/>
      </w:r>
    </w:p>
    <w:p w:rsidR="00547E7E" w:rsidRPr="00075492" w:rsidRDefault="00547E7E">
      <w:pPr>
        <w:pStyle w:val="Tabell"/>
      </w:pPr>
    </w:p>
    <w:p w:rsidR="00547E7E" w:rsidRPr="00075492" w:rsidRDefault="00547E7E">
      <w:pPr>
        <w:pStyle w:val="Tabell"/>
      </w:pPr>
    </w:p>
    <w:p w:rsidR="00547E7E" w:rsidRPr="00075492" w:rsidRDefault="00547E7E">
      <w:pPr>
        <w:pStyle w:val="Normaltindrag"/>
        <w:ind w:firstLine="0"/>
      </w:pPr>
      <w:r w:rsidRPr="00075492">
        <w:t>Tabellen visar att det år 1999 fanns ca 61 000 sysselsatta på 3 400 arbetspla</w:t>
      </w:r>
      <w:r w:rsidRPr="00075492">
        <w:t>t</w:t>
      </w:r>
      <w:r w:rsidRPr="00075492">
        <w:t>ser inom livsmedelsindustrin. År 2000 hade antalet sysselsatta och arbet</w:t>
      </w:r>
      <w:r w:rsidRPr="00075492">
        <w:t>s</w:t>
      </w:r>
      <w:r w:rsidRPr="00075492">
        <w:t>platser sjunkit till 60 000 respektive 3 200.</w:t>
      </w:r>
      <w:r w:rsidRPr="00075492">
        <w:rPr>
          <w:rStyle w:val="Fotnotsreferens"/>
        </w:rPr>
        <w:footnoteReference w:id="95"/>
      </w:r>
      <w:r w:rsidRPr="00075492">
        <w:t xml:space="preserve"> Flest sysselsatta finns det i slakteri- och köttvarubranschen samt i bageribranschen.</w:t>
      </w:r>
    </w:p>
    <w:p w:rsidR="00547E7E" w:rsidRPr="00075492" w:rsidRDefault="00547E7E">
      <w:pPr>
        <w:pStyle w:val="Normaltindrag"/>
      </w:pPr>
      <w:r w:rsidRPr="00075492">
        <w:t xml:space="preserve">I tabell 2 nedan redovisas antalet arbetsställen inom livsmedelsindustrin med inga, få eller många anställda samt det totala antalet anställda inom varje kategori. </w:t>
      </w:r>
    </w:p>
    <w:p w:rsidR="00547E7E" w:rsidRPr="00075492" w:rsidRDefault="00547E7E">
      <w:pPr>
        <w:pStyle w:val="Normaltindrag"/>
        <w:ind w:firstLine="0"/>
      </w:pPr>
    </w:p>
    <w:p w:rsidR="00547E7E" w:rsidRPr="00075492" w:rsidRDefault="00547E7E">
      <w:pPr>
        <w:pStyle w:val="Tabellrubrik"/>
      </w:pPr>
      <w:r w:rsidRPr="00075492">
        <w:t>Tabell 2 Antal arbetsställen i livsmedelsindustrin indelade efter antal anställda, 2000</w:t>
      </w:r>
    </w:p>
    <w:p w:rsidR="00547E7E" w:rsidRPr="00075492" w:rsidRDefault="00547E7E">
      <w:pPr>
        <w:pStyle w:val="Tabel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134"/>
        <w:gridCol w:w="1134"/>
        <w:gridCol w:w="1134"/>
        <w:gridCol w:w="1134"/>
      </w:tblGrid>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rPr>
                <w:b/>
              </w:rPr>
            </w:pPr>
          </w:p>
        </w:tc>
        <w:tc>
          <w:tcPr>
            <w:tcW w:w="1134" w:type="dxa"/>
            <w:vAlign w:val="center"/>
          </w:tcPr>
          <w:p w:rsidR="00547E7E" w:rsidRPr="00075492" w:rsidRDefault="00547E7E">
            <w:pPr>
              <w:pStyle w:val="Tabell"/>
              <w:jc w:val="center"/>
            </w:pPr>
            <w:r w:rsidRPr="00075492">
              <w:t>Antal arbet</w:t>
            </w:r>
            <w:r w:rsidRPr="00075492">
              <w:t>s</w:t>
            </w:r>
            <w:r w:rsidRPr="00075492">
              <w:t>ställen (tiotal)</w:t>
            </w:r>
          </w:p>
        </w:tc>
        <w:tc>
          <w:tcPr>
            <w:tcW w:w="1134" w:type="dxa"/>
            <w:vAlign w:val="center"/>
          </w:tcPr>
          <w:p w:rsidR="00547E7E" w:rsidRPr="00075492" w:rsidRDefault="00547E7E">
            <w:pPr>
              <w:pStyle w:val="Tabell"/>
              <w:jc w:val="center"/>
              <w:rPr>
                <w:b/>
              </w:rPr>
            </w:pPr>
            <w:r w:rsidRPr="00075492">
              <w:rPr>
                <w:b/>
              </w:rPr>
              <w:t>Procentuell andel arbet</w:t>
            </w:r>
            <w:r w:rsidRPr="00075492">
              <w:rPr>
                <w:b/>
              </w:rPr>
              <w:t>s</w:t>
            </w:r>
            <w:r w:rsidRPr="00075492">
              <w:rPr>
                <w:b/>
              </w:rPr>
              <w:t>ställen (pr</w:t>
            </w:r>
            <w:r w:rsidRPr="00075492">
              <w:rPr>
                <w:b/>
              </w:rPr>
              <w:t>o</w:t>
            </w:r>
            <w:r w:rsidRPr="00075492">
              <w:rPr>
                <w:b/>
              </w:rPr>
              <w:t>cent)</w:t>
            </w:r>
          </w:p>
        </w:tc>
        <w:tc>
          <w:tcPr>
            <w:tcW w:w="1134" w:type="dxa"/>
            <w:vAlign w:val="center"/>
          </w:tcPr>
          <w:p w:rsidR="00547E7E" w:rsidRPr="00075492" w:rsidRDefault="00547E7E">
            <w:pPr>
              <w:pStyle w:val="Tabell"/>
              <w:jc w:val="center"/>
            </w:pPr>
            <w:r w:rsidRPr="00075492">
              <w:t>Antal anstäl</w:t>
            </w:r>
            <w:r w:rsidRPr="00075492">
              <w:t>l</w:t>
            </w:r>
            <w:r w:rsidRPr="00075492">
              <w:t>da i kategorin (hundratal)</w:t>
            </w:r>
          </w:p>
        </w:tc>
        <w:tc>
          <w:tcPr>
            <w:tcW w:w="1134" w:type="dxa"/>
            <w:vAlign w:val="center"/>
          </w:tcPr>
          <w:p w:rsidR="00547E7E" w:rsidRPr="00075492" w:rsidRDefault="00547E7E">
            <w:pPr>
              <w:pStyle w:val="Tabell"/>
              <w:jc w:val="center"/>
              <w:rPr>
                <w:b/>
              </w:rPr>
            </w:pPr>
            <w:r w:rsidRPr="00075492">
              <w:rPr>
                <w:b/>
              </w:rPr>
              <w:t>Procentuell andel a</w:t>
            </w:r>
            <w:r w:rsidRPr="00075492">
              <w:rPr>
                <w:b/>
              </w:rPr>
              <w:t>n</w:t>
            </w:r>
            <w:r w:rsidRPr="00075492">
              <w:rPr>
                <w:b/>
              </w:rPr>
              <w:t>ställda i kategorin (hela pr</w:t>
            </w:r>
            <w:r w:rsidRPr="00075492">
              <w:rPr>
                <w:b/>
              </w:rPr>
              <w:t>o</w:t>
            </w:r>
            <w:r w:rsidRPr="00075492">
              <w:rPr>
                <w:b/>
              </w:rPr>
              <w:t>cent)</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 xml:space="preserve">0 anställda </w:t>
            </w:r>
          </w:p>
        </w:tc>
        <w:tc>
          <w:tcPr>
            <w:tcW w:w="1134" w:type="dxa"/>
            <w:vAlign w:val="center"/>
          </w:tcPr>
          <w:p w:rsidR="00547E7E" w:rsidRPr="00075492" w:rsidRDefault="00547E7E">
            <w:pPr>
              <w:pStyle w:val="Tabell"/>
              <w:jc w:val="right"/>
            </w:pPr>
            <w:r w:rsidRPr="00075492">
              <w:t>1 230</w:t>
            </w:r>
          </w:p>
        </w:tc>
        <w:tc>
          <w:tcPr>
            <w:tcW w:w="1134" w:type="dxa"/>
            <w:vAlign w:val="center"/>
          </w:tcPr>
          <w:p w:rsidR="00547E7E" w:rsidRPr="00075492" w:rsidRDefault="00547E7E">
            <w:pPr>
              <w:pStyle w:val="Tabell"/>
              <w:jc w:val="right"/>
              <w:rPr>
                <w:b/>
              </w:rPr>
            </w:pPr>
            <w:r w:rsidRPr="00075492">
              <w:rPr>
                <w:b/>
              </w:rPr>
              <w:t>38,5</w:t>
            </w:r>
          </w:p>
        </w:tc>
        <w:tc>
          <w:tcPr>
            <w:tcW w:w="1134" w:type="dxa"/>
            <w:vAlign w:val="center"/>
          </w:tcPr>
          <w:p w:rsidR="00547E7E" w:rsidRPr="00075492" w:rsidRDefault="00547E7E">
            <w:pPr>
              <w:pStyle w:val="Tabell"/>
              <w:jc w:val="right"/>
            </w:pPr>
            <w:r w:rsidRPr="00075492">
              <w:t>-</w:t>
            </w:r>
          </w:p>
        </w:tc>
        <w:tc>
          <w:tcPr>
            <w:tcW w:w="1134" w:type="dxa"/>
            <w:vAlign w:val="center"/>
          </w:tcPr>
          <w:p w:rsidR="00547E7E" w:rsidRPr="00075492" w:rsidRDefault="00547E7E">
            <w:pPr>
              <w:pStyle w:val="Tabell"/>
              <w:jc w:val="right"/>
              <w:rPr>
                <w:b/>
              </w:rPr>
            </w:pPr>
            <w:r w:rsidRPr="00075492">
              <w:rPr>
                <w:b/>
              </w:rPr>
              <w:t>-</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1</w:t>
            </w:r>
            <w:r w:rsidRPr="00075492">
              <w:t>–</w:t>
            </w:r>
            <w:r w:rsidRPr="00075492">
              <w:rPr>
                <w:b/>
              </w:rPr>
              <w:t>9 anställda</w:t>
            </w:r>
          </w:p>
        </w:tc>
        <w:tc>
          <w:tcPr>
            <w:tcW w:w="1134" w:type="dxa"/>
            <w:vAlign w:val="center"/>
          </w:tcPr>
          <w:p w:rsidR="00547E7E" w:rsidRPr="00075492" w:rsidRDefault="00547E7E">
            <w:pPr>
              <w:pStyle w:val="Tabell"/>
              <w:jc w:val="right"/>
            </w:pPr>
            <w:r w:rsidRPr="00075492">
              <w:t>1 230</w:t>
            </w:r>
          </w:p>
        </w:tc>
        <w:tc>
          <w:tcPr>
            <w:tcW w:w="1134" w:type="dxa"/>
            <w:vAlign w:val="center"/>
          </w:tcPr>
          <w:p w:rsidR="00547E7E" w:rsidRPr="00075492" w:rsidRDefault="00547E7E">
            <w:pPr>
              <w:pStyle w:val="Tabell"/>
              <w:jc w:val="right"/>
              <w:rPr>
                <w:b/>
              </w:rPr>
            </w:pPr>
            <w:r w:rsidRPr="00075492">
              <w:rPr>
                <w:b/>
              </w:rPr>
              <w:t>38,5</w:t>
            </w:r>
          </w:p>
        </w:tc>
        <w:tc>
          <w:tcPr>
            <w:tcW w:w="1134" w:type="dxa"/>
            <w:vAlign w:val="center"/>
          </w:tcPr>
          <w:p w:rsidR="00547E7E" w:rsidRPr="00075492" w:rsidRDefault="00547E7E">
            <w:pPr>
              <w:pStyle w:val="Tabell"/>
              <w:jc w:val="right"/>
            </w:pPr>
            <w:r w:rsidRPr="00075492">
              <w:t>4 600</w:t>
            </w:r>
          </w:p>
        </w:tc>
        <w:tc>
          <w:tcPr>
            <w:tcW w:w="1134" w:type="dxa"/>
            <w:vAlign w:val="center"/>
          </w:tcPr>
          <w:p w:rsidR="00547E7E" w:rsidRPr="00075492" w:rsidRDefault="00547E7E">
            <w:pPr>
              <w:pStyle w:val="Tabell"/>
              <w:jc w:val="right"/>
              <w:rPr>
                <w:b/>
              </w:rPr>
            </w:pPr>
            <w:r w:rsidRPr="00075492">
              <w:rPr>
                <w:b/>
              </w:rPr>
              <w:t>8</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10</w:t>
            </w:r>
            <w:r w:rsidRPr="00075492">
              <w:t>–</w:t>
            </w:r>
            <w:r w:rsidRPr="00075492">
              <w:rPr>
                <w:b/>
              </w:rPr>
              <w:t>49 anställda</w:t>
            </w:r>
          </w:p>
        </w:tc>
        <w:tc>
          <w:tcPr>
            <w:tcW w:w="1134" w:type="dxa"/>
            <w:vAlign w:val="center"/>
          </w:tcPr>
          <w:p w:rsidR="00547E7E" w:rsidRPr="00075492" w:rsidRDefault="00547E7E">
            <w:pPr>
              <w:pStyle w:val="Tabell"/>
              <w:jc w:val="right"/>
            </w:pPr>
            <w:r w:rsidRPr="00075492">
              <w:t>520</w:t>
            </w:r>
          </w:p>
        </w:tc>
        <w:tc>
          <w:tcPr>
            <w:tcW w:w="1134" w:type="dxa"/>
            <w:vAlign w:val="center"/>
          </w:tcPr>
          <w:p w:rsidR="00547E7E" w:rsidRPr="00075492" w:rsidRDefault="00547E7E">
            <w:pPr>
              <w:pStyle w:val="Tabell"/>
              <w:jc w:val="right"/>
              <w:rPr>
                <w:b/>
              </w:rPr>
            </w:pPr>
            <w:r w:rsidRPr="00075492">
              <w:rPr>
                <w:b/>
              </w:rPr>
              <w:t>16</w:t>
            </w:r>
          </w:p>
        </w:tc>
        <w:tc>
          <w:tcPr>
            <w:tcW w:w="1134" w:type="dxa"/>
            <w:vAlign w:val="center"/>
          </w:tcPr>
          <w:p w:rsidR="00547E7E" w:rsidRPr="00075492" w:rsidRDefault="00547E7E">
            <w:pPr>
              <w:pStyle w:val="Tabell"/>
              <w:jc w:val="right"/>
            </w:pPr>
            <w:r w:rsidRPr="00075492">
              <w:t>10 900</w:t>
            </w:r>
          </w:p>
        </w:tc>
        <w:tc>
          <w:tcPr>
            <w:tcW w:w="1134" w:type="dxa"/>
            <w:vAlign w:val="center"/>
          </w:tcPr>
          <w:p w:rsidR="00547E7E" w:rsidRPr="00075492" w:rsidRDefault="00547E7E">
            <w:pPr>
              <w:pStyle w:val="Tabell"/>
              <w:jc w:val="right"/>
              <w:rPr>
                <w:b/>
              </w:rPr>
            </w:pPr>
            <w:r w:rsidRPr="00075492">
              <w:rPr>
                <w:b/>
              </w:rPr>
              <w:t>19</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50</w:t>
            </w:r>
            <w:r w:rsidRPr="00075492">
              <w:t>–</w:t>
            </w:r>
            <w:r w:rsidRPr="00075492">
              <w:rPr>
                <w:b/>
              </w:rPr>
              <w:t xml:space="preserve">  anställda</w:t>
            </w:r>
          </w:p>
        </w:tc>
        <w:tc>
          <w:tcPr>
            <w:tcW w:w="1134" w:type="dxa"/>
            <w:vAlign w:val="center"/>
          </w:tcPr>
          <w:p w:rsidR="00547E7E" w:rsidRPr="00075492" w:rsidRDefault="00547E7E">
            <w:pPr>
              <w:pStyle w:val="Tabell"/>
              <w:jc w:val="right"/>
            </w:pPr>
            <w:r w:rsidRPr="00075492">
              <w:t>220</w:t>
            </w:r>
          </w:p>
        </w:tc>
        <w:tc>
          <w:tcPr>
            <w:tcW w:w="1134" w:type="dxa"/>
            <w:vAlign w:val="center"/>
          </w:tcPr>
          <w:p w:rsidR="00547E7E" w:rsidRPr="00075492" w:rsidRDefault="00547E7E">
            <w:pPr>
              <w:pStyle w:val="Tabell"/>
              <w:jc w:val="right"/>
              <w:rPr>
                <w:b/>
              </w:rPr>
            </w:pPr>
            <w:r w:rsidRPr="00075492">
              <w:rPr>
                <w:b/>
              </w:rPr>
              <w:t>7</w:t>
            </w:r>
          </w:p>
        </w:tc>
        <w:tc>
          <w:tcPr>
            <w:tcW w:w="1134" w:type="dxa"/>
            <w:vAlign w:val="center"/>
          </w:tcPr>
          <w:p w:rsidR="00547E7E" w:rsidRPr="00075492" w:rsidRDefault="00547E7E">
            <w:pPr>
              <w:pStyle w:val="Tabell"/>
              <w:jc w:val="right"/>
            </w:pPr>
            <w:r w:rsidRPr="00075492">
              <w:t>42 800</w:t>
            </w:r>
          </w:p>
        </w:tc>
        <w:tc>
          <w:tcPr>
            <w:tcW w:w="1134" w:type="dxa"/>
            <w:vAlign w:val="center"/>
          </w:tcPr>
          <w:p w:rsidR="00547E7E" w:rsidRPr="00075492" w:rsidRDefault="00547E7E">
            <w:pPr>
              <w:pStyle w:val="Tabell"/>
              <w:jc w:val="right"/>
              <w:rPr>
                <w:b/>
              </w:rPr>
            </w:pPr>
            <w:r w:rsidRPr="00075492">
              <w:rPr>
                <w:b/>
              </w:rPr>
              <w:t>73</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right"/>
              <w:rPr>
                <w:b/>
              </w:rPr>
            </w:pPr>
            <w:r w:rsidRPr="00075492">
              <w:rPr>
                <w:b/>
              </w:rPr>
              <w:t>Totalt</w:t>
            </w:r>
          </w:p>
        </w:tc>
        <w:tc>
          <w:tcPr>
            <w:tcW w:w="1134" w:type="dxa"/>
            <w:vAlign w:val="center"/>
          </w:tcPr>
          <w:p w:rsidR="00547E7E" w:rsidRPr="00075492" w:rsidRDefault="00547E7E">
            <w:pPr>
              <w:pStyle w:val="Tabell"/>
              <w:jc w:val="right"/>
            </w:pPr>
            <w:r w:rsidRPr="00075492">
              <w:t>3200</w:t>
            </w:r>
          </w:p>
        </w:tc>
        <w:tc>
          <w:tcPr>
            <w:tcW w:w="1134" w:type="dxa"/>
            <w:vAlign w:val="center"/>
          </w:tcPr>
          <w:p w:rsidR="00547E7E" w:rsidRPr="00075492" w:rsidRDefault="00547E7E">
            <w:pPr>
              <w:pStyle w:val="Tabell"/>
              <w:jc w:val="right"/>
              <w:rPr>
                <w:b/>
              </w:rPr>
            </w:pPr>
            <w:r w:rsidRPr="00075492">
              <w:rPr>
                <w:b/>
              </w:rPr>
              <w:t>100</w:t>
            </w:r>
          </w:p>
        </w:tc>
        <w:tc>
          <w:tcPr>
            <w:tcW w:w="1134" w:type="dxa"/>
            <w:vAlign w:val="center"/>
          </w:tcPr>
          <w:p w:rsidR="00547E7E" w:rsidRPr="00075492" w:rsidRDefault="00547E7E">
            <w:pPr>
              <w:pStyle w:val="Tabell"/>
              <w:jc w:val="right"/>
            </w:pPr>
            <w:r w:rsidRPr="00075492">
              <w:t>58 300</w:t>
            </w:r>
          </w:p>
        </w:tc>
        <w:tc>
          <w:tcPr>
            <w:tcW w:w="1134" w:type="dxa"/>
            <w:vAlign w:val="center"/>
          </w:tcPr>
          <w:p w:rsidR="00547E7E" w:rsidRPr="00075492" w:rsidRDefault="00547E7E">
            <w:pPr>
              <w:pStyle w:val="Tabell"/>
              <w:jc w:val="right"/>
              <w:rPr>
                <w:b/>
              </w:rPr>
            </w:pPr>
            <w:r w:rsidRPr="00075492">
              <w:rPr>
                <w:b/>
              </w:rPr>
              <w:t>100</w:t>
            </w:r>
          </w:p>
        </w:tc>
      </w:tr>
    </w:tbl>
    <w:p w:rsidR="00547E7E" w:rsidRPr="00075492" w:rsidRDefault="00547E7E">
      <w:pPr>
        <w:pStyle w:val="Tabell"/>
      </w:pPr>
    </w:p>
    <w:p w:rsidR="00547E7E" w:rsidRPr="00075492" w:rsidRDefault="00547E7E">
      <w:pPr>
        <w:pStyle w:val="Tabell"/>
      </w:pPr>
      <w:r w:rsidRPr="00075492">
        <w:t xml:space="preserve">Källa: SCB 2000: </w:t>
      </w:r>
      <w:r w:rsidRPr="00075492">
        <w:rPr>
          <w:i/>
        </w:rPr>
        <w:t>Basfakta 2000. Tabeller ur företagsregistret.</w:t>
      </w:r>
      <w:r w:rsidRPr="00075492">
        <w:t xml:space="preserve"> Tabell 2. </w:t>
      </w:r>
    </w:p>
    <w:p w:rsidR="00547E7E" w:rsidRPr="00075492" w:rsidRDefault="00547E7E">
      <w:pPr>
        <w:pStyle w:val="Tabell"/>
      </w:pPr>
    </w:p>
    <w:p w:rsidR="00547E7E" w:rsidRPr="00075492" w:rsidRDefault="00547E7E">
      <w:pPr>
        <w:pStyle w:val="Normaltindrag"/>
        <w:ind w:firstLine="0"/>
      </w:pPr>
      <w:r w:rsidRPr="00075492">
        <w:t>Av tabell 2 framgår att en majoritet av de 3 200 arbetsställena inom livsm</w:t>
      </w:r>
      <w:r w:rsidRPr="00075492">
        <w:t>e</w:t>
      </w:r>
      <w:r w:rsidRPr="00075492">
        <w:t>delsindustrin har få anställda. Andelen egna företagare utan anställda utgör knappt 39 % och lika många hamnar i kategorin 1–9 anställda. Därmed har nästan 80 % av arbetsplatserna nio eller färre anställda. 7 % av arbetsställena har 50 eller fler anställda. Dessa arbetsställen svarar för 73 % av de 58 000 anställda inom industrin. År 2000 var totalt 59 500 sysselsatta  inom livsm</w:t>
      </w:r>
      <w:r w:rsidRPr="00075492">
        <w:t>e</w:t>
      </w:r>
      <w:r w:rsidRPr="00075492">
        <w:t>d</w:t>
      </w:r>
      <w:r w:rsidRPr="00075492">
        <w:t>e</w:t>
      </w:r>
      <w:r w:rsidRPr="00075492">
        <w:t>lsindustrin (egna företagare plus anställda).</w:t>
      </w:r>
    </w:p>
    <w:p w:rsidR="00547E7E" w:rsidRPr="00075492" w:rsidRDefault="00547E7E">
      <w:pPr>
        <w:pStyle w:val="Rubrik2-Utannumrering"/>
      </w:pPr>
      <w:bookmarkStart w:id="859" w:name="_Toc531166502"/>
      <w:bookmarkStart w:id="860" w:name="_Toc532284593"/>
      <w:bookmarkStart w:id="861" w:name="_Toc84709"/>
      <w:bookmarkStart w:id="862" w:name="_Toc6634668"/>
      <w:bookmarkStart w:id="863" w:name="_Toc6637250"/>
      <w:r w:rsidRPr="00075492">
        <w:t>Distributionsledet: Parti- och detaljhandel</w:t>
      </w:r>
      <w:bookmarkEnd w:id="859"/>
      <w:bookmarkEnd w:id="860"/>
      <w:bookmarkEnd w:id="861"/>
      <w:bookmarkEnd w:id="862"/>
      <w:bookmarkEnd w:id="863"/>
    </w:p>
    <w:p w:rsidR="00547E7E" w:rsidRPr="00075492" w:rsidRDefault="00547E7E">
      <w:pPr>
        <w:tabs>
          <w:tab w:val="left" w:pos="425"/>
        </w:tabs>
        <w:rPr>
          <w:u w:val="single"/>
        </w:rPr>
      </w:pPr>
      <w:r w:rsidRPr="00075492">
        <w:t>Distributionsledet – ofta kallat dagligvaruhandeln – omfattar två led: part</w:t>
      </w:r>
      <w:r w:rsidRPr="00075492">
        <w:t>i</w:t>
      </w:r>
      <w:r w:rsidRPr="00075492">
        <w:t>handeln och detaljhandeln. Med partihandel avses grossist- och leverantö</w:t>
      </w:r>
      <w:r w:rsidRPr="00075492">
        <w:t>r</w:t>
      </w:r>
      <w:r w:rsidRPr="00075492">
        <w:t>försäljning som riktar sig till andra konsumenter än slutkonsumenterna. Partihandelns kunder är därmed i huvudsak detaljhandeln och storkök, såsom restauranger och den offentliga sektorns kök. Till detaljhandeln räknas fö</w:t>
      </w:r>
      <w:r w:rsidRPr="00075492">
        <w:t>r</w:t>
      </w:r>
      <w:r w:rsidRPr="00075492">
        <w:t>säljning i livsmedelsbutik, kiosker, torghandel och ambulerande försäl</w:t>
      </w:r>
      <w:r w:rsidRPr="00075492">
        <w:t>j</w:t>
      </w:r>
      <w:r w:rsidRPr="00075492">
        <w:t>ning.</w:t>
      </w:r>
      <w:r w:rsidRPr="00075492">
        <w:rPr>
          <w:rStyle w:val="Fotnotsreferens"/>
        </w:rPr>
        <w:footnoteReference w:id="96"/>
      </w:r>
      <w:r w:rsidRPr="00075492">
        <w:t xml:space="preserve"> </w:t>
      </w:r>
    </w:p>
    <w:p w:rsidR="00547E7E" w:rsidRPr="00075492" w:rsidRDefault="00547E7E">
      <w:pPr>
        <w:pStyle w:val="Normaltindrag"/>
      </w:pPr>
      <w:r w:rsidRPr="00075492">
        <w:t>Den svenska dagligvaruhandeln kännetecknas av att det råder en stark i</w:t>
      </w:r>
      <w:r w:rsidRPr="00075492">
        <w:t>n</w:t>
      </w:r>
      <w:r w:rsidRPr="00075492">
        <w:t xml:space="preserve">tegration mellan parti- och detaljhandel samt av att marknaden domineras av tre block: ICA, Konsumentkooperationen (KF) och Axfood. </w:t>
      </w:r>
    </w:p>
    <w:p w:rsidR="00547E7E" w:rsidRPr="00075492" w:rsidRDefault="00547E7E">
      <w:pPr>
        <w:pStyle w:val="Normaltindrag"/>
      </w:pPr>
      <w:r w:rsidRPr="00075492">
        <w:t xml:space="preserve">I KF ingår Gröna Konsum, OBS!, B&amp;W samt Robin Hood. I KF pågår ett arbete med att samla alla dessa dagligvarubutiker under det gemensamma namnet Coop. </w:t>
      </w:r>
    </w:p>
    <w:p w:rsidR="00547E7E" w:rsidRPr="00075492" w:rsidRDefault="00547E7E">
      <w:pPr>
        <w:pStyle w:val="Normaltindrag"/>
      </w:pPr>
      <w:r w:rsidRPr="00075492">
        <w:t>Axfood bildades våren 2000 i och med en sammanslagning av Hemköp, D&amp;D Dagligvaror (tidigare D-gruppen), Spar Sverige, Spar Inn snabbgross samt Spar Finland. Axfoods verksamhet omfattar helägd parti- och detal</w:t>
      </w:r>
      <w:r w:rsidRPr="00075492">
        <w:t>j</w:t>
      </w:r>
      <w:r w:rsidRPr="00075492">
        <w:t>handel och butiksprofiler som Hemköp, Willy:s, Spar, Vivo samt Te</w:t>
      </w:r>
      <w:r w:rsidRPr="00075492">
        <w:t>m</w:t>
      </w:r>
      <w:r w:rsidRPr="00075492">
        <w:t>po.</w:t>
      </w:r>
      <w:r w:rsidRPr="00075492">
        <w:rPr>
          <w:rStyle w:val="Fotnotsreferens"/>
        </w:rPr>
        <w:footnoteReference w:id="97"/>
      </w:r>
    </w:p>
    <w:p w:rsidR="00547E7E" w:rsidRPr="00075492" w:rsidRDefault="00547E7E">
      <w:pPr>
        <w:pStyle w:val="Normaltindrag"/>
      </w:pPr>
      <w:r w:rsidRPr="00075492">
        <w:t>År 1999 svarade de stora aktörerna sammanlagt för knappt 90 % av o</w:t>
      </w:r>
      <w:r w:rsidRPr="00075492">
        <w:t>m</w:t>
      </w:r>
      <w:r w:rsidRPr="00075492">
        <w:t>sättningen i dagligvarubutikerna. ICA svarade för 44 % och KF för 22 % av omsättningen. Axel Johnsson AB:s och D&amp;D dagligvarors butiker – som i dag utgör huvuddelen av Axfood – svarade för 22,5 % av omsättningen. Dessa fyra kedjors sammanlagda marknadsandel har varit stabil över lång tid.</w:t>
      </w:r>
      <w:r w:rsidRPr="00075492">
        <w:rPr>
          <w:rStyle w:val="Fotnotsreferens"/>
        </w:rPr>
        <w:footnoteReference w:id="98"/>
      </w:r>
      <w:r w:rsidRPr="00075492">
        <w:t xml:space="preserve"> </w:t>
      </w:r>
    </w:p>
    <w:p w:rsidR="00547E7E" w:rsidRPr="00075492" w:rsidRDefault="00547E7E">
      <w:pPr>
        <w:pStyle w:val="Normaltindrag"/>
      </w:pPr>
      <w:r w:rsidRPr="00075492">
        <w:t>Sett till vilka som förser dagligvarumarknaden med varor är de tre nämnda blocken fortfarande dominerande, om än inte lika starka. År 1998 stod de för drygt 70 % av omsättningen av dagligvaror i detaljlistledet via sina grossister och leverantörer. Av dessa 70 % svarade ICA ensamt för hälften.</w:t>
      </w:r>
      <w:r w:rsidRPr="00075492">
        <w:rPr>
          <w:rStyle w:val="Fotnotsreferens"/>
        </w:rPr>
        <w:footnoteReference w:id="99"/>
      </w:r>
    </w:p>
    <w:p w:rsidR="00547E7E" w:rsidRPr="00075492" w:rsidRDefault="00547E7E">
      <w:pPr>
        <w:pStyle w:val="Normaltindrag"/>
      </w:pPr>
      <w:r w:rsidRPr="00075492">
        <w:t>Konkurrensverket bedömer att dagligvarukedjorna kommer att bli än mer integrerade och centraliserade än de är i dag. Expansionen kommer att ske genom uppköp av olika slag samt genom samarbete med närliggande ver</w:t>
      </w:r>
      <w:r w:rsidRPr="00075492">
        <w:t>k</w:t>
      </w:r>
      <w:r w:rsidRPr="00075492">
        <w:t>samheter, t.ex. bensinstationshandeln. Handeln kommer också att stärka sin position i framtiden genom ökad användning av egna varumärken och utök</w:t>
      </w:r>
      <w:r w:rsidRPr="00075492">
        <w:t>a</w:t>
      </w:r>
      <w:r w:rsidRPr="00075492">
        <w:t>de bonussystem som skapar lojala kunder.</w:t>
      </w:r>
      <w:r w:rsidRPr="00075492">
        <w:rPr>
          <w:rStyle w:val="Fotnotsreferens"/>
        </w:rPr>
        <w:footnoteReference w:id="100"/>
      </w:r>
    </w:p>
    <w:p w:rsidR="00547E7E" w:rsidRPr="00075492" w:rsidRDefault="00547E7E">
      <w:pPr>
        <w:pStyle w:val="Rubrik3-Utannumrering"/>
      </w:pPr>
      <w:bookmarkStart w:id="864" w:name="_Toc531166503"/>
      <w:bookmarkStart w:id="865" w:name="_Toc532284594"/>
      <w:bookmarkStart w:id="866" w:name="_Toc84710"/>
      <w:bookmarkStart w:id="867" w:name="_Toc6634669"/>
      <w:bookmarkStart w:id="868" w:name="_Toc6637251"/>
      <w:r w:rsidRPr="00075492">
        <w:t>Partihandeln</w:t>
      </w:r>
      <w:bookmarkEnd w:id="864"/>
      <w:bookmarkEnd w:id="865"/>
      <w:bookmarkEnd w:id="866"/>
      <w:bookmarkEnd w:id="867"/>
      <w:bookmarkEnd w:id="868"/>
    </w:p>
    <w:p w:rsidR="00547E7E" w:rsidRPr="00075492" w:rsidRDefault="00547E7E">
      <w:r w:rsidRPr="00075492">
        <w:t>Partihandeln sysselsätter 28 000 personer fördelade på 4 800 arbetsplatser. Av arbetsplatserna har knappt 90 % nio eller färre anställda. Dessa små arbetsplatser sysselsätter totalt en knapp tredjedel av det totala antalet sysse</w:t>
      </w:r>
      <w:r w:rsidRPr="00075492">
        <w:t>l</w:t>
      </w:r>
      <w:r w:rsidRPr="00075492">
        <w:t>satta i branschen. Knappt 2 % av arbetsplatserna har 50 eller fler anställda men sysselsätter 40 % av det totala antalet sysselsatta.</w:t>
      </w:r>
      <w:r w:rsidRPr="00075492">
        <w:rPr>
          <w:rStyle w:val="Fotnotsreferens"/>
        </w:rPr>
        <w:footnoteReference w:id="101"/>
      </w:r>
      <w:r w:rsidRPr="00075492">
        <w:t xml:space="preserve"> </w:t>
      </w:r>
    </w:p>
    <w:p w:rsidR="00547E7E" w:rsidRPr="00075492" w:rsidRDefault="00547E7E">
      <w:pPr>
        <w:pStyle w:val="Rubrik3-Utannumrering"/>
      </w:pPr>
      <w:bookmarkStart w:id="869" w:name="_Toc531166504"/>
      <w:bookmarkStart w:id="870" w:name="_Toc532284595"/>
      <w:bookmarkStart w:id="871" w:name="_Toc84711"/>
      <w:bookmarkStart w:id="872" w:name="_Toc6634670"/>
      <w:bookmarkStart w:id="873" w:name="_Toc6637252"/>
      <w:r w:rsidRPr="00075492">
        <w:t>Detaljhandeln</w:t>
      </w:r>
      <w:bookmarkEnd w:id="869"/>
      <w:bookmarkEnd w:id="870"/>
      <w:bookmarkEnd w:id="871"/>
      <w:bookmarkEnd w:id="872"/>
      <w:bookmarkEnd w:id="873"/>
    </w:p>
    <w:p w:rsidR="00547E7E" w:rsidRPr="00075492" w:rsidRDefault="00547E7E">
      <w:r w:rsidRPr="00075492">
        <w:t>I Sverige finns det ca 7 600 s.k. dagligvarubutiker med knappt 70 000 sysse</w:t>
      </w:r>
      <w:r w:rsidRPr="00075492">
        <w:t>l</w:t>
      </w:r>
      <w:r w:rsidRPr="00075492">
        <w:t>satta som helt eller delvis säljer livsmedel.</w:t>
      </w:r>
      <w:r w:rsidRPr="00075492">
        <w:rPr>
          <w:rStyle w:val="Fotnotsreferens"/>
        </w:rPr>
        <w:footnoteReference w:id="102"/>
      </w:r>
      <w:r w:rsidRPr="00075492">
        <w:t xml:space="preserve"> Av det som säljs i dagligvar</w:t>
      </w:r>
      <w:r w:rsidRPr="00075492">
        <w:t>u</w:t>
      </w:r>
      <w:r w:rsidRPr="00075492">
        <w:t>butikerna utgör livsmedel tre fjärdedelar. Resterande fjärdedel är bl.a. k</w:t>
      </w:r>
      <w:r w:rsidRPr="00075492">
        <w:t>e</w:t>
      </w:r>
      <w:r w:rsidRPr="00075492">
        <w:t>misk-tekniska artiklar, tobak, ti</w:t>
      </w:r>
      <w:r w:rsidRPr="00075492">
        <w:t>d</w:t>
      </w:r>
      <w:r w:rsidRPr="00075492">
        <w:t>ningar m.m.</w:t>
      </w:r>
      <w:r w:rsidRPr="00075492">
        <w:rPr>
          <w:rStyle w:val="Fotnotsreferens"/>
        </w:rPr>
        <w:footnoteReference w:id="103"/>
      </w:r>
    </w:p>
    <w:p w:rsidR="00547E7E" w:rsidRPr="00075492" w:rsidRDefault="00547E7E">
      <w:pPr>
        <w:pStyle w:val="Normaltindrag"/>
      </w:pPr>
      <w:r w:rsidRPr="00075492">
        <w:t>Dagligvarubutikerna har genomgått stora förändringar sedan mitten av   1970-talet. Antalet stormarknader och små servicebutiker har ökat avsevärt medan antalet mellanstora butiker har min</w:t>
      </w:r>
      <w:r w:rsidRPr="00075492">
        <w:t>s</w:t>
      </w:r>
      <w:r w:rsidRPr="00075492">
        <w:t xml:space="preserve">kat. </w:t>
      </w:r>
    </w:p>
    <w:p w:rsidR="00547E7E" w:rsidRPr="00075492" w:rsidRDefault="00547E7E">
      <w:pPr>
        <w:pStyle w:val="Normaltindrag"/>
      </w:pPr>
      <w:r w:rsidRPr="00075492">
        <w:t>I tabell 3 nedan redovisas antalet arbetsställen inom dagligvarubutiksbra</w:t>
      </w:r>
      <w:r w:rsidRPr="00075492">
        <w:t>n</w:t>
      </w:r>
      <w:r w:rsidRPr="00075492">
        <w:t>schen med inga, få eller många anställda samt det totala antalet anställda inom varje kategori.</w:t>
      </w:r>
    </w:p>
    <w:p w:rsidR="00547E7E" w:rsidRPr="00075492" w:rsidRDefault="00547E7E">
      <w:pPr>
        <w:pStyle w:val="Normaltindrag"/>
        <w:ind w:firstLine="0"/>
        <w:rPr>
          <w:u w:val="single"/>
        </w:rPr>
      </w:pPr>
    </w:p>
    <w:p w:rsidR="00547E7E" w:rsidRPr="00075492" w:rsidRDefault="00547E7E">
      <w:pPr>
        <w:pStyle w:val="Tabellrubrik"/>
      </w:pPr>
      <w:r w:rsidRPr="00075492">
        <w:t>Tabell 3 Antal arbetsställen i dagligvarubutiksbranschen indelade efter antalet anställda, 2000</w:t>
      </w:r>
    </w:p>
    <w:p w:rsidR="00547E7E" w:rsidRPr="00075492" w:rsidRDefault="00547E7E">
      <w:pPr>
        <w:pStyle w:val="Tabel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134"/>
        <w:gridCol w:w="1134"/>
        <w:gridCol w:w="1134"/>
        <w:gridCol w:w="1134"/>
      </w:tblGrid>
      <w:tr w:rsidR="00000000" w:rsidRPr="00075492">
        <w:tblPrEx>
          <w:tblCellMar>
            <w:top w:w="0" w:type="dxa"/>
            <w:bottom w:w="0" w:type="dxa"/>
          </w:tblCellMar>
        </w:tblPrEx>
        <w:trPr>
          <w:trHeight w:val="280"/>
          <w:jc w:val="center"/>
        </w:trPr>
        <w:tc>
          <w:tcPr>
            <w:tcW w:w="1588" w:type="dxa"/>
            <w:vAlign w:val="center"/>
          </w:tcPr>
          <w:p w:rsidR="00547E7E" w:rsidRPr="00075492" w:rsidRDefault="00547E7E">
            <w:pPr>
              <w:pStyle w:val="Tabell"/>
              <w:rPr>
                <w:b/>
              </w:rPr>
            </w:pPr>
          </w:p>
        </w:tc>
        <w:tc>
          <w:tcPr>
            <w:tcW w:w="1134" w:type="dxa"/>
            <w:vAlign w:val="center"/>
          </w:tcPr>
          <w:p w:rsidR="00547E7E" w:rsidRPr="00075492" w:rsidRDefault="00547E7E">
            <w:pPr>
              <w:pStyle w:val="Tabell"/>
              <w:jc w:val="center"/>
            </w:pPr>
            <w:r w:rsidRPr="00075492">
              <w:t>Antal arbet</w:t>
            </w:r>
            <w:r w:rsidRPr="00075492">
              <w:t>s</w:t>
            </w:r>
            <w:r w:rsidRPr="00075492">
              <w:t>ställen (tiotal)</w:t>
            </w:r>
          </w:p>
        </w:tc>
        <w:tc>
          <w:tcPr>
            <w:tcW w:w="1134" w:type="dxa"/>
            <w:vAlign w:val="center"/>
          </w:tcPr>
          <w:p w:rsidR="00547E7E" w:rsidRPr="00075492" w:rsidRDefault="00547E7E">
            <w:pPr>
              <w:pStyle w:val="Tabell"/>
              <w:jc w:val="center"/>
              <w:rPr>
                <w:b/>
              </w:rPr>
            </w:pPr>
            <w:r w:rsidRPr="00075492">
              <w:rPr>
                <w:b/>
              </w:rPr>
              <w:t>Procentuell andel arbet</w:t>
            </w:r>
            <w:r w:rsidRPr="00075492">
              <w:rPr>
                <w:b/>
              </w:rPr>
              <w:t>s</w:t>
            </w:r>
            <w:r w:rsidRPr="00075492">
              <w:rPr>
                <w:b/>
              </w:rPr>
              <w:t>ställen (hela procent)</w:t>
            </w:r>
          </w:p>
        </w:tc>
        <w:tc>
          <w:tcPr>
            <w:tcW w:w="1134" w:type="dxa"/>
            <w:vAlign w:val="center"/>
          </w:tcPr>
          <w:p w:rsidR="00547E7E" w:rsidRPr="00075492" w:rsidRDefault="00547E7E">
            <w:pPr>
              <w:pStyle w:val="Tabell"/>
              <w:jc w:val="center"/>
            </w:pPr>
            <w:r w:rsidRPr="00075492">
              <w:t>Antal anstäl</w:t>
            </w:r>
            <w:r w:rsidRPr="00075492">
              <w:t>l</w:t>
            </w:r>
            <w:r w:rsidRPr="00075492">
              <w:t>da i kategorin (hundratal)</w:t>
            </w:r>
          </w:p>
        </w:tc>
        <w:tc>
          <w:tcPr>
            <w:tcW w:w="1134" w:type="dxa"/>
            <w:vAlign w:val="center"/>
          </w:tcPr>
          <w:p w:rsidR="00547E7E" w:rsidRPr="00075492" w:rsidRDefault="00547E7E">
            <w:pPr>
              <w:pStyle w:val="Tabell"/>
              <w:jc w:val="center"/>
              <w:rPr>
                <w:b/>
              </w:rPr>
            </w:pPr>
            <w:r w:rsidRPr="00075492">
              <w:rPr>
                <w:b/>
              </w:rPr>
              <w:t>Procentuell andel a</w:t>
            </w:r>
            <w:r w:rsidRPr="00075492">
              <w:rPr>
                <w:b/>
              </w:rPr>
              <w:t>n</w:t>
            </w:r>
            <w:r w:rsidRPr="00075492">
              <w:rPr>
                <w:b/>
              </w:rPr>
              <w:t>ställda i kategorin (hela pr</w:t>
            </w:r>
            <w:r w:rsidRPr="00075492">
              <w:rPr>
                <w:b/>
              </w:rPr>
              <w:t>o</w:t>
            </w:r>
            <w:r w:rsidRPr="00075492">
              <w:rPr>
                <w:b/>
              </w:rPr>
              <w:t>cent)</w:t>
            </w:r>
          </w:p>
        </w:tc>
      </w:tr>
      <w:tr w:rsidR="00000000" w:rsidRPr="00075492">
        <w:tblPrEx>
          <w:tblCellMar>
            <w:top w:w="0" w:type="dxa"/>
            <w:bottom w:w="0" w:type="dxa"/>
          </w:tblCellMar>
        </w:tblPrEx>
        <w:trPr>
          <w:trHeight w:val="280"/>
          <w:jc w:val="center"/>
        </w:trPr>
        <w:tc>
          <w:tcPr>
            <w:tcW w:w="1588" w:type="dxa"/>
            <w:vAlign w:val="center"/>
          </w:tcPr>
          <w:p w:rsidR="00547E7E" w:rsidRPr="00075492" w:rsidRDefault="00547E7E">
            <w:pPr>
              <w:pStyle w:val="Tabell"/>
              <w:jc w:val="left"/>
              <w:rPr>
                <w:b/>
              </w:rPr>
            </w:pPr>
            <w:r w:rsidRPr="00075492">
              <w:rPr>
                <w:b/>
              </w:rPr>
              <w:t xml:space="preserve">0 anställda </w:t>
            </w:r>
          </w:p>
        </w:tc>
        <w:tc>
          <w:tcPr>
            <w:tcW w:w="1134" w:type="dxa"/>
            <w:vAlign w:val="center"/>
          </w:tcPr>
          <w:p w:rsidR="00547E7E" w:rsidRPr="00075492" w:rsidRDefault="00547E7E">
            <w:pPr>
              <w:pStyle w:val="Tabell"/>
              <w:jc w:val="right"/>
            </w:pPr>
            <w:r w:rsidRPr="00075492">
              <w:t>2 960</w:t>
            </w:r>
          </w:p>
        </w:tc>
        <w:tc>
          <w:tcPr>
            <w:tcW w:w="1134" w:type="dxa"/>
            <w:vAlign w:val="center"/>
          </w:tcPr>
          <w:p w:rsidR="00547E7E" w:rsidRPr="00075492" w:rsidRDefault="00547E7E">
            <w:pPr>
              <w:pStyle w:val="Tabell"/>
              <w:jc w:val="right"/>
              <w:rPr>
                <w:b/>
              </w:rPr>
            </w:pPr>
            <w:r w:rsidRPr="00075492">
              <w:rPr>
                <w:b/>
              </w:rPr>
              <w:t>39</w:t>
            </w:r>
          </w:p>
        </w:tc>
        <w:tc>
          <w:tcPr>
            <w:tcW w:w="1134" w:type="dxa"/>
            <w:vAlign w:val="center"/>
          </w:tcPr>
          <w:p w:rsidR="00547E7E" w:rsidRPr="00075492" w:rsidRDefault="00547E7E">
            <w:pPr>
              <w:pStyle w:val="Tabell"/>
              <w:jc w:val="right"/>
            </w:pPr>
            <w:r w:rsidRPr="00075492">
              <w:t>–</w:t>
            </w:r>
          </w:p>
        </w:tc>
        <w:tc>
          <w:tcPr>
            <w:tcW w:w="1134" w:type="dxa"/>
            <w:vAlign w:val="center"/>
          </w:tcPr>
          <w:p w:rsidR="00547E7E" w:rsidRPr="00075492" w:rsidRDefault="00547E7E">
            <w:pPr>
              <w:pStyle w:val="Tabell"/>
              <w:jc w:val="right"/>
              <w:rPr>
                <w:b/>
              </w:rPr>
            </w:pPr>
            <w:r w:rsidRPr="00075492">
              <w:t>–</w:t>
            </w:r>
          </w:p>
        </w:tc>
      </w:tr>
      <w:tr w:rsidR="00000000" w:rsidRPr="00075492">
        <w:tblPrEx>
          <w:tblCellMar>
            <w:top w:w="0" w:type="dxa"/>
            <w:bottom w:w="0" w:type="dxa"/>
          </w:tblCellMar>
        </w:tblPrEx>
        <w:trPr>
          <w:trHeight w:val="280"/>
          <w:jc w:val="center"/>
        </w:trPr>
        <w:tc>
          <w:tcPr>
            <w:tcW w:w="1588" w:type="dxa"/>
            <w:vAlign w:val="center"/>
          </w:tcPr>
          <w:p w:rsidR="00547E7E" w:rsidRPr="00075492" w:rsidRDefault="00547E7E">
            <w:pPr>
              <w:pStyle w:val="Tabell"/>
              <w:jc w:val="left"/>
              <w:rPr>
                <w:b/>
              </w:rPr>
            </w:pPr>
            <w:r w:rsidRPr="00075492">
              <w:rPr>
                <w:b/>
              </w:rPr>
              <w:t>1</w:t>
            </w:r>
            <w:r w:rsidRPr="00075492">
              <w:t>–</w:t>
            </w:r>
            <w:r w:rsidRPr="00075492">
              <w:rPr>
                <w:b/>
              </w:rPr>
              <w:t>9 anställda</w:t>
            </w:r>
          </w:p>
        </w:tc>
        <w:tc>
          <w:tcPr>
            <w:tcW w:w="1134" w:type="dxa"/>
            <w:vAlign w:val="center"/>
          </w:tcPr>
          <w:p w:rsidR="00547E7E" w:rsidRPr="00075492" w:rsidRDefault="00547E7E">
            <w:pPr>
              <w:pStyle w:val="Tabell"/>
              <w:jc w:val="right"/>
            </w:pPr>
            <w:r w:rsidRPr="00075492">
              <w:t>2 710</w:t>
            </w:r>
          </w:p>
        </w:tc>
        <w:tc>
          <w:tcPr>
            <w:tcW w:w="1134" w:type="dxa"/>
            <w:vAlign w:val="center"/>
          </w:tcPr>
          <w:p w:rsidR="00547E7E" w:rsidRPr="00075492" w:rsidRDefault="00547E7E">
            <w:pPr>
              <w:pStyle w:val="Tabell"/>
              <w:jc w:val="right"/>
              <w:rPr>
                <w:b/>
              </w:rPr>
            </w:pPr>
            <w:r w:rsidRPr="00075492">
              <w:rPr>
                <w:b/>
              </w:rPr>
              <w:t>35</w:t>
            </w:r>
          </w:p>
        </w:tc>
        <w:tc>
          <w:tcPr>
            <w:tcW w:w="1134" w:type="dxa"/>
            <w:vAlign w:val="center"/>
          </w:tcPr>
          <w:p w:rsidR="00547E7E" w:rsidRPr="00075492" w:rsidRDefault="00547E7E">
            <w:pPr>
              <w:pStyle w:val="Tabell"/>
              <w:jc w:val="right"/>
            </w:pPr>
            <w:r w:rsidRPr="00075492">
              <w:t>10 800</w:t>
            </w:r>
          </w:p>
        </w:tc>
        <w:tc>
          <w:tcPr>
            <w:tcW w:w="1134" w:type="dxa"/>
            <w:vAlign w:val="center"/>
          </w:tcPr>
          <w:p w:rsidR="00547E7E" w:rsidRPr="00075492" w:rsidRDefault="00547E7E">
            <w:pPr>
              <w:pStyle w:val="Tabell"/>
              <w:jc w:val="right"/>
              <w:rPr>
                <w:b/>
              </w:rPr>
            </w:pPr>
            <w:r w:rsidRPr="00075492">
              <w:rPr>
                <w:b/>
              </w:rPr>
              <w:t>16</w:t>
            </w:r>
          </w:p>
        </w:tc>
      </w:tr>
      <w:tr w:rsidR="00000000" w:rsidRPr="00075492">
        <w:tblPrEx>
          <w:tblCellMar>
            <w:top w:w="0" w:type="dxa"/>
            <w:bottom w:w="0" w:type="dxa"/>
          </w:tblCellMar>
        </w:tblPrEx>
        <w:trPr>
          <w:trHeight w:val="280"/>
          <w:jc w:val="center"/>
        </w:trPr>
        <w:tc>
          <w:tcPr>
            <w:tcW w:w="1588" w:type="dxa"/>
            <w:vAlign w:val="center"/>
          </w:tcPr>
          <w:p w:rsidR="00547E7E" w:rsidRPr="00075492" w:rsidRDefault="00547E7E">
            <w:pPr>
              <w:pStyle w:val="Tabell"/>
              <w:jc w:val="left"/>
              <w:rPr>
                <w:b/>
              </w:rPr>
            </w:pPr>
            <w:r w:rsidRPr="00075492">
              <w:rPr>
                <w:b/>
              </w:rPr>
              <w:t>10</w:t>
            </w:r>
            <w:r w:rsidRPr="00075492">
              <w:t>–</w:t>
            </w:r>
            <w:r w:rsidRPr="00075492">
              <w:rPr>
                <w:b/>
              </w:rPr>
              <w:t>49 anställda</w:t>
            </w:r>
          </w:p>
        </w:tc>
        <w:tc>
          <w:tcPr>
            <w:tcW w:w="1134" w:type="dxa"/>
            <w:vAlign w:val="center"/>
          </w:tcPr>
          <w:p w:rsidR="00547E7E" w:rsidRPr="00075492" w:rsidRDefault="00547E7E">
            <w:pPr>
              <w:pStyle w:val="Tabell"/>
              <w:jc w:val="right"/>
            </w:pPr>
            <w:r w:rsidRPr="00075492">
              <w:t>1 750</w:t>
            </w:r>
          </w:p>
        </w:tc>
        <w:tc>
          <w:tcPr>
            <w:tcW w:w="1134" w:type="dxa"/>
            <w:vAlign w:val="center"/>
          </w:tcPr>
          <w:p w:rsidR="00547E7E" w:rsidRPr="00075492" w:rsidRDefault="00547E7E">
            <w:pPr>
              <w:pStyle w:val="Tabell"/>
              <w:jc w:val="right"/>
              <w:rPr>
                <w:b/>
              </w:rPr>
            </w:pPr>
            <w:r w:rsidRPr="00075492">
              <w:rPr>
                <w:b/>
              </w:rPr>
              <w:t>23</w:t>
            </w:r>
          </w:p>
        </w:tc>
        <w:tc>
          <w:tcPr>
            <w:tcW w:w="1134" w:type="dxa"/>
            <w:vAlign w:val="center"/>
          </w:tcPr>
          <w:p w:rsidR="00547E7E" w:rsidRPr="00075492" w:rsidRDefault="00547E7E">
            <w:pPr>
              <w:pStyle w:val="Tabell"/>
              <w:jc w:val="right"/>
            </w:pPr>
            <w:r w:rsidRPr="00075492">
              <w:t>34 800</w:t>
            </w:r>
          </w:p>
        </w:tc>
        <w:tc>
          <w:tcPr>
            <w:tcW w:w="1134" w:type="dxa"/>
            <w:vAlign w:val="center"/>
          </w:tcPr>
          <w:p w:rsidR="00547E7E" w:rsidRPr="00075492" w:rsidRDefault="00547E7E">
            <w:pPr>
              <w:pStyle w:val="Tabell"/>
              <w:jc w:val="right"/>
              <w:rPr>
                <w:b/>
              </w:rPr>
            </w:pPr>
            <w:r w:rsidRPr="00075492">
              <w:rPr>
                <w:b/>
              </w:rPr>
              <w:t>53</w:t>
            </w:r>
          </w:p>
        </w:tc>
      </w:tr>
      <w:tr w:rsidR="00000000" w:rsidRPr="00075492">
        <w:tblPrEx>
          <w:tblCellMar>
            <w:top w:w="0" w:type="dxa"/>
            <w:bottom w:w="0" w:type="dxa"/>
          </w:tblCellMar>
        </w:tblPrEx>
        <w:trPr>
          <w:trHeight w:val="280"/>
          <w:jc w:val="center"/>
        </w:trPr>
        <w:tc>
          <w:tcPr>
            <w:tcW w:w="1588" w:type="dxa"/>
            <w:vAlign w:val="center"/>
          </w:tcPr>
          <w:p w:rsidR="00547E7E" w:rsidRPr="00075492" w:rsidRDefault="00547E7E">
            <w:pPr>
              <w:pStyle w:val="Tabell"/>
              <w:jc w:val="left"/>
              <w:rPr>
                <w:b/>
              </w:rPr>
            </w:pPr>
            <w:r w:rsidRPr="00075492">
              <w:rPr>
                <w:b/>
              </w:rPr>
              <w:t>50</w:t>
            </w:r>
            <w:r w:rsidRPr="00075492">
              <w:t xml:space="preserve">– </w:t>
            </w:r>
            <w:r w:rsidRPr="00075492">
              <w:rPr>
                <w:b/>
              </w:rPr>
              <w:t>anställda</w:t>
            </w:r>
          </w:p>
        </w:tc>
        <w:tc>
          <w:tcPr>
            <w:tcW w:w="1134" w:type="dxa"/>
            <w:vAlign w:val="center"/>
          </w:tcPr>
          <w:p w:rsidR="00547E7E" w:rsidRPr="00075492" w:rsidRDefault="00547E7E">
            <w:pPr>
              <w:pStyle w:val="Tabell"/>
              <w:jc w:val="right"/>
            </w:pPr>
            <w:r w:rsidRPr="00075492">
              <w:t>220</w:t>
            </w:r>
          </w:p>
        </w:tc>
        <w:tc>
          <w:tcPr>
            <w:tcW w:w="1134" w:type="dxa"/>
            <w:vAlign w:val="center"/>
          </w:tcPr>
          <w:p w:rsidR="00547E7E" w:rsidRPr="00075492" w:rsidRDefault="00547E7E">
            <w:pPr>
              <w:pStyle w:val="Tabell"/>
              <w:jc w:val="right"/>
              <w:rPr>
                <w:b/>
              </w:rPr>
            </w:pPr>
            <w:r w:rsidRPr="00075492">
              <w:rPr>
                <w:b/>
              </w:rPr>
              <w:t>3</w:t>
            </w:r>
          </w:p>
        </w:tc>
        <w:tc>
          <w:tcPr>
            <w:tcW w:w="1134" w:type="dxa"/>
            <w:vAlign w:val="center"/>
          </w:tcPr>
          <w:p w:rsidR="00547E7E" w:rsidRPr="00075492" w:rsidRDefault="00547E7E">
            <w:pPr>
              <w:pStyle w:val="Tabell"/>
              <w:jc w:val="right"/>
            </w:pPr>
            <w:r w:rsidRPr="00075492">
              <w:t>20 400</w:t>
            </w:r>
          </w:p>
        </w:tc>
        <w:tc>
          <w:tcPr>
            <w:tcW w:w="1134" w:type="dxa"/>
            <w:vAlign w:val="center"/>
          </w:tcPr>
          <w:p w:rsidR="00547E7E" w:rsidRPr="00075492" w:rsidRDefault="00547E7E">
            <w:pPr>
              <w:pStyle w:val="Tabell"/>
              <w:jc w:val="right"/>
              <w:rPr>
                <w:b/>
              </w:rPr>
            </w:pPr>
            <w:r w:rsidRPr="00075492">
              <w:rPr>
                <w:b/>
              </w:rPr>
              <w:t>31</w:t>
            </w:r>
          </w:p>
        </w:tc>
      </w:tr>
      <w:tr w:rsidR="00000000" w:rsidRPr="00075492">
        <w:tblPrEx>
          <w:tblCellMar>
            <w:top w:w="0" w:type="dxa"/>
            <w:bottom w:w="0" w:type="dxa"/>
          </w:tblCellMar>
        </w:tblPrEx>
        <w:trPr>
          <w:trHeight w:val="280"/>
          <w:jc w:val="center"/>
        </w:trPr>
        <w:tc>
          <w:tcPr>
            <w:tcW w:w="1588" w:type="dxa"/>
            <w:vAlign w:val="center"/>
          </w:tcPr>
          <w:p w:rsidR="00547E7E" w:rsidRPr="00075492" w:rsidRDefault="00547E7E">
            <w:pPr>
              <w:pStyle w:val="Tabell"/>
              <w:jc w:val="right"/>
              <w:rPr>
                <w:b/>
              </w:rPr>
            </w:pPr>
            <w:r w:rsidRPr="00075492">
              <w:rPr>
                <w:b/>
              </w:rPr>
              <w:t>Totalt</w:t>
            </w:r>
          </w:p>
        </w:tc>
        <w:tc>
          <w:tcPr>
            <w:tcW w:w="1134" w:type="dxa"/>
            <w:vAlign w:val="center"/>
          </w:tcPr>
          <w:p w:rsidR="00547E7E" w:rsidRPr="00075492" w:rsidRDefault="00547E7E">
            <w:pPr>
              <w:pStyle w:val="Tabell"/>
              <w:jc w:val="right"/>
            </w:pPr>
            <w:r w:rsidRPr="00075492">
              <w:t>7 640</w:t>
            </w:r>
          </w:p>
        </w:tc>
        <w:tc>
          <w:tcPr>
            <w:tcW w:w="1134" w:type="dxa"/>
            <w:vAlign w:val="center"/>
          </w:tcPr>
          <w:p w:rsidR="00547E7E" w:rsidRPr="00075492" w:rsidRDefault="00547E7E">
            <w:pPr>
              <w:pStyle w:val="Tabell"/>
              <w:jc w:val="right"/>
              <w:rPr>
                <w:b/>
              </w:rPr>
            </w:pPr>
            <w:r w:rsidRPr="00075492">
              <w:rPr>
                <w:b/>
              </w:rPr>
              <w:t>100</w:t>
            </w:r>
          </w:p>
        </w:tc>
        <w:tc>
          <w:tcPr>
            <w:tcW w:w="1134" w:type="dxa"/>
            <w:vAlign w:val="center"/>
          </w:tcPr>
          <w:p w:rsidR="00547E7E" w:rsidRPr="00075492" w:rsidRDefault="00547E7E">
            <w:pPr>
              <w:pStyle w:val="Tabell"/>
              <w:jc w:val="right"/>
            </w:pPr>
            <w:r w:rsidRPr="00075492">
              <w:t>66 000</w:t>
            </w:r>
          </w:p>
        </w:tc>
        <w:tc>
          <w:tcPr>
            <w:tcW w:w="1134" w:type="dxa"/>
            <w:vAlign w:val="center"/>
          </w:tcPr>
          <w:p w:rsidR="00547E7E" w:rsidRPr="00075492" w:rsidRDefault="00547E7E">
            <w:pPr>
              <w:pStyle w:val="Tabell"/>
              <w:jc w:val="right"/>
              <w:rPr>
                <w:b/>
              </w:rPr>
            </w:pPr>
            <w:r w:rsidRPr="00075492">
              <w:rPr>
                <w:b/>
              </w:rPr>
              <w:t>100</w:t>
            </w:r>
          </w:p>
        </w:tc>
      </w:tr>
    </w:tbl>
    <w:p w:rsidR="00547E7E" w:rsidRPr="00075492" w:rsidRDefault="00547E7E">
      <w:pPr>
        <w:pStyle w:val="Tabell"/>
      </w:pPr>
    </w:p>
    <w:p w:rsidR="00547E7E" w:rsidRPr="00075492" w:rsidRDefault="00547E7E">
      <w:pPr>
        <w:pStyle w:val="Tabell"/>
      </w:pPr>
      <w:r w:rsidRPr="00075492">
        <w:t xml:space="preserve">Källa: SCB 2000. </w:t>
      </w:r>
      <w:r w:rsidRPr="00075492">
        <w:rPr>
          <w:i/>
        </w:rPr>
        <w:t>Basfakta 2000. Tabeller ur företagsregistret</w:t>
      </w:r>
      <w:r w:rsidRPr="00075492">
        <w:t>. Tabell 2.</w:t>
      </w:r>
    </w:p>
    <w:p w:rsidR="00547E7E" w:rsidRPr="00075492" w:rsidRDefault="00547E7E">
      <w:r w:rsidRPr="00075492">
        <w:t>Som framgår av tabell 3 fanns det år 2000 ca 7 600 arbetsställen med 69 000 sysselsatta (egna företagare plus anställda) inom dagligvarubutiksbra</w:t>
      </w:r>
      <w:r w:rsidRPr="00075492">
        <w:t>n</w:t>
      </w:r>
      <w:r w:rsidRPr="00075492">
        <w:t xml:space="preserve">schen. </w:t>
      </w:r>
    </w:p>
    <w:p w:rsidR="00547E7E" w:rsidRPr="00075492" w:rsidRDefault="00547E7E">
      <w:pPr>
        <w:pStyle w:val="Normaltindrag"/>
      </w:pPr>
      <w:r w:rsidRPr="00075492">
        <w:t>De arbetsställen som har 1–9 anställda (35 %) eller drivs av egna företag</w:t>
      </w:r>
      <w:r w:rsidRPr="00075492">
        <w:t>a</w:t>
      </w:r>
      <w:r w:rsidRPr="00075492">
        <w:t>re utan anställda (39 %) utgör en majoritet, sammanlagt 74 %. De stora a</w:t>
      </w:r>
      <w:r w:rsidRPr="00075492">
        <w:t>r</w:t>
      </w:r>
      <w:r w:rsidRPr="00075492">
        <w:t>betsplatserna med 50 eller fler anställda är få, bara 3 %, men står för en tredjedel av de 66 000 anställda i branschen. En majoritet, 53 %, av det totala antalet anställda har dagligvarub</w:t>
      </w:r>
      <w:r w:rsidRPr="00075492">
        <w:t>u</w:t>
      </w:r>
      <w:r w:rsidRPr="00075492">
        <w:t>tiker med 10–49 anställda.</w:t>
      </w:r>
    </w:p>
    <w:p w:rsidR="00547E7E" w:rsidRPr="00075492" w:rsidRDefault="00547E7E">
      <w:pPr>
        <w:pStyle w:val="Rubrik2-Utannumrering"/>
      </w:pPr>
      <w:bookmarkStart w:id="874" w:name="_Toc531166505"/>
      <w:bookmarkStart w:id="875" w:name="_Toc532284596"/>
      <w:bookmarkStart w:id="876" w:name="_Toc84712"/>
      <w:bookmarkStart w:id="877" w:name="_Toc6634671"/>
      <w:bookmarkStart w:id="878" w:name="_Toc6637253"/>
      <w:r w:rsidRPr="00075492">
        <w:t>Konsumtionsledet: Offentliga och privatägda storhushåll</w:t>
      </w:r>
      <w:bookmarkEnd w:id="874"/>
      <w:bookmarkEnd w:id="875"/>
      <w:bookmarkEnd w:id="876"/>
      <w:bookmarkEnd w:id="877"/>
      <w:bookmarkEnd w:id="878"/>
    </w:p>
    <w:p w:rsidR="00547E7E" w:rsidRPr="00075492" w:rsidRDefault="00547E7E">
      <w:pPr>
        <w:pStyle w:val="Normaltindrag"/>
        <w:ind w:firstLine="0"/>
      </w:pPr>
    </w:p>
    <w:p w:rsidR="00547E7E" w:rsidRPr="00075492" w:rsidRDefault="00547E7E">
      <w:pPr>
        <w:pStyle w:val="Normaltindrag"/>
        <w:ind w:firstLine="0"/>
      </w:pPr>
      <w:r w:rsidRPr="00075492">
        <w:t>Storhushållen kan delas in i två grupper: offentliga och privata storhushåll. Till den offentliga sektorns storhushåll räknas storhushåll inom försvaret, kriminal- och socialvård samt skolor, barnomsorg, äldrevård och sjukvård i offentlig regi. Till den privata sektorn hänförs främst storhushåll inom sj</w:t>
      </w:r>
      <w:r w:rsidRPr="00075492">
        <w:t>ö</w:t>
      </w:r>
      <w:r w:rsidRPr="00075492">
        <w:t>fart, kommunikationer i form av tåg- och flyg, kommersiella restauranger, snabbmatsrestauran</w:t>
      </w:r>
      <w:r w:rsidRPr="00075492">
        <w:t>g</w:t>
      </w:r>
      <w:r w:rsidRPr="00075492">
        <w:t>er och personalrestauranger.</w:t>
      </w:r>
      <w:r w:rsidRPr="00075492">
        <w:rPr>
          <w:rStyle w:val="Fotnotsreferens"/>
        </w:rPr>
        <w:footnoteReference w:id="104"/>
      </w:r>
      <w:r w:rsidRPr="00075492">
        <w:t xml:space="preserve"> </w:t>
      </w:r>
    </w:p>
    <w:p w:rsidR="00547E7E" w:rsidRPr="00075492" w:rsidRDefault="00547E7E">
      <w:pPr>
        <w:pStyle w:val="Normaltindrag"/>
      </w:pPr>
      <w:r w:rsidRPr="00075492">
        <w:t>År 1999 sysselsatte storhushållen drygt 127 000 människor, varav den o</w:t>
      </w:r>
      <w:r w:rsidRPr="00075492">
        <w:t>f</w:t>
      </w:r>
      <w:r w:rsidRPr="00075492">
        <w:t>fentliga sektorn stod för 42 000 och den privata resterande 85 000. Av dessa 127 000 var 103 000 årsanställda.</w:t>
      </w:r>
      <w:r w:rsidRPr="00075492">
        <w:rPr>
          <w:rStyle w:val="Fotnotsreferens"/>
        </w:rPr>
        <w:footnoteReference w:id="105"/>
      </w:r>
      <w:r w:rsidRPr="00075492">
        <w:t xml:space="preserve"> Samma år omfattade storhushållen 32 000 enheter, varav den privata sektorn stod för majoriteten med 18 000 enheter.</w:t>
      </w:r>
      <w:r w:rsidRPr="00075492">
        <w:rPr>
          <w:rStyle w:val="Fotnotsreferens"/>
        </w:rPr>
        <w:footnoteReference w:id="106"/>
      </w:r>
      <w:r w:rsidRPr="00075492">
        <w:t xml:space="preserve"> I tabell 4 nedan redovisas hur de 32 000 enheterna fördelas över olika typer av storhushåll.</w:t>
      </w:r>
    </w:p>
    <w:p w:rsidR="00547E7E" w:rsidRPr="00075492" w:rsidRDefault="00547E7E">
      <w:pPr>
        <w:pStyle w:val="Normaltindrag"/>
        <w:ind w:firstLine="0"/>
      </w:pPr>
    </w:p>
    <w:p w:rsidR="00547E7E" w:rsidRPr="00075492" w:rsidRDefault="00547E7E">
      <w:pPr>
        <w:pStyle w:val="Tabellrubrik"/>
      </w:pPr>
      <w:r w:rsidRPr="00075492">
        <w:t>Tabell 4  Totala antalet enheter 1999 fördelat på olika typer av sto</w:t>
      </w:r>
      <w:r w:rsidRPr="00075492">
        <w:t>r</w:t>
      </w:r>
      <w:r w:rsidRPr="00075492">
        <w:t>hushåll.</w:t>
      </w:r>
    </w:p>
    <w:p w:rsidR="00547E7E" w:rsidRPr="00075492" w:rsidRDefault="00547E7E">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8"/>
        <w:gridCol w:w="1361"/>
        <w:gridCol w:w="1361"/>
      </w:tblGrid>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jc w:val="center"/>
            </w:pPr>
            <w:r w:rsidRPr="00075492">
              <w:t>Typ av storhushåll</w:t>
            </w:r>
          </w:p>
        </w:tc>
        <w:tc>
          <w:tcPr>
            <w:tcW w:w="1361" w:type="dxa"/>
            <w:vAlign w:val="center"/>
          </w:tcPr>
          <w:p w:rsidR="00547E7E" w:rsidRPr="00075492" w:rsidRDefault="00547E7E">
            <w:pPr>
              <w:pStyle w:val="Tabell"/>
              <w:jc w:val="center"/>
            </w:pPr>
            <w:r w:rsidRPr="00075492">
              <w:t xml:space="preserve">Antal </w:t>
            </w:r>
          </w:p>
          <w:p w:rsidR="00547E7E" w:rsidRPr="00075492" w:rsidRDefault="00547E7E">
            <w:pPr>
              <w:pStyle w:val="Tabell"/>
              <w:jc w:val="center"/>
            </w:pPr>
            <w:r w:rsidRPr="00075492">
              <w:t>(avrundat i tiotal)</w:t>
            </w:r>
          </w:p>
        </w:tc>
        <w:tc>
          <w:tcPr>
            <w:tcW w:w="1361" w:type="dxa"/>
            <w:vAlign w:val="center"/>
          </w:tcPr>
          <w:p w:rsidR="00547E7E" w:rsidRPr="00075492" w:rsidRDefault="00547E7E">
            <w:pPr>
              <w:pStyle w:val="Tabell"/>
              <w:jc w:val="center"/>
            </w:pPr>
            <w:r w:rsidRPr="00075492">
              <w:t xml:space="preserve">Andel </w:t>
            </w:r>
          </w:p>
          <w:p w:rsidR="00547E7E" w:rsidRPr="00075492" w:rsidRDefault="00547E7E">
            <w:pPr>
              <w:pStyle w:val="Tabell"/>
              <w:jc w:val="center"/>
            </w:pPr>
            <w:r w:rsidRPr="00075492">
              <w:t>(pr</w:t>
            </w:r>
            <w:r w:rsidRPr="00075492">
              <w:t>o</w:t>
            </w:r>
            <w:r w:rsidRPr="00075492">
              <w:t>cent)</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Kommersiella restauranger</w:t>
            </w:r>
          </w:p>
        </w:tc>
        <w:tc>
          <w:tcPr>
            <w:tcW w:w="1361" w:type="dxa"/>
            <w:vAlign w:val="center"/>
          </w:tcPr>
          <w:p w:rsidR="00547E7E" w:rsidRPr="00075492" w:rsidRDefault="00547E7E">
            <w:pPr>
              <w:pStyle w:val="Tabell"/>
              <w:jc w:val="right"/>
            </w:pPr>
            <w:r w:rsidRPr="00075492">
              <w:t>10 660</w:t>
            </w:r>
          </w:p>
        </w:tc>
        <w:tc>
          <w:tcPr>
            <w:tcW w:w="1361" w:type="dxa"/>
            <w:vAlign w:val="center"/>
          </w:tcPr>
          <w:p w:rsidR="00547E7E" w:rsidRPr="00075492" w:rsidRDefault="00547E7E">
            <w:pPr>
              <w:pStyle w:val="Tabell"/>
              <w:jc w:val="right"/>
            </w:pPr>
            <w:r w:rsidRPr="00075492">
              <w:t>33, 2</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Fast food restauranger</w:t>
            </w:r>
          </w:p>
        </w:tc>
        <w:tc>
          <w:tcPr>
            <w:tcW w:w="1361" w:type="dxa"/>
            <w:vAlign w:val="center"/>
          </w:tcPr>
          <w:p w:rsidR="00547E7E" w:rsidRPr="00075492" w:rsidRDefault="00547E7E">
            <w:pPr>
              <w:pStyle w:val="Tabell"/>
              <w:jc w:val="right"/>
            </w:pPr>
            <w:r w:rsidRPr="00075492">
              <w:t>5 390</w:t>
            </w:r>
          </w:p>
        </w:tc>
        <w:tc>
          <w:tcPr>
            <w:tcW w:w="1361" w:type="dxa"/>
            <w:vAlign w:val="center"/>
          </w:tcPr>
          <w:p w:rsidR="00547E7E" w:rsidRPr="00075492" w:rsidRDefault="00547E7E">
            <w:pPr>
              <w:pStyle w:val="Tabell"/>
              <w:jc w:val="right"/>
            </w:pPr>
            <w:r w:rsidRPr="00075492">
              <w:t>16,8</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Personalrestauranger</w:t>
            </w:r>
          </w:p>
        </w:tc>
        <w:tc>
          <w:tcPr>
            <w:tcW w:w="1361" w:type="dxa"/>
            <w:vAlign w:val="center"/>
          </w:tcPr>
          <w:p w:rsidR="00547E7E" w:rsidRPr="00075492" w:rsidRDefault="00547E7E">
            <w:pPr>
              <w:pStyle w:val="Tabell"/>
              <w:jc w:val="right"/>
            </w:pPr>
            <w:r w:rsidRPr="00075492">
              <w:t>1 510</w:t>
            </w:r>
          </w:p>
        </w:tc>
        <w:tc>
          <w:tcPr>
            <w:tcW w:w="1361" w:type="dxa"/>
            <w:vAlign w:val="center"/>
          </w:tcPr>
          <w:p w:rsidR="00547E7E" w:rsidRPr="00075492" w:rsidRDefault="00547E7E">
            <w:pPr>
              <w:pStyle w:val="Tabell"/>
              <w:jc w:val="right"/>
            </w:pPr>
            <w:r w:rsidRPr="00075492">
              <w:t>4,7</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Skolor</w:t>
            </w:r>
          </w:p>
        </w:tc>
        <w:tc>
          <w:tcPr>
            <w:tcW w:w="1361" w:type="dxa"/>
            <w:vAlign w:val="center"/>
          </w:tcPr>
          <w:p w:rsidR="00547E7E" w:rsidRPr="00075492" w:rsidRDefault="00547E7E">
            <w:pPr>
              <w:pStyle w:val="Tabell"/>
              <w:jc w:val="right"/>
            </w:pPr>
            <w:r w:rsidRPr="00075492">
              <w:t>5 910</w:t>
            </w:r>
          </w:p>
        </w:tc>
        <w:tc>
          <w:tcPr>
            <w:tcW w:w="1361" w:type="dxa"/>
            <w:vAlign w:val="center"/>
          </w:tcPr>
          <w:p w:rsidR="00547E7E" w:rsidRPr="00075492" w:rsidRDefault="00547E7E">
            <w:pPr>
              <w:pStyle w:val="Tabell"/>
              <w:jc w:val="right"/>
            </w:pPr>
            <w:r w:rsidRPr="00075492">
              <w:t>18,4</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Barnomsorg</w:t>
            </w:r>
          </w:p>
        </w:tc>
        <w:tc>
          <w:tcPr>
            <w:tcW w:w="1361" w:type="dxa"/>
            <w:vAlign w:val="center"/>
          </w:tcPr>
          <w:p w:rsidR="00547E7E" w:rsidRPr="00075492" w:rsidRDefault="00547E7E">
            <w:pPr>
              <w:pStyle w:val="Tabell"/>
              <w:jc w:val="right"/>
            </w:pPr>
            <w:r w:rsidRPr="00075492">
              <w:t>4 950</w:t>
            </w:r>
          </w:p>
        </w:tc>
        <w:tc>
          <w:tcPr>
            <w:tcW w:w="1361" w:type="dxa"/>
            <w:vAlign w:val="center"/>
          </w:tcPr>
          <w:p w:rsidR="00547E7E" w:rsidRPr="00075492" w:rsidRDefault="00547E7E">
            <w:pPr>
              <w:pStyle w:val="Tabell"/>
              <w:jc w:val="right"/>
            </w:pPr>
            <w:r w:rsidRPr="00075492">
              <w:t>15,4</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Äldreomsorg</w:t>
            </w:r>
          </w:p>
        </w:tc>
        <w:tc>
          <w:tcPr>
            <w:tcW w:w="1361" w:type="dxa"/>
            <w:vAlign w:val="center"/>
          </w:tcPr>
          <w:p w:rsidR="00547E7E" w:rsidRPr="00075492" w:rsidRDefault="00547E7E">
            <w:pPr>
              <w:pStyle w:val="Tabell"/>
              <w:jc w:val="right"/>
            </w:pPr>
            <w:r w:rsidRPr="00075492">
              <w:t>2 570</w:t>
            </w:r>
          </w:p>
        </w:tc>
        <w:tc>
          <w:tcPr>
            <w:tcW w:w="1361" w:type="dxa"/>
            <w:vAlign w:val="center"/>
          </w:tcPr>
          <w:p w:rsidR="00547E7E" w:rsidRPr="00075492" w:rsidRDefault="00547E7E">
            <w:pPr>
              <w:pStyle w:val="Tabell"/>
              <w:jc w:val="right"/>
            </w:pPr>
            <w:r w:rsidRPr="00075492">
              <w:t>8,0</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Sjukvård</w:t>
            </w:r>
          </w:p>
        </w:tc>
        <w:tc>
          <w:tcPr>
            <w:tcW w:w="1361" w:type="dxa"/>
            <w:vAlign w:val="center"/>
          </w:tcPr>
          <w:p w:rsidR="00547E7E" w:rsidRPr="00075492" w:rsidRDefault="00547E7E">
            <w:pPr>
              <w:pStyle w:val="Tabell"/>
              <w:jc w:val="right"/>
            </w:pPr>
            <w:r w:rsidRPr="00075492">
              <w:t>480</w:t>
            </w:r>
          </w:p>
        </w:tc>
        <w:tc>
          <w:tcPr>
            <w:tcW w:w="1361" w:type="dxa"/>
            <w:vAlign w:val="center"/>
          </w:tcPr>
          <w:p w:rsidR="00547E7E" w:rsidRPr="00075492" w:rsidRDefault="00547E7E">
            <w:pPr>
              <w:pStyle w:val="Tabell"/>
              <w:jc w:val="right"/>
            </w:pPr>
            <w:r w:rsidRPr="00075492">
              <w:t>1,5</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Övriga offentliga</w:t>
            </w:r>
          </w:p>
        </w:tc>
        <w:tc>
          <w:tcPr>
            <w:tcW w:w="1361" w:type="dxa"/>
            <w:vAlign w:val="center"/>
          </w:tcPr>
          <w:p w:rsidR="00547E7E" w:rsidRPr="00075492" w:rsidRDefault="00547E7E">
            <w:pPr>
              <w:pStyle w:val="Tabell"/>
              <w:jc w:val="right"/>
            </w:pPr>
            <w:r w:rsidRPr="00075492">
              <w:t>550</w:t>
            </w:r>
          </w:p>
        </w:tc>
        <w:tc>
          <w:tcPr>
            <w:tcW w:w="1361" w:type="dxa"/>
            <w:vAlign w:val="center"/>
          </w:tcPr>
          <w:p w:rsidR="00547E7E" w:rsidRPr="00075492" w:rsidRDefault="00547E7E">
            <w:pPr>
              <w:pStyle w:val="Tabell"/>
              <w:jc w:val="right"/>
            </w:pPr>
            <w:r w:rsidRPr="00075492">
              <w:t>1,7</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r w:rsidRPr="00075492">
              <w:t>Sjöfart</w:t>
            </w:r>
          </w:p>
        </w:tc>
        <w:tc>
          <w:tcPr>
            <w:tcW w:w="1361" w:type="dxa"/>
            <w:vAlign w:val="center"/>
          </w:tcPr>
          <w:p w:rsidR="00547E7E" w:rsidRPr="00075492" w:rsidRDefault="00547E7E">
            <w:pPr>
              <w:pStyle w:val="Tabell"/>
              <w:jc w:val="right"/>
            </w:pPr>
            <w:r w:rsidRPr="00075492">
              <w:t>100</w:t>
            </w:r>
          </w:p>
        </w:tc>
        <w:tc>
          <w:tcPr>
            <w:tcW w:w="1361" w:type="dxa"/>
            <w:vAlign w:val="center"/>
          </w:tcPr>
          <w:p w:rsidR="00547E7E" w:rsidRPr="00075492" w:rsidRDefault="00547E7E">
            <w:pPr>
              <w:pStyle w:val="Tabell"/>
              <w:jc w:val="right"/>
            </w:pPr>
            <w:r w:rsidRPr="00075492">
              <w:t>0,3</w:t>
            </w:r>
          </w:p>
        </w:tc>
      </w:tr>
      <w:tr w:rsidR="00000000" w:rsidRPr="00075492">
        <w:tblPrEx>
          <w:tblCellMar>
            <w:top w:w="0" w:type="dxa"/>
            <w:bottom w:w="0" w:type="dxa"/>
          </w:tblCellMar>
        </w:tblPrEx>
        <w:trPr>
          <w:trHeight w:val="240"/>
        </w:trPr>
        <w:tc>
          <w:tcPr>
            <w:tcW w:w="2948" w:type="dxa"/>
            <w:vAlign w:val="center"/>
          </w:tcPr>
          <w:p w:rsidR="00547E7E" w:rsidRPr="00075492" w:rsidRDefault="00547E7E">
            <w:pPr>
              <w:pStyle w:val="Tabell"/>
            </w:pPr>
          </w:p>
        </w:tc>
        <w:tc>
          <w:tcPr>
            <w:tcW w:w="1361" w:type="dxa"/>
            <w:vAlign w:val="center"/>
          </w:tcPr>
          <w:p w:rsidR="00547E7E" w:rsidRPr="00075492" w:rsidRDefault="00547E7E">
            <w:pPr>
              <w:pStyle w:val="Tabell"/>
              <w:jc w:val="right"/>
            </w:pPr>
            <w:r w:rsidRPr="00075492">
              <w:t>32 120</w:t>
            </w:r>
          </w:p>
        </w:tc>
        <w:tc>
          <w:tcPr>
            <w:tcW w:w="1361" w:type="dxa"/>
            <w:vAlign w:val="center"/>
          </w:tcPr>
          <w:p w:rsidR="00547E7E" w:rsidRPr="00075492" w:rsidRDefault="00547E7E">
            <w:pPr>
              <w:pStyle w:val="Tabell"/>
              <w:jc w:val="right"/>
            </w:pPr>
            <w:r w:rsidRPr="00075492">
              <w:t>100</w:t>
            </w:r>
          </w:p>
        </w:tc>
      </w:tr>
    </w:tbl>
    <w:p w:rsidR="00547E7E" w:rsidRPr="00075492" w:rsidRDefault="00547E7E">
      <w:pPr>
        <w:pStyle w:val="Tabell"/>
      </w:pPr>
      <w:r w:rsidRPr="00075492">
        <w:t xml:space="preserve">                  </w:t>
      </w:r>
    </w:p>
    <w:p w:rsidR="00547E7E" w:rsidRPr="00075492" w:rsidRDefault="00547E7E">
      <w:pPr>
        <w:pStyle w:val="Tabell"/>
      </w:pPr>
      <w:r w:rsidRPr="00075492">
        <w:t>Källa: Delfi Marknadspartner AB 2000.</w:t>
      </w:r>
      <w:r w:rsidRPr="00075492">
        <w:rPr>
          <w:i/>
        </w:rPr>
        <w:t xml:space="preserve"> Storhushållsguiden.</w:t>
      </w:r>
      <w:r w:rsidRPr="00075492">
        <w:t xml:space="preserve"> </w:t>
      </w:r>
    </w:p>
    <w:p w:rsidR="00547E7E" w:rsidRPr="00075492" w:rsidRDefault="00547E7E">
      <w:pPr>
        <w:pStyle w:val="Tabell"/>
      </w:pPr>
    </w:p>
    <w:p w:rsidR="00547E7E" w:rsidRPr="00075492" w:rsidRDefault="00547E7E">
      <w:pPr>
        <w:pStyle w:val="Normaltindrag"/>
        <w:ind w:firstLine="0"/>
      </w:pPr>
      <w:r w:rsidRPr="00075492">
        <w:t>De kommersiella restaurangerna svarade för en tredjedel av storhushållen. Restaurangerna och fastfoodrestaurangerna (17 %) är de största aktörerna inom den privata delen av storhushållsbranschen. Inom den offentliga sto</w:t>
      </w:r>
      <w:r w:rsidRPr="00075492">
        <w:t>r</w:t>
      </w:r>
      <w:r w:rsidRPr="00075492">
        <w:t xml:space="preserve">hushållsbranschen är skol- och barnomsorgsstorkök flest till antalet med knappt 6 000 respektive 5 000 enheter. </w:t>
      </w:r>
    </w:p>
    <w:p w:rsidR="00547E7E" w:rsidRPr="00075492" w:rsidRDefault="00547E7E">
      <w:pPr>
        <w:pStyle w:val="Normaltindrag"/>
      </w:pPr>
      <w:r w:rsidRPr="00075492">
        <w:t>De flesta storhushållen är små. De offentliga storhushållen är generellt sett oftare större än de privata.</w:t>
      </w:r>
      <w:r w:rsidRPr="00075492">
        <w:rPr>
          <w:rStyle w:val="Fotnotsreferens"/>
        </w:rPr>
        <w:footnoteReference w:id="107"/>
      </w:r>
      <w:r w:rsidRPr="00075492">
        <w:t xml:space="preserve"> 59 % av alla storhushåll serverar mindre än 150 måltider per dag. Endast 12 % av storhushållen serverar mer än 500 måltider per dag. Däremot står dessa 12 % för 55 % av det </w:t>
      </w:r>
      <w:r w:rsidRPr="00075492">
        <w:rPr>
          <w:i/>
        </w:rPr>
        <w:t>totala</w:t>
      </w:r>
      <w:r w:rsidRPr="00075492">
        <w:t xml:space="preserve"> antalet serverade måltider. De 59 % som serverar mindre än 150 måltider svarar bara för 16  % av v</w:t>
      </w:r>
      <w:r w:rsidRPr="00075492">
        <w:t>o</w:t>
      </w:r>
      <w:r w:rsidRPr="00075492">
        <w:t>lymen.</w:t>
      </w:r>
      <w:r w:rsidRPr="00075492">
        <w:rPr>
          <w:rStyle w:val="Fotnotsreferens"/>
        </w:rPr>
        <w:footnoteReference w:id="108"/>
      </w:r>
      <w:r w:rsidRPr="00075492">
        <w:t xml:space="preserve"> </w:t>
      </w:r>
    </w:p>
    <w:p w:rsidR="00547E7E" w:rsidRPr="00075492" w:rsidRDefault="00547E7E">
      <w:pPr>
        <w:pStyle w:val="Normaltindrag"/>
      </w:pPr>
      <w:r w:rsidRPr="00075492">
        <w:t>Totalt serverar storhushållen 1,4 miljarder måltider varje år. Lite mer än hälften, 55 %, av dessa måltider serverades inom den privata sektorn. De kommersiella restaurangerna stod för 25 % och fastfood restaurangerna svarade för 23 % av det totala antalet sto</w:t>
      </w:r>
      <w:r w:rsidRPr="00075492">
        <w:t>r</w:t>
      </w:r>
      <w:r w:rsidRPr="00075492">
        <w:t>köksmåltider.</w:t>
      </w:r>
      <w:r w:rsidRPr="00075492">
        <w:rPr>
          <w:rStyle w:val="Fotnotsreferens"/>
        </w:rPr>
        <w:t xml:space="preserve"> </w:t>
      </w:r>
      <w:r w:rsidRPr="00075492">
        <w:rPr>
          <w:rStyle w:val="Fotnotsreferens"/>
        </w:rPr>
        <w:footnoteReference w:id="109"/>
      </w:r>
      <w:r w:rsidRPr="00075492">
        <w:t xml:space="preserve"> </w:t>
      </w:r>
    </w:p>
    <w:p w:rsidR="00547E7E" w:rsidRPr="00075492" w:rsidRDefault="00547E7E">
      <w:pPr>
        <w:pStyle w:val="Normaltindrag"/>
      </w:pPr>
      <w:r w:rsidRPr="00075492">
        <w:t>I tabell 5 nedan redovisas antalet arbetsställen inom storhushållsbranschen med inga, få eller många anställda samt det totala antalet anställda inom varje kategori.</w:t>
      </w:r>
    </w:p>
    <w:p w:rsidR="00547E7E" w:rsidRPr="00075492" w:rsidRDefault="00547E7E">
      <w:pPr>
        <w:pStyle w:val="Normaltindrag"/>
      </w:pPr>
      <w:r w:rsidRPr="00075492">
        <w:br w:type="page"/>
      </w:r>
    </w:p>
    <w:p w:rsidR="00547E7E" w:rsidRPr="00075492" w:rsidRDefault="00547E7E">
      <w:pPr>
        <w:pStyle w:val="Tabellrubrik"/>
      </w:pPr>
      <w:r w:rsidRPr="00075492">
        <w:t>Tabell 5 Antal arbetsställen i storhushållsbranschen indelade efter antal anstäl</w:t>
      </w:r>
      <w:r w:rsidRPr="00075492">
        <w:t>l</w:t>
      </w:r>
      <w:r w:rsidRPr="00075492">
        <w:t xml:space="preserve">da, 2000. </w:t>
      </w:r>
    </w:p>
    <w:p w:rsidR="00547E7E" w:rsidRPr="00075492" w:rsidRDefault="00547E7E">
      <w:pPr>
        <w:pStyle w:val="Tabel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134"/>
        <w:gridCol w:w="1134"/>
        <w:gridCol w:w="1134"/>
        <w:gridCol w:w="1134"/>
      </w:tblGrid>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rPr>
                <w:b/>
              </w:rPr>
            </w:pPr>
          </w:p>
        </w:tc>
        <w:tc>
          <w:tcPr>
            <w:tcW w:w="1134" w:type="dxa"/>
            <w:vAlign w:val="center"/>
          </w:tcPr>
          <w:p w:rsidR="00547E7E" w:rsidRPr="00075492" w:rsidRDefault="00547E7E">
            <w:pPr>
              <w:pStyle w:val="Tabell"/>
              <w:jc w:val="center"/>
            </w:pPr>
            <w:r w:rsidRPr="00075492">
              <w:t>Antal arbet</w:t>
            </w:r>
            <w:r w:rsidRPr="00075492">
              <w:t>s</w:t>
            </w:r>
            <w:r w:rsidRPr="00075492">
              <w:t>ställen (tiotal)</w:t>
            </w:r>
          </w:p>
        </w:tc>
        <w:tc>
          <w:tcPr>
            <w:tcW w:w="1134" w:type="dxa"/>
            <w:vAlign w:val="center"/>
          </w:tcPr>
          <w:p w:rsidR="00547E7E" w:rsidRPr="00075492" w:rsidRDefault="00547E7E">
            <w:pPr>
              <w:pStyle w:val="Tabell"/>
              <w:jc w:val="center"/>
              <w:rPr>
                <w:b/>
              </w:rPr>
            </w:pPr>
            <w:r w:rsidRPr="00075492">
              <w:rPr>
                <w:b/>
              </w:rPr>
              <w:t>Procentuell andel arbet</w:t>
            </w:r>
            <w:r w:rsidRPr="00075492">
              <w:rPr>
                <w:b/>
              </w:rPr>
              <w:t>s</w:t>
            </w:r>
            <w:r w:rsidRPr="00075492">
              <w:rPr>
                <w:b/>
              </w:rPr>
              <w:t>ställen (hela procent)</w:t>
            </w:r>
          </w:p>
        </w:tc>
        <w:tc>
          <w:tcPr>
            <w:tcW w:w="1134" w:type="dxa"/>
            <w:vAlign w:val="center"/>
          </w:tcPr>
          <w:p w:rsidR="00547E7E" w:rsidRPr="00075492" w:rsidRDefault="00547E7E">
            <w:pPr>
              <w:pStyle w:val="Tabell"/>
              <w:jc w:val="center"/>
            </w:pPr>
            <w:r w:rsidRPr="00075492">
              <w:t>Antal anstäl</w:t>
            </w:r>
            <w:r w:rsidRPr="00075492">
              <w:t>l</w:t>
            </w:r>
            <w:r w:rsidRPr="00075492">
              <w:t>da i kategorin (hundratal)</w:t>
            </w:r>
          </w:p>
        </w:tc>
        <w:tc>
          <w:tcPr>
            <w:tcW w:w="1134" w:type="dxa"/>
            <w:vAlign w:val="center"/>
          </w:tcPr>
          <w:p w:rsidR="00547E7E" w:rsidRPr="00075492" w:rsidRDefault="00547E7E">
            <w:pPr>
              <w:pStyle w:val="Tabell"/>
              <w:jc w:val="center"/>
              <w:rPr>
                <w:b/>
              </w:rPr>
            </w:pPr>
            <w:r w:rsidRPr="00075492">
              <w:rPr>
                <w:b/>
              </w:rPr>
              <w:t>Procentuell andel a</w:t>
            </w:r>
            <w:r w:rsidRPr="00075492">
              <w:rPr>
                <w:b/>
              </w:rPr>
              <w:t>n</w:t>
            </w:r>
            <w:r w:rsidRPr="00075492">
              <w:rPr>
                <w:b/>
              </w:rPr>
              <w:t>ställda i kategorin (hela pr</w:t>
            </w:r>
            <w:r w:rsidRPr="00075492">
              <w:rPr>
                <w:b/>
              </w:rPr>
              <w:t>o</w:t>
            </w:r>
            <w:r w:rsidRPr="00075492">
              <w:rPr>
                <w:b/>
              </w:rPr>
              <w:t>cent)</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 xml:space="preserve">0 anställda </w:t>
            </w:r>
          </w:p>
        </w:tc>
        <w:tc>
          <w:tcPr>
            <w:tcW w:w="1134" w:type="dxa"/>
            <w:vAlign w:val="center"/>
          </w:tcPr>
          <w:p w:rsidR="00547E7E" w:rsidRPr="00075492" w:rsidRDefault="00547E7E">
            <w:pPr>
              <w:pStyle w:val="Tabell"/>
              <w:jc w:val="right"/>
            </w:pPr>
            <w:r w:rsidRPr="00075492">
              <w:t>9 970</w:t>
            </w:r>
          </w:p>
        </w:tc>
        <w:tc>
          <w:tcPr>
            <w:tcW w:w="1134" w:type="dxa"/>
            <w:vAlign w:val="center"/>
          </w:tcPr>
          <w:p w:rsidR="00547E7E" w:rsidRPr="00075492" w:rsidRDefault="00547E7E">
            <w:pPr>
              <w:pStyle w:val="Tabell"/>
              <w:jc w:val="right"/>
              <w:rPr>
                <w:b/>
              </w:rPr>
            </w:pPr>
            <w:r w:rsidRPr="00075492">
              <w:rPr>
                <w:b/>
              </w:rPr>
              <w:t>53</w:t>
            </w:r>
          </w:p>
        </w:tc>
        <w:tc>
          <w:tcPr>
            <w:tcW w:w="1134" w:type="dxa"/>
            <w:vAlign w:val="center"/>
          </w:tcPr>
          <w:p w:rsidR="00547E7E" w:rsidRPr="00075492" w:rsidRDefault="00547E7E">
            <w:pPr>
              <w:pStyle w:val="Tabell"/>
              <w:jc w:val="right"/>
            </w:pPr>
            <w:r w:rsidRPr="00075492">
              <w:t>–</w:t>
            </w:r>
          </w:p>
        </w:tc>
        <w:tc>
          <w:tcPr>
            <w:tcW w:w="1134" w:type="dxa"/>
            <w:vAlign w:val="center"/>
          </w:tcPr>
          <w:p w:rsidR="00547E7E" w:rsidRPr="00075492" w:rsidRDefault="00547E7E">
            <w:pPr>
              <w:pStyle w:val="Tabell"/>
              <w:jc w:val="right"/>
              <w:rPr>
                <w:b/>
              </w:rPr>
            </w:pPr>
            <w:r w:rsidRPr="00075492">
              <w:t>–</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1</w:t>
            </w:r>
            <w:r w:rsidRPr="00075492">
              <w:t>–</w:t>
            </w:r>
            <w:r w:rsidRPr="00075492">
              <w:rPr>
                <w:b/>
              </w:rPr>
              <w:t>9 anställda</w:t>
            </w:r>
          </w:p>
        </w:tc>
        <w:tc>
          <w:tcPr>
            <w:tcW w:w="1134" w:type="dxa"/>
            <w:vAlign w:val="center"/>
          </w:tcPr>
          <w:p w:rsidR="00547E7E" w:rsidRPr="00075492" w:rsidRDefault="00547E7E">
            <w:pPr>
              <w:pStyle w:val="Tabell"/>
              <w:jc w:val="right"/>
            </w:pPr>
            <w:r w:rsidRPr="00075492">
              <w:t>7 480</w:t>
            </w:r>
          </w:p>
        </w:tc>
        <w:tc>
          <w:tcPr>
            <w:tcW w:w="1134" w:type="dxa"/>
            <w:vAlign w:val="center"/>
          </w:tcPr>
          <w:p w:rsidR="00547E7E" w:rsidRPr="00075492" w:rsidRDefault="00547E7E">
            <w:pPr>
              <w:pStyle w:val="Tabell"/>
              <w:jc w:val="right"/>
              <w:rPr>
                <w:b/>
              </w:rPr>
            </w:pPr>
            <w:r w:rsidRPr="00075492">
              <w:rPr>
                <w:b/>
              </w:rPr>
              <w:t>39</w:t>
            </w:r>
          </w:p>
        </w:tc>
        <w:tc>
          <w:tcPr>
            <w:tcW w:w="1134" w:type="dxa"/>
            <w:vAlign w:val="center"/>
          </w:tcPr>
          <w:p w:rsidR="00547E7E" w:rsidRPr="00075492" w:rsidRDefault="00547E7E">
            <w:pPr>
              <w:pStyle w:val="Tabell"/>
              <w:jc w:val="right"/>
            </w:pPr>
            <w:r w:rsidRPr="00075492">
              <w:t>23 000</w:t>
            </w:r>
          </w:p>
        </w:tc>
        <w:tc>
          <w:tcPr>
            <w:tcW w:w="1134" w:type="dxa"/>
            <w:vAlign w:val="center"/>
          </w:tcPr>
          <w:p w:rsidR="00547E7E" w:rsidRPr="00075492" w:rsidRDefault="00547E7E">
            <w:pPr>
              <w:pStyle w:val="Tabell"/>
              <w:jc w:val="right"/>
              <w:rPr>
                <w:b/>
              </w:rPr>
            </w:pPr>
            <w:r w:rsidRPr="00075492">
              <w:rPr>
                <w:b/>
              </w:rPr>
              <w:t>38</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10</w:t>
            </w:r>
            <w:r w:rsidRPr="00075492">
              <w:t>–</w:t>
            </w:r>
            <w:r w:rsidRPr="00075492">
              <w:rPr>
                <w:b/>
              </w:rPr>
              <w:t>49 anställda</w:t>
            </w:r>
          </w:p>
        </w:tc>
        <w:tc>
          <w:tcPr>
            <w:tcW w:w="1134" w:type="dxa"/>
            <w:vAlign w:val="center"/>
          </w:tcPr>
          <w:p w:rsidR="00547E7E" w:rsidRPr="00075492" w:rsidRDefault="00547E7E">
            <w:pPr>
              <w:pStyle w:val="Tabell"/>
              <w:jc w:val="right"/>
            </w:pPr>
            <w:r w:rsidRPr="00075492">
              <w:t>1 300</w:t>
            </w:r>
          </w:p>
        </w:tc>
        <w:tc>
          <w:tcPr>
            <w:tcW w:w="1134" w:type="dxa"/>
            <w:vAlign w:val="center"/>
          </w:tcPr>
          <w:p w:rsidR="00547E7E" w:rsidRPr="00075492" w:rsidRDefault="00547E7E">
            <w:pPr>
              <w:pStyle w:val="Tabell"/>
              <w:jc w:val="right"/>
              <w:rPr>
                <w:b/>
              </w:rPr>
            </w:pPr>
            <w:r w:rsidRPr="00075492">
              <w:rPr>
                <w:b/>
              </w:rPr>
              <w:t>7</w:t>
            </w:r>
          </w:p>
        </w:tc>
        <w:tc>
          <w:tcPr>
            <w:tcW w:w="1134" w:type="dxa"/>
            <w:vAlign w:val="center"/>
          </w:tcPr>
          <w:p w:rsidR="00547E7E" w:rsidRPr="00075492" w:rsidRDefault="00547E7E">
            <w:pPr>
              <w:pStyle w:val="Tabell"/>
              <w:jc w:val="right"/>
            </w:pPr>
            <w:r w:rsidRPr="00075492">
              <w:t>23 900</w:t>
            </w:r>
          </w:p>
        </w:tc>
        <w:tc>
          <w:tcPr>
            <w:tcW w:w="1134" w:type="dxa"/>
            <w:vAlign w:val="center"/>
          </w:tcPr>
          <w:p w:rsidR="00547E7E" w:rsidRPr="00075492" w:rsidRDefault="00547E7E">
            <w:pPr>
              <w:pStyle w:val="Tabell"/>
              <w:jc w:val="right"/>
              <w:rPr>
                <w:b/>
              </w:rPr>
            </w:pPr>
            <w:r w:rsidRPr="00075492">
              <w:rPr>
                <w:b/>
              </w:rPr>
              <w:t>39</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left"/>
              <w:rPr>
                <w:b/>
              </w:rPr>
            </w:pPr>
            <w:r w:rsidRPr="00075492">
              <w:rPr>
                <w:b/>
              </w:rPr>
              <w:t>50</w:t>
            </w:r>
            <w:r w:rsidRPr="00075492">
              <w:t>–</w:t>
            </w:r>
            <w:r w:rsidRPr="00075492">
              <w:rPr>
                <w:b/>
              </w:rPr>
              <w:t>anställda</w:t>
            </w:r>
          </w:p>
        </w:tc>
        <w:tc>
          <w:tcPr>
            <w:tcW w:w="1134" w:type="dxa"/>
            <w:vAlign w:val="center"/>
          </w:tcPr>
          <w:p w:rsidR="00547E7E" w:rsidRPr="00075492" w:rsidRDefault="00547E7E">
            <w:pPr>
              <w:pStyle w:val="Tabell"/>
              <w:jc w:val="right"/>
            </w:pPr>
            <w:r w:rsidRPr="00075492">
              <w:t>160</w:t>
            </w:r>
          </w:p>
        </w:tc>
        <w:tc>
          <w:tcPr>
            <w:tcW w:w="1134" w:type="dxa"/>
            <w:vAlign w:val="center"/>
          </w:tcPr>
          <w:p w:rsidR="00547E7E" w:rsidRPr="00075492" w:rsidRDefault="00547E7E">
            <w:pPr>
              <w:pStyle w:val="Tabell"/>
              <w:jc w:val="right"/>
              <w:rPr>
                <w:b/>
              </w:rPr>
            </w:pPr>
            <w:r w:rsidRPr="00075492">
              <w:rPr>
                <w:b/>
              </w:rPr>
              <w:t>1</w:t>
            </w:r>
          </w:p>
        </w:tc>
        <w:tc>
          <w:tcPr>
            <w:tcW w:w="1134" w:type="dxa"/>
            <w:vAlign w:val="center"/>
          </w:tcPr>
          <w:p w:rsidR="00547E7E" w:rsidRPr="00075492" w:rsidRDefault="00547E7E">
            <w:pPr>
              <w:pStyle w:val="Tabell"/>
              <w:jc w:val="right"/>
            </w:pPr>
            <w:r w:rsidRPr="00075492">
              <w:t>13 700</w:t>
            </w:r>
          </w:p>
        </w:tc>
        <w:tc>
          <w:tcPr>
            <w:tcW w:w="1134" w:type="dxa"/>
            <w:vAlign w:val="center"/>
          </w:tcPr>
          <w:p w:rsidR="00547E7E" w:rsidRPr="00075492" w:rsidRDefault="00547E7E">
            <w:pPr>
              <w:pStyle w:val="Tabell"/>
              <w:jc w:val="right"/>
              <w:rPr>
                <w:b/>
              </w:rPr>
            </w:pPr>
            <w:r w:rsidRPr="00075492">
              <w:rPr>
                <w:b/>
              </w:rPr>
              <w:t>23</w:t>
            </w:r>
          </w:p>
        </w:tc>
      </w:tr>
      <w:tr w:rsidR="00000000" w:rsidRPr="00075492">
        <w:tblPrEx>
          <w:tblCellMar>
            <w:top w:w="0" w:type="dxa"/>
            <w:bottom w:w="0" w:type="dxa"/>
          </w:tblCellMar>
        </w:tblPrEx>
        <w:trPr>
          <w:trHeight w:val="240"/>
          <w:jc w:val="center"/>
        </w:trPr>
        <w:tc>
          <w:tcPr>
            <w:tcW w:w="1588" w:type="dxa"/>
            <w:vAlign w:val="center"/>
          </w:tcPr>
          <w:p w:rsidR="00547E7E" w:rsidRPr="00075492" w:rsidRDefault="00547E7E">
            <w:pPr>
              <w:pStyle w:val="Tabell"/>
              <w:jc w:val="right"/>
              <w:rPr>
                <w:b/>
              </w:rPr>
            </w:pPr>
            <w:r w:rsidRPr="00075492">
              <w:rPr>
                <w:b/>
              </w:rPr>
              <w:t>Totalt</w:t>
            </w:r>
          </w:p>
        </w:tc>
        <w:tc>
          <w:tcPr>
            <w:tcW w:w="1134" w:type="dxa"/>
            <w:vAlign w:val="center"/>
          </w:tcPr>
          <w:p w:rsidR="00547E7E" w:rsidRPr="00075492" w:rsidRDefault="00547E7E">
            <w:pPr>
              <w:pStyle w:val="Tabell"/>
              <w:jc w:val="right"/>
            </w:pPr>
            <w:r w:rsidRPr="00075492">
              <w:t>18 910</w:t>
            </w:r>
          </w:p>
        </w:tc>
        <w:tc>
          <w:tcPr>
            <w:tcW w:w="1134" w:type="dxa"/>
            <w:vAlign w:val="center"/>
          </w:tcPr>
          <w:p w:rsidR="00547E7E" w:rsidRPr="00075492" w:rsidRDefault="00547E7E">
            <w:pPr>
              <w:pStyle w:val="Tabell"/>
              <w:jc w:val="right"/>
              <w:rPr>
                <w:b/>
              </w:rPr>
            </w:pPr>
            <w:r w:rsidRPr="00075492">
              <w:rPr>
                <w:b/>
              </w:rPr>
              <w:t>100</w:t>
            </w:r>
          </w:p>
        </w:tc>
        <w:tc>
          <w:tcPr>
            <w:tcW w:w="1134" w:type="dxa"/>
            <w:vAlign w:val="center"/>
          </w:tcPr>
          <w:p w:rsidR="00547E7E" w:rsidRPr="00075492" w:rsidRDefault="00547E7E">
            <w:pPr>
              <w:pStyle w:val="Tabell"/>
              <w:jc w:val="right"/>
            </w:pPr>
            <w:r w:rsidRPr="00075492">
              <w:t>60 600</w:t>
            </w:r>
          </w:p>
        </w:tc>
        <w:tc>
          <w:tcPr>
            <w:tcW w:w="1134" w:type="dxa"/>
            <w:vAlign w:val="center"/>
          </w:tcPr>
          <w:p w:rsidR="00547E7E" w:rsidRPr="00075492" w:rsidRDefault="00547E7E">
            <w:pPr>
              <w:pStyle w:val="Tabell"/>
              <w:jc w:val="right"/>
              <w:rPr>
                <w:b/>
              </w:rPr>
            </w:pPr>
            <w:r w:rsidRPr="00075492">
              <w:rPr>
                <w:b/>
              </w:rPr>
              <w:t>100</w:t>
            </w:r>
          </w:p>
        </w:tc>
      </w:tr>
    </w:tbl>
    <w:p w:rsidR="00547E7E" w:rsidRPr="00075492" w:rsidRDefault="00547E7E">
      <w:pPr>
        <w:pStyle w:val="Tabell"/>
      </w:pPr>
    </w:p>
    <w:p w:rsidR="00547E7E" w:rsidRPr="00075492" w:rsidRDefault="00547E7E">
      <w:pPr>
        <w:pStyle w:val="Tabell"/>
      </w:pPr>
      <w:r w:rsidRPr="00075492">
        <w:t xml:space="preserve">Källa: SCB 2000. </w:t>
      </w:r>
      <w:r w:rsidRPr="00075492">
        <w:rPr>
          <w:i/>
        </w:rPr>
        <w:t>Basfakta 2000. Tabeller ur företagsregistret.</w:t>
      </w:r>
      <w:r w:rsidRPr="00075492">
        <w:t xml:space="preserve"> Tabell 2.</w:t>
      </w:r>
    </w:p>
    <w:p w:rsidR="00547E7E" w:rsidRPr="00075492" w:rsidRDefault="00547E7E">
      <w:r w:rsidRPr="00075492">
        <w:t xml:space="preserve">Tillgänglig statistik om storhushållsbranschen är utformad på ett sätt som gör att flera arbetsställen som </w:t>
      </w:r>
      <w:r w:rsidRPr="00075492">
        <w:rPr>
          <w:i/>
        </w:rPr>
        <w:t>både</w:t>
      </w:r>
      <w:r w:rsidRPr="00075492">
        <w:t xml:space="preserve"> innefattar storkök </w:t>
      </w:r>
      <w:r w:rsidRPr="00075492">
        <w:rPr>
          <w:i/>
        </w:rPr>
        <w:t>och</w:t>
      </w:r>
      <w:r w:rsidRPr="00075492">
        <w:t xml:space="preserve"> annan verksamhet inte kan inkluderas i tabellen ovan.</w:t>
      </w:r>
      <w:r w:rsidRPr="00075492">
        <w:rPr>
          <w:rStyle w:val="Fotnotsreferens"/>
        </w:rPr>
        <w:footnoteReference w:id="110"/>
      </w:r>
      <w:r w:rsidRPr="00075492">
        <w:t xml:space="preserve"> Det egentliga antalet sysselsatta är i ver</w:t>
      </w:r>
      <w:r w:rsidRPr="00075492">
        <w:t>k</w:t>
      </w:r>
      <w:r w:rsidRPr="00075492">
        <w:t xml:space="preserve">ligheten närmare 127 000 och antalet arbetsställen 32 000. Likväl ger tabell 6 en bra uppskattning av hur fördelningen ser ut mellan arbetsplatser med få eller många anställda. </w:t>
      </w:r>
    </w:p>
    <w:p w:rsidR="00547E7E" w:rsidRPr="00075492" w:rsidRDefault="00547E7E">
      <w:pPr>
        <w:pStyle w:val="Normaltindrag"/>
      </w:pPr>
      <w:r w:rsidRPr="00075492">
        <w:t xml:space="preserve">Enligt tabell 5 drivs omkring 50 % av arbetsplatserna av egna företagare utan några anställda. Omkring 40 % av arbetsplatserna har 1–9 anställda. Inom storhushållsbranschen har således ca 90 % av arbetsställen upp till nio anställda. </w:t>
      </w:r>
    </w:p>
    <w:p w:rsidR="00547E7E" w:rsidRPr="00075492" w:rsidRDefault="00547E7E">
      <w:pPr>
        <w:pStyle w:val="Normaltindrag"/>
      </w:pPr>
      <w:r w:rsidRPr="00075492">
        <w:t>Mindre än 10 % av arbetsställena har tio eller fler anställda men svarar för drygt 60 % av det totala antalet anställda inom bra</w:t>
      </w:r>
      <w:r w:rsidRPr="00075492">
        <w:t>n</w:t>
      </w:r>
      <w:r w:rsidRPr="00075492">
        <w:t xml:space="preserve">schen. </w:t>
      </w:r>
    </w:p>
    <w:p w:rsidR="00547E7E" w:rsidRPr="00075492" w:rsidRDefault="00547E7E">
      <w:pPr>
        <w:pStyle w:val="Normaltindrag"/>
      </w:pPr>
    </w:p>
    <w:p w:rsidR="00547E7E" w:rsidRPr="00075492" w:rsidRDefault="00547E7E">
      <w:pPr>
        <w:pStyle w:val="Normaltindrag"/>
        <w:sectPr w:rsidR="00000000" w:rsidRPr="00075492">
          <w:headerReference w:type="default" r:id="rId15"/>
          <w:footerReference w:type="default" r:id="rId16"/>
          <w:pgSz w:w="11906" w:h="16838" w:code="9"/>
          <w:pgMar w:top="567" w:right="4876" w:bottom="4508" w:left="1134" w:header="227" w:footer="227" w:gutter="0"/>
          <w:cols w:space="720"/>
        </w:sectPr>
      </w:pPr>
    </w:p>
    <w:p w:rsidR="00547E7E" w:rsidRPr="00075492" w:rsidRDefault="00547E7E">
      <w:pPr>
        <w:pStyle w:val="Rubrik1"/>
        <w:numPr>
          <w:ilvl w:val="0"/>
          <w:numId w:val="0"/>
        </w:numPr>
      </w:pPr>
      <w:bookmarkStart w:id="879" w:name="_Toc6634353"/>
      <w:bookmarkStart w:id="880" w:name="_Toc6634672"/>
      <w:bookmarkStart w:id="881" w:name="_Toc6637254"/>
      <w:r w:rsidRPr="00075492">
        <w:t>Sammanfattning av remissyttranden</w:t>
      </w:r>
      <w:bookmarkEnd w:id="881"/>
    </w:p>
    <w:p w:rsidR="00547E7E" w:rsidRPr="00075492" w:rsidRDefault="00547E7E">
      <w:r w:rsidRPr="00075492">
        <w:t>Riksdagens revisorers rapport Hur styr staten livsmedelstillsynen? (rapport 2001/02:7) har remissbehandlats. 23 myndigheter, kommuner och organis</w:t>
      </w:r>
      <w:r w:rsidRPr="00075492">
        <w:t>a</w:t>
      </w:r>
      <w:r w:rsidRPr="00075492">
        <w:t>tioner gavs tillfälle att yttra sig. Följande 20 remissinstanser har sv</w:t>
      </w:r>
      <w:r w:rsidRPr="00075492">
        <w:t>a</w:t>
      </w:r>
      <w:r w:rsidRPr="00075492">
        <w:t>rat:</w:t>
      </w:r>
    </w:p>
    <w:p w:rsidR="00547E7E" w:rsidRPr="00075492" w:rsidRDefault="00547E7E">
      <w:pPr>
        <w:pStyle w:val="Normaltindrag"/>
      </w:pPr>
    </w:p>
    <w:p w:rsidR="00547E7E" w:rsidRPr="00075492" w:rsidRDefault="00547E7E">
      <w:pPr>
        <w:pStyle w:val="Normaltindrag"/>
      </w:pPr>
      <w:r w:rsidRPr="00075492">
        <w:t>Justitieombudsmannen, JO</w:t>
      </w:r>
    </w:p>
    <w:p w:rsidR="00547E7E" w:rsidRPr="00075492" w:rsidRDefault="00547E7E">
      <w:pPr>
        <w:pStyle w:val="Normaltindrag"/>
      </w:pPr>
      <w:r w:rsidRPr="00075492">
        <w:t>Statskontoret</w:t>
      </w:r>
    </w:p>
    <w:p w:rsidR="00547E7E" w:rsidRPr="00075492" w:rsidRDefault="00547E7E">
      <w:pPr>
        <w:pStyle w:val="Normaltindrag"/>
      </w:pPr>
      <w:r w:rsidRPr="00075492">
        <w:t>Ekonomistyrningsverket, ESV</w:t>
      </w:r>
    </w:p>
    <w:p w:rsidR="00547E7E" w:rsidRPr="00075492" w:rsidRDefault="00547E7E">
      <w:pPr>
        <w:pStyle w:val="Normaltindrag"/>
      </w:pPr>
      <w:r w:rsidRPr="00075492">
        <w:t>Länsstyrelsen i Östergötlands län</w:t>
      </w:r>
    </w:p>
    <w:p w:rsidR="00547E7E" w:rsidRPr="00075492" w:rsidRDefault="00547E7E">
      <w:pPr>
        <w:pStyle w:val="Normaltindrag"/>
      </w:pPr>
      <w:r w:rsidRPr="00075492">
        <w:t>Länsstyrelsen i Norrbottens län</w:t>
      </w:r>
    </w:p>
    <w:p w:rsidR="00547E7E" w:rsidRPr="00075492" w:rsidRDefault="00547E7E">
      <w:pPr>
        <w:pStyle w:val="Normaltindrag"/>
      </w:pPr>
      <w:r w:rsidRPr="00075492">
        <w:t>Livsmedelsverket, SLV</w:t>
      </w:r>
    </w:p>
    <w:p w:rsidR="00547E7E" w:rsidRPr="00075492" w:rsidRDefault="00547E7E">
      <w:pPr>
        <w:pStyle w:val="Normaltindrag"/>
      </w:pPr>
      <w:r w:rsidRPr="00075492">
        <w:t xml:space="preserve">Plan- och miljönämnden i Bodens kommun </w:t>
      </w:r>
    </w:p>
    <w:p w:rsidR="00547E7E" w:rsidRPr="00075492" w:rsidRDefault="00547E7E">
      <w:pPr>
        <w:pStyle w:val="Normaltindrag"/>
      </w:pPr>
      <w:r w:rsidRPr="00075492">
        <w:t>Miljönämnden i Borlänge kommun</w:t>
      </w:r>
    </w:p>
    <w:p w:rsidR="00547E7E" w:rsidRPr="00075492" w:rsidRDefault="00547E7E">
      <w:pPr>
        <w:pStyle w:val="Normaltindrag"/>
      </w:pPr>
      <w:r w:rsidRPr="00075492">
        <w:t>Miljönämnden i Göteborgs kommun</w:t>
      </w:r>
    </w:p>
    <w:p w:rsidR="00547E7E" w:rsidRPr="00075492" w:rsidRDefault="00547E7E">
      <w:pPr>
        <w:pStyle w:val="Normaltindrag"/>
      </w:pPr>
      <w:r w:rsidRPr="00075492">
        <w:t>Miljönämnden i Helsingborgs stad</w:t>
      </w:r>
    </w:p>
    <w:p w:rsidR="00547E7E" w:rsidRPr="00075492" w:rsidRDefault="00547E7E">
      <w:pPr>
        <w:pStyle w:val="Normaltindrag"/>
      </w:pPr>
      <w:r w:rsidRPr="00075492">
        <w:t>Miljö- och hälsoskyddsförvaltningen i Kristinehamns kommun</w:t>
      </w:r>
    </w:p>
    <w:p w:rsidR="00547E7E" w:rsidRPr="00075492" w:rsidRDefault="00547E7E">
      <w:pPr>
        <w:pStyle w:val="Normaltindrag"/>
      </w:pPr>
      <w:r w:rsidRPr="00075492">
        <w:t>Miljö- och hälsoskyddsnämnden i Lidköpings kommun</w:t>
      </w:r>
    </w:p>
    <w:p w:rsidR="00547E7E" w:rsidRPr="00075492" w:rsidRDefault="00547E7E">
      <w:pPr>
        <w:pStyle w:val="Normaltindrag"/>
      </w:pPr>
      <w:r w:rsidRPr="00075492">
        <w:t>Miljönämnden i Malmö stad</w:t>
      </w:r>
    </w:p>
    <w:p w:rsidR="00547E7E" w:rsidRPr="00075492" w:rsidRDefault="00547E7E">
      <w:pPr>
        <w:pStyle w:val="Normaltindrag"/>
      </w:pPr>
      <w:r w:rsidRPr="00075492">
        <w:t>Plan- och miljönämnden i Pajala kommun</w:t>
      </w:r>
    </w:p>
    <w:p w:rsidR="00547E7E" w:rsidRPr="00075492" w:rsidRDefault="00547E7E">
      <w:pPr>
        <w:pStyle w:val="Normaltindrag"/>
      </w:pPr>
      <w:r w:rsidRPr="00075492">
        <w:t>Miljö- och hälsoskyddsnämnden i Umeå kommun</w:t>
      </w:r>
    </w:p>
    <w:p w:rsidR="00547E7E" w:rsidRPr="00075492" w:rsidRDefault="00547E7E">
      <w:pPr>
        <w:pStyle w:val="Normaltindrag"/>
      </w:pPr>
      <w:r w:rsidRPr="00075492">
        <w:t>Livsmedelsföretagen (Livsmedelsindustrin)</w:t>
      </w:r>
    </w:p>
    <w:p w:rsidR="00547E7E" w:rsidRPr="00075492" w:rsidRDefault="00547E7E">
      <w:pPr>
        <w:pStyle w:val="Normaltindrag"/>
      </w:pPr>
      <w:r w:rsidRPr="00075492">
        <w:t>Svensk Dagligvaruhandel</w:t>
      </w:r>
    </w:p>
    <w:p w:rsidR="00547E7E" w:rsidRPr="00075492" w:rsidRDefault="00547E7E">
      <w:pPr>
        <w:pStyle w:val="Normaltindrag"/>
      </w:pPr>
      <w:r w:rsidRPr="00075492">
        <w:t>Sveriges hotell- och  restaurangföretagare, SHR</w:t>
      </w:r>
    </w:p>
    <w:p w:rsidR="00547E7E" w:rsidRPr="00075492" w:rsidRDefault="00547E7E">
      <w:pPr>
        <w:pStyle w:val="Normaltindrag"/>
      </w:pPr>
      <w:r w:rsidRPr="00075492">
        <w:t>Svenska Kommunförbundet</w:t>
      </w:r>
    </w:p>
    <w:p w:rsidR="00547E7E" w:rsidRPr="00075492" w:rsidRDefault="00547E7E">
      <w:pPr>
        <w:pStyle w:val="Normaltindrag"/>
      </w:pPr>
      <w:r w:rsidRPr="00075492">
        <w:t>Sveriges Konsumentråd</w:t>
      </w:r>
    </w:p>
    <w:p w:rsidR="00547E7E" w:rsidRPr="00075492" w:rsidRDefault="00547E7E">
      <w:pPr>
        <w:pStyle w:val="Normaltindrag"/>
      </w:pPr>
    </w:p>
    <w:p w:rsidR="00547E7E" w:rsidRPr="00075492" w:rsidRDefault="00547E7E">
      <w:r w:rsidRPr="00075492">
        <w:t>Därutöver har Länsstyrelsen i Dalarnas län, Länsstyrelsen i Gävleborgs län, Svenska Celiakiförbundet, Naturvetareförbundet och Lillemor Karlsson yttrat sig över revisorernas rapport.</w:t>
      </w:r>
    </w:p>
    <w:p w:rsidR="00547E7E" w:rsidRPr="00075492" w:rsidRDefault="00547E7E">
      <w:r w:rsidRPr="00075492">
        <w:t>De remissinstanser som gavs tillfälle att yttra sig över rapporten men avstod var Jordbruksdepartementet, Sveriges Konsumenter i Samverkan och Liv</w:t>
      </w:r>
      <w:r w:rsidRPr="00075492">
        <w:t>s</w:t>
      </w:r>
      <w:r w:rsidRPr="00075492">
        <w:t>medelsa</w:t>
      </w:r>
      <w:r w:rsidRPr="00075492">
        <w:t>r</w:t>
      </w:r>
      <w:r w:rsidRPr="00075492">
        <w:t>betareförbundet.</w:t>
      </w:r>
    </w:p>
    <w:p w:rsidR="00547E7E" w:rsidRPr="00075492" w:rsidRDefault="00547E7E">
      <w:pPr>
        <w:pStyle w:val="R2"/>
      </w:pPr>
      <w:r w:rsidRPr="00075492">
        <w:t>Sammanfattande bedömning</w:t>
      </w:r>
    </w:p>
    <w:p w:rsidR="00547E7E" w:rsidRPr="00075492" w:rsidRDefault="00547E7E">
      <w:r w:rsidRPr="00075492">
        <w:t>Remissinstanserna tillstyrker i allt väsentligt revisorernas förslag. Det finns dock delade meningar om revisorernas förslag om avgiftssystemet, nuvara</w:t>
      </w:r>
      <w:r w:rsidRPr="00075492">
        <w:t>n</w:t>
      </w:r>
      <w:r w:rsidRPr="00075492">
        <w:t>de ansvarsfördelning mellan stat och kommun samt Livsmedelsverkets mö</w:t>
      </w:r>
      <w:r w:rsidRPr="00075492">
        <w:t>j</w:t>
      </w:r>
      <w:r w:rsidRPr="00075492">
        <w:t>ligheter att påverka och följa upp den kommunala ver</w:t>
      </w:r>
      <w:r w:rsidRPr="00075492">
        <w:t>k</w:t>
      </w:r>
      <w:r w:rsidRPr="00075492">
        <w:t xml:space="preserve">samheten. </w:t>
      </w:r>
    </w:p>
    <w:p w:rsidR="00547E7E" w:rsidRPr="00075492" w:rsidRDefault="00547E7E">
      <w:pPr>
        <w:pStyle w:val="Normaltindrag"/>
      </w:pPr>
      <w:r w:rsidRPr="00075492">
        <w:t>Remissinstanserna anser, i likhet med revisorerna, att finansierings- och avgiftssystemet behöver reformeras. Statskontoret, Ekonomistyrningsverket, länsstyrelserna i Dalarnas och Gävleborgs län, samtliga kommuner och Svenska Kommunförbundet tillstyrker revisorernas förslag. Livsmedelsve</w:t>
      </w:r>
      <w:r w:rsidRPr="00075492">
        <w:t>r</w:t>
      </w:r>
      <w:r w:rsidRPr="00075492">
        <w:t>ket, branschorganisationer samt länsstyrelserna i Östergötlands och Nor</w:t>
      </w:r>
      <w:r w:rsidRPr="00075492">
        <w:t>r</w:t>
      </w:r>
      <w:r w:rsidRPr="00075492">
        <w:t>bottens län anser, till skillnad från revisorerna, att verksamheten helt eller huvudsakl</w:t>
      </w:r>
      <w:r w:rsidRPr="00075492">
        <w:t>i</w:t>
      </w:r>
      <w:r w:rsidRPr="00075492">
        <w:t>gen bör finansieras över anslag.</w:t>
      </w:r>
    </w:p>
    <w:p w:rsidR="00547E7E" w:rsidRPr="00075492" w:rsidRDefault="00547E7E">
      <w:pPr>
        <w:pStyle w:val="Normaltindrag"/>
      </w:pPr>
      <w:r w:rsidRPr="00075492">
        <w:t>Vad gäller ansvarsfördelningen anser samtliga kommuner, Svenska Ko</w:t>
      </w:r>
      <w:r w:rsidRPr="00075492">
        <w:t>m</w:t>
      </w:r>
      <w:r w:rsidRPr="00075492">
        <w:t>munförbundet, Statskontoret, länsstyrelserna i Dalarnas och Gävleborgs län, i likhet med revisorerna, att nuvarande ansvarsfördelning bör bestå. Statsko</w:t>
      </w:r>
      <w:r w:rsidRPr="00075492">
        <w:t>n</w:t>
      </w:r>
      <w:r w:rsidRPr="00075492">
        <w:t>toret förordar dock en utökad decentralisering till kommunerna, medan nämnda länsstyrelser anser att tillsynsansvar för anläggningar bör överföras från Livsmedelsverket till länsst</w:t>
      </w:r>
      <w:r w:rsidRPr="00075492">
        <w:t>y</w:t>
      </w:r>
      <w:r w:rsidRPr="00075492">
        <w:t>relserna.</w:t>
      </w:r>
    </w:p>
    <w:p w:rsidR="00547E7E" w:rsidRPr="00075492" w:rsidRDefault="00547E7E">
      <w:pPr>
        <w:pStyle w:val="Normaltindrag"/>
      </w:pPr>
      <w:r w:rsidRPr="00075492">
        <w:t>Livsmedelsverket, bransch- och konsumentorganisationer, länsstyrelserna i Östergötlands och Norrbottens län anser att livsmedelstillsynen bör förstatl</w:t>
      </w:r>
      <w:r w:rsidRPr="00075492">
        <w:t>i</w:t>
      </w:r>
      <w:r w:rsidRPr="00075492">
        <w:t>gas. Meningarna är dock delade om vem som ska svara för tillsynen. Liv</w:t>
      </w:r>
      <w:r w:rsidRPr="00075492">
        <w:t>s</w:t>
      </w:r>
      <w:r w:rsidRPr="00075492">
        <w:t>medelsverket, konsumentorganisationerna och ett par branschorganisationer anser att Livsmedelsverket bör ansvara för all livsmedelstillsyn i Sverige. Länsstyrelserna i Östergötlands och Norrbottens län anser att länsstyrelserna bör överta tillsynsansvaret från kommune</w:t>
      </w:r>
      <w:r w:rsidRPr="00075492">
        <w:t>r</w:t>
      </w:r>
      <w:r w:rsidRPr="00075492">
        <w:t>na.</w:t>
      </w:r>
    </w:p>
    <w:p w:rsidR="00547E7E" w:rsidRPr="00075492" w:rsidRDefault="00547E7E">
      <w:pPr>
        <w:pStyle w:val="Normaltindrag"/>
      </w:pPr>
      <w:r w:rsidRPr="00075492">
        <w:t>Remissinstanserna tillstyrker revisorernas förslag som syftar till att Liv</w:t>
      </w:r>
      <w:r w:rsidRPr="00075492">
        <w:t>s</w:t>
      </w:r>
      <w:r w:rsidRPr="00075492">
        <w:t>medelsverkets styrning och uppföljning av den kommunala tillsynen ska förbättras. Livsmedelsverket och Livsmedelsföretagen (livsmedelsindustrin) ifrågasätter dock om Livsmedelsverket kan styra den kommunala livsm</w:t>
      </w:r>
      <w:r w:rsidRPr="00075492">
        <w:t>e</w:t>
      </w:r>
      <w:r w:rsidRPr="00075492">
        <w:t>delstillsynen. Både Livsmedelsverket och Livsmedelsföretagen anser att sanktionsmöjligheter saknas eller att de befogenheter som verket har, t.ex. att överta tillsynsansvaret från kommunerna är ”en ganska kraftlös san</w:t>
      </w:r>
      <w:r w:rsidRPr="00075492">
        <w:t>k</w:t>
      </w:r>
      <w:r w:rsidRPr="00075492">
        <w:t>tion.”</w:t>
      </w:r>
    </w:p>
    <w:p w:rsidR="00547E7E" w:rsidRPr="00075492" w:rsidRDefault="00547E7E">
      <w:pPr>
        <w:pStyle w:val="R2"/>
      </w:pPr>
      <w:r w:rsidRPr="00075492">
        <w:t>Remissinstansernas allmänna synpunkter</w:t>
      </w:r>
    </w:p>
    <w:p w:rsidR="00547E7E" w:rsidRPr="00075492" w:rsidRDefault="00547E7E">
      <w:r w:rsidRPr="00075492">
        <w:t xml:space="preserve">Remissinstanserna är överlag positiva till rapporten och instämmer i den problembeskrivning som har presenterats i rapporten. </w:t>
      </w:r>
    </w:p>
    <w:p w:rsidR="00547E7E" w:rsidRPr="00075492" w:rsidRDefault="00547E7E">
      <w:r w:rsidRPr="00075492">
        <w:t>Statskontoret, länsstyrelserna i Dalarnas och Gävleborgs län samt Plan- och miljönämnden i Bodens kommun, Miljönämnden i Borlänge kommun, Mi</w:t>
      </w:r>
      <w:r w:rsidRPr="00075492">
        <w:t>l</w:t>
      </w:r>
      <w:r w:rsidRPr="00075492">
        <w:t>jönämnden i Göteborgs kommun, Miljönämnden i Helsingborgs stad, Milj</w:t>
      </w:r>
      <w:r w:rsidRPr="00075492">
        <w:t>ö</w:t>
      </w:r>
      <w:r w:rsidRPr="00075492">
        <w:t>nämnden i Lidköping, Plan- och miljönämnden i Pajala, Miljö- och häls</w:t>
      </w:r>
      <w:r w:rsidRPr="00075492">
        <w:t>o</w:t>
      </w:r>
      <w:r w:rsidRPr="00075492">
        <w:t>skyddsnämnden i Umeå, Svenska Kommunförbundet samt Svensk Dagligv</w:t>
      </w:r>
      <w:r w:rsidRPr="00075492">
        <w:t>a</w:t>
      </w:r>
      <w:r w:rsidRPr="00075492">
        <w:t>ruhandel delar i allt väsentligt revisorernas slutsa</w:t>
      </w:r>
      <w:r w:rsidRPr="00075492">
        <w:t>t</w:t>
      </w:r>
      <w:r w:rsidRPr="00075492">
        <w:t>ser och förslag.</w:t>
      </w:r>
    </w:p>
    <w:p w:rsidR="00547E7E" w:rsidRPr="00075492" w:rsidRDefault="00547E7E">
      <w:r w:rsidRPr="00075492">
        <w:rPr>
          <w:i/>
        </w:rPr>
        <w:t xml:space="preserve">Justitieombudsmannen </w:t>
      </w:r>
      <w:r w:rsidRPr="00075492">
        <w:t>har utifrån de synpunkter som JO har att beakta inget att erinra mot revis</w:t>
      </w:r>
      <w:r w:rsidRPr="00075492">
        <w:t>o</w:t>
      </w:r>
      <w:r w:rsidRPr="00075492">
        <w:t>rernas förslag.</w:t>
      </w:r>
    </w:p>
    <w:p w:rsidR="00547E7E" w:rsidRPr="00075492" w:rsidRDefault="00547E7E">
      <w:pPr>
        <w:rPr>
          <w:i/>
        </w:rPr>
      </w:pPr>
      <w:r w:rsidRPr="00075492">
        <w:rPr>
          <w:i/>
        </w:rPr>
        <w:t xml:space="preserve">Ekonomistyrningsverket </w:t>
      </w:r>
      <w:r w:rsidRPr="00075492">
        <w:t xml:space="preserve">anser att flertalet av de slutsatser och överväganden som revisorerna lyfter fram är relevanta och motiverade. Verket betonar särskilt betydelsen av att åstadkomma förenklingar när det gäller finansiering och en ökad genomskinlighet i regelverket. </w:t>
      </w:r>
    </w:p>
    <w:p w:rsidR="00547E7E" w:rsidRPr="00075492" w:rsidRDefault="00547E7E">
      <w:r w:rsidRPr="00075492">
        <w:rPr>
          <w:i/>
        </w:rPr>
        <w:t>Länsstyrelsen i Östergötland</w:t>
      </w:r>
      <w:r w:rsidRPr="00075492">
        <w:t xml:space="preserve"> delar många av revisorernas synpunkter om behovet av förbättringar inom livsmedelstillsynen. </w:t>
      </w:r>
    </w:p>
    <w:p w:rsidR="00547E7E" w:rsidRPr="00075492" w:rsidRDefault="00547E7E">
      <w:r w:rsidRPr="00075492">
        <w:rPr>
          <w:i/>
        </w:rPr>
        <w:t>Länsstyrelsen i Norrbotten</w:t>
      </w:r>
      <w:r w:rsidRPr="00075492">
        <w:t xml:space="preserve"> anser att livsmedelstillsynen ska förstatligas. Länsstyrelsen anser dock att samtliga förslag bör genomföras om den nuv</w:t>
      </w:r>
      <w:r w:rsidRPr="00075492">
        <w:t>a</w:t>
      </w:r>
      <w:r w:rsidRPr="00075492">
        <w:t>rande organis</w:t>
      </w:r>
      <w:r w:rsidRPr="00075492">
        <w:t>a</w:t>
      </w:r>
      <w:r w:rsidRPr="00075492">
        <w:t xml:space="preserve">tionen bibehålls. </w:t>
      </w:r>
    </w:p>
    <w:p w:rsidR="00547E7E" w:rsidRPr="00075492" w:rsidRDefault="00547E7E">
      <w:pPr>
        <w:rPr>
          <w:i/>
        </w:rPr>
      </w:pPr>
      <w:r w:rsidRPr="00075492">
        <w:rPr>
          <w:i/>
        </w:rPr>
        <w:t xml:space="preserve">Livsmedelsverket </w:t>
      </w:r>
      <w:r w:rsidRPr="00075492">
        <w:t>anser att revisorernas förslag inte är tillräckliga för att nå statsmakternas mål om en effektiv och likvärdig livsmedelstillsyn i hela landet. ”Grundläggande problem som det stora antalet mycket små tillsyn</w:t>
      </w:r>
      <w:r w:rsidRPr="00075492">
        <w:t>s</w:t>
      </w:r>
      <w:r w:rsidRPr="00075492">
        <w:t>myndigheter, beroendeförhållande i myndighetsutövningen och bristande möjligheter för Livsmedelsverket att styra tillsynen kommer ändå att kva</w:t>
      </w:r>
      <w:r w:rsidRPr="00075492">
        <w:t>r</w:t>
      </w:r>
      <w:r w:rsidRPr="00075492">
        <w:t xml:space="preserve">stå.” </w:t>
      </w:r>
    </w:p>
    <w:p w:rsidR="00547E7E" w:rsidRPr="00075492" w:rsidRDefault="00547E7E">
      <w:r w:rsidRPr="00075492">
        <w:rPr>
          <w:i/>
        </w:rPr>
        <w:t xml:space="preserve">Miljö- och hälsoskyddsförvaltningen i Kristinehamns kommun </w:t>
      </w:r>
      <w:r w:rsidRPr="00075492">
        <w:t>anser att rev</w:t>
      </w:r>
      <w:r w:rsidRPr="00075492">
        <w:t>i</w:t>
      </w:r>
      <w:r w:rsidRPr="00075492">
        <w:t>sorernas förslag kan bidra till att uppnå en bättre säkerhet och kvalitet i til</w:t>
      </w:r>
      <w:r w:rsidRPr="00075492">
        <w:t>l</w:t>
      </w:r>
      <w:r w:rsidRPr="00075492">
        <w:t>synen. Ett stort problem är dock kommunernas tillsynsresurser. Enligt fö</w:t>
      </w:r>
      <w:r w:rsidRPr="00075492">
        <w:t>r</w:t>
      </w:r>
      <w:r w:rsidRPr="00075492">
        <w:t>valtningen är det inte ovanligt att kommunala ekonomiska nedskärningar efter hand försvårar möjligheterna att genomföra en fullgod tillsyn.</w:t>
      </w:r>
    </w:p>
    <w:p w:rsidR="00547E7E" w:rsidRPr="00075492" w:rsidRDefault="00547E7E">
      <w:r w:rsidRPr="00075492">
        <w:rPr>
          <w:i/>
        </w:rPr>
        <w:t xml:space="preserve">Livsmedelsföretagen </w:t>
      </w:r>
      <w:r w:rsidRPr="00075492">
        <w:t>(livsmedelsindustrin) anser att livsmedelstillsynen ska anslagsfinansieras och förstatligas, eftersom Livsmedelsverket inte har til</w:t>
      </w:r>
      <w:r w:rsidRPr="00075492">
        <w:t>l</w:t>
      </w:r>
      <w:r w:rsidRPr="00075492">
        <w:t>räckliga befogenheter att styra kommunerna så att en likvärdig tillsyn up</w:t>
      </w:r>
      <w:r w:rsidRPr="00075492">
        <w:t>p</w:t>
      </w:r>
      <w:r w:rsidRPr="00075492">
        <w:t>nås. Företagen anser att det är svårt för verket att utöka stödet till komm</w:t>
      </w:r>
      <w:r w:rsidRPr="00075492">
        <w:t>u</w:t>
      </w:r>
      <w:r w:rsidRPr="00075492">
        <w:t>nerna. ”Med kännedom om Livsmedelsverkets bristande ekonomiska resu</w:t>
      </w:r>
      <w:r w:rsidRPr="00075492">
        <w:t>r</w:t>
      </w:r>
      <w:r w:rsidRPr="00075492">
        <w:t>ser kan omfattningen av detta stöd dock knappast få större omfattning än i dag, om verket inte får ökade resurser.”</w:t>
      </w:r>
    </w:p>
    <w:p w:rsidR="00547E7E" w:rsidRPr="00075492" w:rsidRDefault="00547E7E">
      <w:r w:rsidRPr="00075492">
        <w:rPr>
          <w:i/>
        </w:rPr>
        <w:t>Svensk Dagligvaruhandel</w:t>
      </w:r>
      <w:r w:rsidRPr="00075492">
        <w:t xml:space="preserve"> hade med hänsyn till de brister som redovisas förväntat sig mer långtgående förslag. Dessutom konstateras att livsm</w:t>
      </w:r>
      <w:r w:rsidRPr="00075492">
        <w:t>e</w:t>
      </w:r>
      <w:r w:rsidRPr="00075492">
        <w:t>delstillsynen har utretts länge nog. Enligt handeln är det dags för beslut som leder till ett långsiktigt och stabilt arbete med livsmedelstil</w:t>
      </w:r>
      <w:r w:rsidRPr="00075492">
        <w:t>l</w:t>
      </w:r>
      <w:r w:rsidRPr="00075492">
        <w:t xml:space="preserve">syn. </w:t>
      </w:r>
    </w:p>
    <w:p w:rsidR="00547E7E" w:rsidRPr="00075492" w:rsidRDefault="00547E7E">
      <w:r w:rsidRPr="00075492">
        <w:rPr>
          <w:i/>
        </w:rPr>
        <w:t xml:space="preserve">Sveriges hotell- och restaurangföretagare </w:t>
      </w:r>
      <w:r w:rsidRPr="00075492">
        <w:t>anser att de brister som finns i regelverk och tillämpning måste åtgärdas. Livsmedelsverket bör få ett tydl</w:t>
      </w:r>
      <w:r w:rsidRPr="00075492">
        <w:t>i</w:t>
      </w:r>
      <w:r w:rsidRPr="00075492">
        <w:t>gare ledningsansvar och att livsmedelstillsynen bör finansieras över stat</w:t>
      </w:r>
      <w:r w:rsidRPr="00075492">
        <w:t>s</w:t>
      </w:r>
      <w:r w:rsidRPr="00075492">
        <w:t xml:space="preserve">budgeten. </w:t>
      </w:r>
    </w:p>
    <w:p w:rsidR="00547E7E" w:rsidRPr="00075492" w:rsidRDefault="00547E7E">
      <w:r w:rsidRPr="00075492">
        <w:rPr>
          <w:i/>
        </w:rPr>
        <w:t xml:space="preserve">Sveriges Konsumentråd </w:t>
      </w:r>
      <w:r w:rsidRPr="00075492">
        <w:t>och</w:t>
      </w:r>
      <w:r w:rsidRPr="00075492">
        <w:rPr>
          <w:i/>
        </w:rPr>
        <w:t xml:space="preserve"> Svenska Celiakiförbundet </w:t>
      </w:r>
      <w:r w:rsidRPr="00075492">
        <w:t>pekar på att livsm</w:t>
      </w:r>
      <w:r w:rsidRPr="00075492">
        <w:t>e</w:t>
      </w:r>
      <w:r w:rsidRPr="00075492">
        <w:t>delstillsynen i alltför många år har varit föremål för utredningar. Enligt fö</w:t>
      </w:r>
      <w:r w:rsidRPr="00075492">
        <w:t>r</w:t>
      </w:r>
      <w:r w:rsidRPr="00075492">
        <w:t>bunden har politiker ”blockerat” möjligheterna till utveckling och förändring av livsmedelstillsynen genom att hänvisa till kommunalt självbestämmande och decentraliserad tillsyn. Riksdag och regering bör, enligt förbunden, ta ansvar för den handlingsförla</w:t>
      </w:r>
      <w:r w:rsidRPr="00075492">
        <w:t>m</w:t>
      </w:r>
      <w:r w:rsidRPr="00075492">
        <w:t xml:space="preserve">ning som detta har orsakat. </w:t>
      </w:r>
    </w:p>
    <w:p w:rsidR="00547E7E" w:rsidRPr="00075492" w:rsidRDefault="00547E7E">
      <w:r w:rsidRPr="00075492">
        <w:rPr>
          <w:i/>
        </w:rPr>
        <w:t>Svenska Kommunförbundet</w:t>
      </w:r>
      <w:r w:rsidRPr="00075492">
        <w:t xml:space="preserve"> framhåller att flertalet kommuner är mycket kritiska till att beslut om den framtida livsmedelstillsynen och dess finansi</w:t>
      </w:r>
      <w:r w:rsidRPr="00075492">
        <w:t>e</w:t>
      </w:r>
      <w:r w:rsidRPr="00075492">
        <w:t>ring har dröjt. Kommunernas arbete har också försvårats av att samverkan inte har möjliggjorts och att avgifterna inte har höjts sedan 1992.</w:t>
      </w:r>
    </w:p>
    <w:p w:rsidR="00547E7E" w:rsidRPr="00075492" w:rsidRDefault="00547E7E">
      <w:pPr>
        <w:pStyle w:val="R2"/>
      </w:pPr>
      <w:bookmarkStart w:id="882" w:name="Start"/>
      <w:bookmarkEnd w:id="882"/>
      <w:r w:rsidRPr="00075492">
        <w:t>Information om regelsystemet</w:t>
      </w:r>
    </w:p>
    <w:p w:rsidR="00547E7E" w:rsidRPr="00075492" w:rsidRDefault="00547E7E">
      <w:r w:rsidRPr="00075492">
        <w:t>Revisorerna föreslår att regeringen ger Livsmedelsverket i uppdrag att inte</w:t>
      </w:r>
      <w:r w:rsidRPr="00075492">
        <w:t>n</w:t>
      </w:r>
      <w:r w:rsidRPr="00075492">
        <w:t>sifiera verkets insatser för att minska regelmängden. Vidare anser revisorerna att regeringen och Livsmedelsverket bör vidta åtgärder för att förse tillsyn</w:t>
      </w:r>
      <w:r w:rsidRPr="00075492">
        <w:t>s</w:t>
      </w:r>
      <w:r w:rsidRPr="00075492">
        <w:t>myndigheter och företag med relevant och korrekt information, detta för att skapa bättre förutsättningar för efterlevnaden av EU:s r</w:t>
      </w:r>
      <w:r w:rsidRPr="00075492">
        <w:t>e</w:t>
      </w:r>
      <w:r w:rsidRPr="00075492">
        <w:t>gelverk.</w:t>
      </w:r>
    </w:p>
    <w:p w:rsidR="00547E7E" w:rsidRPr="00075492" w:rsidRDefault="00547E7E">
      <w:r w:rsidRPr="00075492">
        <w:t>Remissinstanserna delar i stor utsträckning revisorernas uppfattning och tillstyrker förslaget.</w:t>
      </w:r>
    </w:p>
    <w:p w:rsidR="00547E7E" w:rsidRPr="00075492" w:rsidRDefault="00547E7E">
      <w:r w:rsidRPr="00075492">
        <w:rPr>
          <w:i/>
        </w:rPr>
        <w:t>Statskontoret</w:t>
      </w:r>
      <w:r w:rsidRPr="00075492">
        <w:t xml:space="preserve"> anser att det vore lämpligt med en samlad översyn av lagstif</w:t>
      </w:r>
      <w:r w:rsidRPr="00075492">
        <w:t>t</w:t>
      </w:r>
      <w:r w:rsidRPr="00075492">
        <w:t>ning och regelverk inom området.</w:t>
      </w:r>
    </w:p>
    <w:p w:rsidR="00547E7E" w:rsidRPr="00075492" w:rsidRDefault="00547E7E">
      <w:r w:rsidRPr="00075492">
        <w:rPr>
          <w:i/>
        </w:rPr>
        <w:t xml:space="preserve">Livsmedelsverket </w:t>
      </w:r>
      <w:r w:rsidRPr="00075492">
        <w:t>framhåller att verket med hög intensitet fullföljer tidigare fastställd plan för översyn av icke EG-relaterade föreskrifter. Verket anger att det nu finns en komplett förteckning över EG-förordningar inom verkets ansvarsområde. För att underlätta tillämpningen av dessa förordningar avser verket att vid behov utarbeta vägledningar eller information om förordnin</w:t>
      </w:r>
      <w:r w:rsidRPr="00075492">
        <w:t>g</w:t>
      </w:r>
      <w:r w:rsidRPr="00075492">
        <w:t>arna.</w:t>
      </w:r>
    </w:p>
    <w:p w:rsidR="00547E7E" w:rsidRPr="00075492" w:rsidRDefault="00547E7E">
      <w:r w:rsidRPr="00075492">
        <w:t>Flertalet</w:t>
      </w:r>
      <w:r w:rsidRPr="00075492">
        <w:rPr>
          <w:i/>
        </w:rPr>
        <w:t xml:space="preserve"> kommuner, Svenska Kommunförbundet </w:t>
      </w:r>
      <w:r w:rsidRPr="00075492">
        <w:t>och</w:t>
      </w:r>
      <w:r w:rsidRPr="00075492">
        <w:rPr>
          <w:i/>
        </w:rPr>
        <w:t xml:space="preserve"> Svensk Dagligvaruha</w:t>
      </w:r>
      <w:r w:rsidRPr="00075492">
        <w:rPr>
          <w:i/>
        </w:rPr>
        <w:t>n</w:t>
      </w:r>
      <w:r w:rsidRPr="00075492">
        <w:rPr>
          <w:i/>
        </w:rPr>
        <w:t xml:space="preserve">del </w:t>
      </w:r>
      <w:r w:rsidRPr="00075492">
        <w:t>tillstyrker förslaget. Flera instanser betonar vikten av att regelverket görs mer lättillgängligt och överskådligt.</w:t>
      </w:r>
      <w:r w:rsidRPr="00075492">
        <w:rPr>
          <w:i/>
        </w:rPr>
        <w:t xml:space="preserve"> Svenska Kommunförbundet</w:t>
      </w:r>
      <w:r w:rsidRPr="00075492">
        <w:t xml:space="preserve"> anser att regelsystemet kan bli mer tillgängligt genom ett databaserat program med olika sökmöjligheter. Dessutom påpekas att kommunerna behöver snabb inform</w:t>
      </w:r>
      <w:r w:rsidRPr="00075492">
        <w:t>a</w:t>
      </w:r>
      <w:r w:rsidRPr="00075492">
        <w:t>tion om nya EU-förordningar.</w:t>
      </w:r>
    </w:p>
    <w:p w:rsidR="00547E7E" w:rsidRPr="00075492" w:rsidRDefault="00547E7E">
      <w:r w:rsidRPr="00075492">
        <w:rPr>
          <w:i/>
        </w:rPr>
        <w:t xml:space="preserve">Miljönämnden i Göteborgs kommun </w:t>
      </w:r>
      <w:r w:rsidRPr="00075492">
        <w:t>anser att det behövs mer stöd och info</w:t>
      </w:r>
      <w:r w:rsidRPr="00075492">
        <w:t>r</w:t>
      </w:r>
      <w:r w:rsidRPr="00075492">
        <w:t>mation från Livsmedelsverket när det gäller tolkning av lagstiftningen. Det är av stor vikt att regelverket är tydligt eftersom många beslut, som saluförbud och omhändertagande av varor, kan medföra betydande ekonomiska ver</w:t>
      </w:r>
      <w:r w:rsidRPr="00075492">
        <w:t>k</w:t>
      </w:r>
      <w:r w:rsidRPr="00075492">
        <w:t xml:space="preserve">ningar för företagen. Det är också väsentligt att tillsynsmyndigheten får det stöd som behövs av Livsmedelsverket. </w:t>
      </w:r>
    </w:p>
    <w:p w:rsidR="00547E7E" w:rsidRPr="00075492" w:rsidRDefault="00547E7E">
      <w:r w:rsidRPr="00075492">
        <w:rPr>
          <w:i/>
        </w:rPr>
        <w:t>Sveriges hotell- och restaurangföretagare</w:t>
      </w:r>
      <w:r w:rsidRPr="00075492">
        <w:t xml:space="preserve"> framhåller att en grundläggande förutsättning för företagens möjligheter att följa regler saknas när det inte finns någon samlad redovisning av dessa regler. </w:t>
      </w:r>
    </w:p>
    <w:p w:rsidR="00547E7E" w:rsidRPr="00075492" w:rsidRDefault="00547E7E">
      <w:r w:rsidRPr="00075492">
        <w:rPr>
          <w:i/>
        </w:rPr>
        <w:t xml:space="preserve">Livsmedelsföretagen </w:t>
      </w:r>
      <w:r w:rsidRPr="00075492">
        <w:t>anger att de under många år framfört önskemål till Livsmedelsve</w:t>
      </w:r>
      <w:r w:rsidRPr="00075492">
        <w:t>r</w:t>
      </w:r>
      <w:r w:rsidRPr="00075492">
        <w:t xml:space="preserve">ket om förbättrad information om EG-förordningarna. </w:t>
      </w:r>
    </w:p>
    <w:p w:rsidR="00547E7E" w:rsidRPr="00075492" w:rsidRDefault="00547E7E">
      <w:pPr>
        <w:pStyle w:val="R2"/>
      </w:pPr>
      <w:r w:rsidRPr="00075492">
        <w:br w:type="page"/>
        <w:t>Reformera finansierings- och avgiftssystemet</w:t>
      </w:r>
    </w:p>
    <w:p w:rsidR="00547E7E" w:rsidRPr="00075492" w:rsidRDefault="00547E7E">
      <w:r w:rsidRPr="00075492">
        <w:t>Revisorerna föreslår följande:</w:t>
      </w:r>
    </w:p>
    <w:p w:rsidR="00547E7E" w:rsidRPr="00075492" w:rsidRDefault="00547E7E">
      <w:pPr>
        <w:numPr>
          <w:ilvl w:val="0"/>
          <w:numId w:val="9"/>
        </w:numPr>
      </w:pPr>
      <w:r w:rsidRPr="00075492">
        <w:t>att regeringen genomför åtgärder så att finansierings- och avgiftssyst</w:t>
      </w:r>
      <w:r w:rsidRPr="00075492">
        <w:t>e</w:t>
      </w:r>
      <w:r w:rsidRPr="00075492">
        <w:t>met skapar incitament för såväl verksamhetsutövare att följa gällande regelverk som tillsynsmyndigheterna att kontrollera att företagen följer regelverket. Möjligheterna att förenkla nuvarande system ska särskilt behan</w:t>
      </w:r>
      <w:r w:rsidRPr="00075492">
        <w:t>d</w:t>
      </w:r>
      <w:r w:rsidRPr="00075492">
        <w:t>las.</w:t>
      </w:r>
    </w:p>
    <w:p w:rsidR="00547E7E" w:rsidRPr="00075492" w:rsidRDefault="00547E7E">
      <w:pPr>
        <w:numPr>
          <w:ilvl w:val="0"/>
          <w:numId w:val="9"/>
        </w:numPr>
      </w:pPr>
      <w:r w:rsidRPr="00075492">
        <w:t>att regeringen utarbetar ett förslag som innebär att överföringen av m</w:t>
      </w:r>
      <w:r w:rsidRPr="00075492">
        <w:t>e</w:t>
      </w:r>
      <w:r w:rsidRPr="00075492">
        <w:t>del från kommunerna till Livsmedelsverket up</w:t>
      </w:r>
      <w:r w:rsidRPr="00075492">
        <w:t>p</w:t>
      </w:r>
      <w:r w:rsidRPr="00075492">
        <w:t>hör.</w:t>
      </w:r>
    </w:p>
    <w:p w:rsidR="00547E7E" w:rsidRPr="00075492" w:rsidRDefault="00547E7E">
      <w:r w:rsidRPr="00075492">
        <w:t>Remissinstanserna delar revisorernas uppfattning om att systemet behöver reformeras. Huvuddelen av remissinstanserna tillstyrker förslaget om en reformerad avgiftsfinansiering. Livsmedelsverket, branschorganisationer samt länsstyrelserna i Östergötlands län och Norrbottens län anser däremot att livsmedelstil</w:t>
      </w:r>
      <w:r w:rsidRPr="00075492">
        <w:t>l</w:t>
      </w:r>
      <w:r w:rsidRPr="00075492">
        <w:t xml:space="preserve">synen ska finansieras över anslag. </w:t>
      </w:r>
    </w:p>
    <w:p w:rsidR="00547E7E" w:rsidRPr="00075492" w:rsidRDefault="00547E7E">
      <w:r w:rsidRPr="00075492">
        <w:t>Ekonomistyrningsverket, Statskontoret, Svenska Kommunförbundet, Bodens kommun, Borlänge kommun, Göteborgs kommun, Helsingborgs stad, Li</w:t>
      </w:r>
      <w:r w:rsidRPr="00075492">
        <w:t>d</w:t>
      </w:r>
      <w:r w:rsidRPr="00075492">
        <w:t>köpings kommun, Malmö stad, Pajala kommun och Umeå kommun tillsty</w:t>
      </w:r>
      <w:r w:rsidRPr="00075492">
        <w:t>r</w:t>
      </w:r>
      <w:r w:rsidRPr="00075492">
        <w:t>ker revisorernas förslag. Flertalet framhåller vikten av att tillsynsmyndigh</w:t>
      </w:r>
      <w:r w:rsidRPr="00075492">
        <w:t>e</w:t>
      </w:r>
      <w:r w:rsidRPr="00075492">
        <w:t>ten kan ta ut avgifter så att full kostnadstäckning uppnås. Detta skulle inn</w:t>
      </w:r>
      <w:r w:rsidRPr="00075492">
        <w:t>e</w:t>
      </w:r>
      <w:r w:rsidRPr="00075492">
        <w:t>bär att samma principer tillämpas för miljö- och livsmedelstillsyn genom att verksamhetsansvariga betalar tillsynen. Ansvariga nämnder i Bodens ko</w:t>
      </w:r>
      <w:r w:rsidRPr="00075492">
        <w:t>m</w:t>
      </w:r>
      <w:r w:rsidRPr="00075492">
        <w:t>mun, Göteborgs kommun och Lidköpings kommun menar också att komm</w:t>
      </w:r>
      <w:r w:rsidRPr="00075492">
        <w:t>u</w:t>
      </w:r>
      <w:r w:rsidRPr="00075492">
        <w:t>nerna ska kunna besluta om avgifter. Därigenom skulle samma principer för avgif</w:t>
      </w:r>
      <w:r w:rsidRPr="00075492">
        <w:t>tsfinansiering tillämpas för både livsmedelstillsyn och milj</w:t>
      </w:r>
      <w:r w:rsidRPr="00075492">
        <w:t>ö</w:t>
      </w:r>
      <w:r w:rsidRPr="00075492">
        <w:t>tillsyn.</w:t>
      </w:r>
    </w:p>
    <w:p w:rsidR="00547E7E" w:rsidRPr="00075492" w:rsidRDefault="00547E7E">
      <w:pPr>
        <w:pStyle w:val="Normaltindrag"/>
        <w:ind w:firstLine="0"/>
        <w:rPr>
          <w:i/>
        </w:rPr>
      </w:pPr>
    </w:p>
    <w:p w:rsidR="00547E7E" w:rsidRPr="00075492" w:rsidRDefault="00547E7E">
      <w:pPr>
        <w:pStyle w:val="Normaltindrag"/>
        <w:ind w:firstLine="0"/>
      </w:pPr>
      <w:r w:rsidRPr="00075492">
        <w:rPr>
          <w:i/>
        </w:rPr>
        <w:t xml:space="preserve">Statskontoret </w:t>
      </w:r>
      <w:r w:rsidRPr="00075492">
        <w:t>anser att ett system med fasta och rörliga avgifter bör överv</w:t>
      </w:r>
      <w:r w:rsidRPr="00075492">
        <w:t>ä</w:t>
      </w:r>
      <w:r w:rsidRPr="00075492">
        <w:t>gas, detta för att avgifterna ska få en bättre styreffekt. Vidare anser Stat</w:t>
      </w:r>
      <w:r w:rsidRPr="00075492">
        <w:t>s</w:t>
      </w:r>
      <w:r w:rsidRPr="00075492">
        <w:t>kontoret att avgifter för tillsyn även i fortsättningen bör fastställas av Liv</w:t>
      </w:r>
      <w:r w:rsidRPr="00075492">
        <w:t>s</w:t>
      </w:r>
      <w:r w:rsidRPr="00075492">
        <w:t xml:space="preserve">medelsverket. Även </w:t>
      </w:r>
      <w:r w:rsidRPr="00075492">
        <w:rPr>
          <w:i/>
        </w:rPr>
        <w:t xml:space="preserve">Länsstyrelsen i Gävleborgs län </w:t>
      </w:r>
      <w:r w:rsidRPr="00075492">
        <w:t xml:space="preserve">anser att avgifterna bör fastställas centralt. </w:t>
      </w:r>
    </w:p>
    <w:p w:rsidR="00547E7E" w:rsidRPr="00075492" w:rsidRDefault="00547E7E">
      <w:pPr>
        <w:pStyle w:val="Normaltindrag"/>
        <w:ind w:firstLine="0"/>
      </w:pPr>
    </w:p>
    <w:p w:rsidR="00547E7E" w:rsidRPr="00075492" w:rsidRDefault="00547E7E">
      <w:pPr>
        <w:pStyle w:val="Normaltindrag"/>
        <w:ind w:firstLine="0"/>
      </w:pPr>
      <w:r w:rsidRPr="00075492">
        <w:rPr>
          <w:i/>
        </w:rPr>
        <w:t xml:space="preserve">Ekonomistyrningsverket </w:t>
      </w:r>
      <w:r w:rsidRPr="00075492">
        <w:t xml:space="preserve">framhåller vikten av förenklingar när det gäller finansieringsfrågan. </w:t>
      </w:r>
    </w:p>
    <w:p w:rsidR="00547E7E" w:rsidRPr="00075492" w:rsidRDefault="00547E7E">
      <w:pPr>
        <w:pStyle w:val="Normaltindrag"/>
        <w:ind w:firstLine="0"/>
      </w:pPr>
    </w:p>
    <w:p w:rsidR="00547E7E" w:rsidRPr="00075492" w:rsidRDefault="00547E7E">
      <w:pPr>
        <w:pStyle w:val="Normaltindrag"/>
        <w:ind w:firstLine="0"/>
      </w:pPr>
      <w:r w:rsidRPr="00075492">
        <w:rPr>
          <w:i/>
        </w:rPr>
        <w:t>Livsmedelsverket</w:t>
      </w:r>
      <w:r w:rsidRPr="00075492">
        <w:t xml:space="preserve"> förordar en huvudsaklig anslagsfinansiering. Verket fra</w:t>
      </w:r>
      <w:r w:rsidRPr="00075492">
        <w:t>m</w:t>
      </w:r>
      <w:r w:rsidRPr="00075492">
        <w:t>håller att det är viktigt att tillsynen tillförs tillräckliga resurser för att kunna bedrivas på en betydligt högre nivå än i dag. I avvaktan på regeringens stäl</w:t>
      </w:r>
      <w:r w:rsidRPr="00075492">
        <w:t>l</w:t>
      </w:r>
      <w:r w:rsidRPr="00075492">
        <w:t xml:space="preserve">ningstagande har verket inlett en översyn av gällande avgifter. Syftet är att åstadkomma förenklingar. </w:t>
      </w:r>
    </w:p>
    <w:p w:rsidR="00547E7E" w:rsidRPr="00075492" w:rsidRDefault="00547E7E">
      <w:r w:rsidRPr="00075492">
        <w:rPr>
          <w:i/>
        </w:rPr>
        <w:t>Länsstyrelsen i Östergötlands län</w:t>
      </w:r>
      <w:r w:rsidRPr="00075492">
        <w:t xml:space="preserve"> anser att det är viktigt att avgiftssystemet är tydligt och att det i någon mån kan användas som styrmedel för att öka verksamhetsutövarnas benägenhet att följa regelverket. Samtidigt måste man undvika att detta utnyttjas så att otillräckliga resurser avsätts i budgeten. </w:t>
      </w:r>
    </w:p>
    <w:p w:rsidR="00547E7E" w:rsidRPr="00075492" w:rsidRDefault="00547E7E">
      <w:r w:rsidRPr="00075492">
        <w:rPr>
          <w:i/>
        </w:rPr>
        <w:t xml:space="preserve">Plan- och miljönämnden i Pajala kommun </w:t>
      </w:r>
      <w:r w:rsidRPr="00075492">
        <w:t>framhåller vikten av att ett nytt avgiftssystem blir lättarbetat och enhetligt. Nämnden anser att en modell skulle kunna vara en grundavgift som är lägre än den nuvarande årliga til</w:t>
      </w:r>
      <w:r w:rsidRPr="00075492">
        <w:t>l</w:t>
      </w:r>
      <w:r w:rsidRPr="00075492">
        <w:t>synsa</w:t>
      </w:r>
      <w:r w:rsidRPr="00075492">
        <w:t>v</w:t>
      </w:r>
      <w:r w:rsidRPr="00075492">
        <w:t xml:space="preserve">giften kombinerad med en avgift för varje inspektion. </w:t>
      </w:r>
    </w:p>
    <w:p w:rsidR="00547E7E" w:rsidRPr="00075492" w:rsidRDefault="00547E7E">
      <w:r w:rsidRPr="00075492">
        <w:rPr>
          <w:i/>
        </w:rPr>
        <w:t xml:space="preserve">Svenska Celiakiförbundet </w:t>
      </w:r>
      <w:r w:rsidRPr="00075492">
        <w:t>anser att nya avgifter och pålagor ska drabba för</w:t>
      </w:r>
      <w:r w:rsidRPr="00075492">
        <w:t>e</w:t>
      </w:r>
      <w:r w:rsidRPr="00075492">
        <w:t xml:space="preserve">tag som är oseriösa och inte följer lagar och föreskrifter. </w:t>
      </w:r>
    </w:p>
    <w:p w:rsidR="00547E7E" w:rsidRPr="00075492" w:rsidRDefault="00547E7E">
      <w:r w:rsidRPr="00075492">
        <w:rPr>
          <w:i/>
        </w:rPr>
        <w:t>Livsmedelsföretagen</w:t>
      </w:r>
      <w:r w:rsidRPr="00075492">
        <w:t xml:space="preserve"> påpekar att det är väsentligt att finansieringssystemet är konkurrensneutralt för företag i Sverige och EU. Livsmedelsföretagen anser att livsmedelstillsynen ska vara skattefinansierad, med undantag för animli</w:t>
      </w:r>
      <w:r w:rsidRPr="00075492">
        <w:t>e</w:t>
      </w:r>
      <w:r w:rsidRPr="00075492">
        <w:t>producerande anläggningar. Enligt företagen bör uppföljande besök för f</w:t>
      </w:r>
      <w:r w:rsidRPr="00075492">
        <w:t>ö</w:t>
      </w:r>
      <w:r w:rsidRPr="00075492">
        <w:t xml:space="preserve">retag som ”inte sköter sig” vara avgiftsbelagda. </w:t>
      </w:r>
    </w:p>
    <w:p w:rsidR="00547E7E" w:rsidRPr="00075492" w:rsidRDefault="00547E7E">
      <w:r w:rsidRPr="00075492">
        <w:rPr>
          <w:i/>
        </w:rPr>
        <w:t xml:space="preserve">Svensk Dagligvaruhandel </w:t>
      </w:r>
      <w:r w:rsidRPr="00075492">
        <w:t>anser att tillsynen bör vara skattefinansierad. Ett företag med otillräcklig egenkontroll eller andra brister bör betala de extra kostnader som bristerna orsakat. Skulle avgiftssystemet behållas bör det fören</w:t>
      </w:r>
      <w:r w:rsidRPr="00075492">
        <w:t>k</w:t>
      </w:r>
      <w:r w:rsidRPr="00075492">
        <w:t>las.</w:t>
      </w:r>
    </w:p>
    <w:p w:rsidR="00547E7E" w:rsidRPr="00075492" w:rsidRDefault="00547E7E">
      <w:r w:rsidRPr="00075492">
        <w:rPr>
          <w:i/>
        </w:rPr>
        <w:t xml:space="preserve">Sveriges hotell- och restaurangföretagare, SHR, </w:t>
      </w:r>
      <w:r w:rsidRPr="00075492">
        <w:t>konstaterar att det är svårt att se något samband mellan de avgifter som företagen betalar och det arbete som tillsynsmyndigheterna utför för respektive företag. SHR anser att liv</w:t>
      </w:r>
      <w:r w:rsidRPr="00075492">
        <w:t>s</w:t>
      </w:r>
      <w:r w:rsidRPr="00075492">
        <w:t>medelstil</w:t>
      </w:r>
      <w:r w:rsidRPr="00075492">
        <w:t>l</w:t>
      </w:r>
      <w:r w:rsidRPr="00075492">
        <w:t xml:space="preserve">synen ska finansieras över statsbudgeten. </w:t>
      </w:r>
    </w:p>
    <w:p w:rsidR="00547E7E" w:rsidRPr="00075492" w:rsidRDefault="00547E7E">
      <w:pPr>
        <w:rPr>
          <w:i/>
        </w:rPr>
      </w:pPr>
      <w:r w:rsidRPr="00075492">
        <w:rPr>
          <w:i/>
        </w:rPr>
        <w:t>Lillemor Karlsson</w:t>
      </w:r>
      <w:r w:rsidRPr="00075492">
        <w:t xml:space="preserve"> framhåller att avgifterna bör vara konkurrensneutrala.</w:t>
      </w:r>
      <w:r w:rsidRPr="00075492">
        <w:rPr>
          <w:i/>
        </w:rPr>
        <w:t xml:space="preserve"> </w:t>
      </w:r>
    </w:p>
    <w:p w:rsidR="00547E7E" w:rsidRPr="00075492" w:rsidRDefault="00547E7E">
      <w:r w:rsidRPr="00075492">
        <w:rPr>
          <w:i/>
        </w:rPr>
        <w:t xml:space="preserve">Statskontoret, Livsmedelsverket, Svenska Kommunförbundet </w:t>
      </w:r>
      <w:r w:rsidRPr="00075492">
        <w:t>och</w:t>
      </w:r>
      <w:r w:rsidRPr="00075492">
        <w:rPr>
          <w:i/>
        </w:rPr>
        <w:t xml:space="preserve"> samtliga kommuner</w:t>
      </w:r>
      <w:r w:rsidRPr="00075492">
        <w:t xml:space="preserve"> tillstyrker revisorernas förslag om att regeringen bör utarbeta ett förslag som innebär att överföringen av medel från kommunerna till Livsm</w:t>
      </w:r>
      <w:r w:rsidRPr="00075492">
        <w:t>e</w:t>
      </w:r>
      <w:r w:rsidRPr="00075492">
        <w:t xml:space="preserve">delsverket upphör. </w:t>
      </w:r>
      <w:r w:rsidRPr="00075492">
        <w:rPr>
          <w:i/>
        </w:rPr>
        <w:t>Livsmedelsverket</w:t>
      </w:r>
      <w:r w:rsidRPr="00075492">
        <w:t xml:space="preserve"> påpekar dock att detta förutsätter att verket kompenseras med höjda a</w:t>
      </w:r>
      <w:r w:rsidRPr="00075492">
        <w:t>n</w:t>
      </w:r>
      <w:r w:rsidRPr="00075492">
        <w:t xml:space="preserve">slag. </w:t>
      </w:r>
    </w:p>
    <w:p w:rsidR="00547E7E" w:rsidRPr="00075492" w:rsidRDefault="00547E7E">
      <w:pPr>
        <w:pStyle w:val="R2"/>
      </w:pPr>
      <w:r w:rsidRPr="00075492">
        <w:t>Redovisa kostnaderna</w:t>
      </w:r>
    </w:p>
    <w:p w:rsidR="00547E7E" w:rsidRPr="00075492" w:rsidRDefault="00547E7E">
      <w:r w:rsidRPr="00075492">
        <w:t>Revisorerna föreslår att regeringen tar initiativ som syftar till att åstadkomma en tillförlitlig kostnadsredovisning. De uppgifter som ska ingå i kostnadsr</w:t>
      </w:r>
      <w:r w:rsidRPr="00075492">
        <w:t>e</w:t>
      </w:r>
      <w:r w:rsidRPr="00075492">
        <w:t xml:space="preserve">dovisning bör specificeras. </w:t>
      </w:r>
    </w:p>
    <w:p w:rsidR="00547E7E" w:rsidRPr="00075492" w:rsidRDefault="00547E7E">
      <w:r w:rsidRPr="00075492">
        <w:t xml:space="preserve">Remissinstanserna är positiva till revisorernas förslag. </w:t>
      </w:r>
    </w:p>
    <w:p w:rsidR="00547E7E" w:rsidRPr="00075492" w:rsidRDefault="00547E7E">
      <w:r w:rsidRPr="00075492">
        <w:t>De remissinstanser som tillstyrker förslaget är: Statskontoret, Länsstyrelsen i Östergötland, Svenska Kommunförbundet, Bodens kommun, Borlänge kommun, Göteborgs kommun, Helsingborgs stad, Lidköpings kommun, Malmö stad, Pajala ko</w:t>
      </w:r>
      <w:r w:rsidRPr="00075492">
        <w:t>m</w:t>
      </w:r>
      <w:r w:rsidRPr="00075492">
        <w:t>mun, Umeå kommun och Svensk Dagligvaruhandel</w:t>
      </w:r>
      <w:r w:rsidRPr="00075492">
        <w:rPr>
          <w:i/>
        </w:rPr>
        <w:t>.</w:t>
      </w:r>
    </w:p>
    <w:p w:rsidR="00547E7E" w:rsidRPr="00075492" w:rsidRDefault="00547E7E">
      <w:r w:rsidRPr="00075492">
        <w:rPr>
          <w:i/>
        </w:rPr>
        <w:t>Livsmedelsverket</w:t>
      </w:r>
      <w:r w:rsidRPr="00075492">
        <w:t xml:space="preserve"> anser att kommunernas uppgifter om personal, tillsynens omfattning i relation till antalet tillsynsobjekt och resultatet av tillsynen är tillräckliga för verkets behov. Om livsmedelstillsynen kommer att avgiftsf</w:t>
      </w:r>
      <w:r w:rsidRPr="00075492">
        <w:t>i</w:t>
      </w:r>
      <w:r w:rsidRPr="00075492">
        <w:t>nansieras behövs uppgifter om de totala avgiftsintäkterna och de totala kos</w:t>
      </w:r>
      <w:r w:rsidRPr="00075492">
        <w:t>t</w:t>
      </w:r>
      <w:r w:rsidRPr="00075492">
        <w:t>naderna för tillsynen.</w:t>
      </w:r>
    </w:p>
    <w:p w:rsidR="00547E7E" w:rsidRPr="00075492" w:rsidRDefault="00547E7E">
      <w:pPr>
        <w:rPr>
          <w:i/>
        </w:rPr>
      </w:pPr>
      <w:r w:rsidRPr="00075492">
        <w:rPr>
          <w:i/>
        </w:rPr>
        <w:t>Statskontoret</w:t>
      </w:r>
      <w:r w:rsidRPr="00075492">
        <w:t xml:space="preserve"> anser att Livsmedelsverket bör kunna kräva att kommunerna redovisar den verkliga resursåtgången för tillsynen eftersom denna är gru</w:t>
      </w:r>
      <w:r w:rsidRPr="00075492">
        <w:t>n</w:t>
      </w:r>
      <w:r w:rsidRPr="00075492">
        <w:t xml:space="preserve">den för avgiftssättning och kvalitet. </w:t>
      </w:r>
    </w:p>
    <w:p w:rsidR="00547E7E" w:rsidRPr="00075492" w:rsidRDefault="00547E7E">
      <w:r w:rsidRPr="00075492">
        <w:rPr>
          <w:i/>
        </w:rPr>
        <w:t xml:space="preserve">Länsstyrelsen i Östergötlands län </w:t>
      </w:r>
      <w:r w:rsidRPr="00075492">
        <w:t>anser att det är förvånande att det saknas en tillförlitlig kostnadsredovisning för en så viktig verksamhet som tillsynen över våra livsmedel.</w:t>
      </w:r>
    </w:p>
    <w:p w:rsidR="00547E7E" w:rsidRPr="00075492" w:rsidRDefault="00547E7E">
      <w:r w:rsidRPr="00075492">
        <w:rPr>
          <w:i/>
        </w:rPr>
        <w:t xml:space="preserve">Svenska Kommunförbundet </w:t>
      </w:r>
      <w:r w:rsidRPr="00075492">
        <w:t>och</w:t>
      </w:r>
      <w:r w:rsidRPr="00075492">
        <w:rPr>
          <w:i/>
        </w:rPr>
        <w:t xml:space="preserve"> Miljönämnden i Göteborgs kommun </w:t>
      </w:r>
      <w:r w:rsidRPr="00075492">
        <w:t>påpekar att</w:t>
      </w:r>
      <w:r w:rsidRPr="00075492">
        <w:rPr>
          <w:i/>
        </w:rPr>
        <w:t xml:space="preserve"> </w:t>
      </w:r>
      <w:r w:rsidRPr="00075492">
        <w:t xml:space="preserve">Livsmedelsverkets instruktioner har varit oklara, vilket har lett till att kommunerna har redovisat kostnaderna på olika sätt. </w:t>
      </w:r>
    </w:p>
    <w:p w:rsidR="00547E7E" w:rsidRPr="00075492" w:rsidRDefault="00547E7E">
      <w:r w:rsidRPr="00075492">
        <w:rPr>
          <w:i/>
        </w:rPr>
        <w:t>Miljönämnden</w:t>
      </w:r>
      <w:r w:rsidRPr="00075492">
        <w:t xml:space="preserve"> </w:t>
      </w:r>
      <w:r w:rsidRPr="00075492">
        <w:rPr>
          <w:i/>
        </w:rPr>
        <w:t>i Göteborgs kommun</w:t>
      </w:r>
      <w:r w:rsidRPr="00075492">
        <w:t xml:space="preserve"> framhåller att det krävs ett enklare sy</w:t>
      </w:r>
      <w:r w:rsidRPr="00075492">
        <w:softHyphen/>
        <w:t>stem med tydliga nyckeltal som inte ger utrymme för tolkningar. Nämnden anser att det förslag som lämnades i betänkandet livsmedelstillsynen i Sver</w:t>
      </w:r>
      <w:r w:rsidRPr="00075492">
        <w:t>i</w:t>
      </w:r>
      <w:r w:rsidRPr="00075492">
        <w:t>ge (SOU 1998:61) bör beaktas. Detta innebär att Livsmedelsverket i sama</w:t>
      </w:r>
      <w:r w:rsidRPr="00075492">
        <w:t>r</w:t>
      </w:r>
      <w:r w:rsidRPr="00075492">
        <w:t>bete med Svenska Kommunförbundet får i uppdrag att utarbeta förslag till fortlöpande uppföljning och utvärdering av til</w:t>
      </w:r>
      <w:r w:rsidRPr="00075492">
        <w:t>l</w:t>
      </w:r>
      <w:r w:rsidRPr="00075492">
        <w:t>synen.</w:t>
      </w:r>
    </w:p>
    <w:p w:rsidR="00547E7E" w:rsidRPr="00075492" w:rsidRDefault="00547E7E">
      <w:r w:rsidRPr="00075492">
        <w:rPr>
          <w:i/>
        </w:rPr>
        <w:t>Plan- och miljönämnden i Pajala kommun</w:t>
      </w:r>
      <w:r w:rsidRPr="00075492">
        <w:t xml:space="preserve"> anser att små kommuners problem med att få fram exakta uppgifter bör beaktas. </w:t>
      </w:r>
    </w:p>
    <w:p w:rsidR="00547E7E" w:rsidRPr="00075492" w:rsidRDefault="00547E7E">
      <w:pPr>
        <w:pStyle w:val="R2"/>
      </w:pPr>
      <w:r w:rsidRPr="00075492">
        <w:t>Tydliggör företagens ansvar</w:t>
      </w:r>
    </w:p>
    <w:p w:rsidR="00547E7E" w:rsidRPr="00075492" w:rsidRDefault="00547E7E">
      <w:r w:rsidRPr="00075492">
        <w:t>Revisorerna föreslår att regeringen uppdrar åt Livsmedelsverket att avskaffa nuvarande krav på att tillsynsmyndigheterna ska fastställa företagens ege</w:t>
      </w:r>
      <w:r w:rsidRPr="00075492">
        <w:t>n</w:t>
      </w:r>
      <w:r w:rsidRPr="00075492">
        <w:t>kontrollpr</w:t>
      </w:r>
      <w:r w:rsidRPr="00075492">
        <w:t>o</w:t>
      </w:r>
      <w:r w:rsidRPr="00075492">
        <w:t>gram.</w:t>
      </w:r>
    </w:p>
    <w:p w:rsidR="00547E7E" w:rsidRPr="00075492" w:rsidRDefault="00547E7E">
      <w:r w:rsidRPr="00075492">
        <w:t>Flertalet remissinstanser tillstyrker förslaget. Några remissinstanser föreslår att krav på utbildning hos de personer som ska arbeta med livsmedel utreds eller införs.</w:t>
      </w:r>
    </w:p>
    <w:p w:rsidR="00547E7E" w:rsidRPr="00075492" w:rsidRDefault="00547E7E">
      <w:r w:rsidRPr="00075492">
        <w:t>Livsmedelsverket, Svenska Kommunförbundet, Borlänge kommun, Göt</w:t>
      </w:r>
      <w:r w:rsidRPr="00075492">
        <w:t>e</w:t>
      </w:r>
      <w:r w:rsidRPr="00075492">
        <w:t>borgs kommun, Helsingborgs stad, Lidköpings kommun, Malmö stad, Pajala kommun, Umeå kommun, Länsstyrelsen i Östergötlands län, Livsmedelsf</w:t>
      </w:r>
      <w:r w:rsidRPr="00075492">
        <w:t>ö</w:t>
      </w:r>
      <w:r w:rsidRPr="00075492">
        <w:t>retagen och Svensk Dagligvaruhandel tillstyrker förslaget.</w:t>
      </w:r>
    </w:p>
    <w:p w:rsidR="00547E7E" w:rsidRPr="00075492" w:rsidRDefault="00547E7E">
      <w:r w:rsidRPr="00075492">
        <w:rPr>
          <w:i/>
        </w:rPr>
        <w:t xml:space="preserve">Länsstyrelsen i Gävleborgs län </w:t>
      </w:r>
      <w:r w:rsidRPr="00075492">
        <w:t>avstyrker förslaget.</w:t>
      </w:r>
    </w:p>
    <w:p w:rsidR="00547E7E" w:rsidRPr="00075492" w:rsidRDefault="00547E7E">
      <w:r w:rsidRPr="00075492">
        <w:rPr>
          <w:i/>
        </w:rPr>
        <w:t xml:space="preserve">Miljö- och byggnadsnämnden i Bodens kommun </w:t>
      </w:r>
      <w:r w:rsidRPr="00075492">
        <w:t>anser att förslaget bör utr</w:t>
      </w:r>
      <w:r w:rsidRPr="00075492">
        <w:t>e</w:t>
      </w:r>
      <w:r w:rsidRPr="00075492">
        <w:t>das närmare, så att brister i företagens egenkontroll kan bli föremål för d</w:t>
      </w:r>
      <w:r w:rsidRPr="00075492">
        <w:t>i</w:t>
      </w:r>
      <w:r w:rsidRPr="00075492">
        <w:t>rekta sanktioner eller andra åtgä</w:t>
      </w:r>
      <w:r w:rsidRPr="00075492">
        <w:t>r</w:t>
      </w:r>
      <w:r w:rsidRPr="00075492">
        <w:t>der.</w:t>
      </w:r>
    </w:p>
    <w:p w:rsidR="00547E7E" w:rsidRPr="00075492" w:rsidRDefault="00547E7E">
      <w:r w:rsidRPr="00075492">
        <w:rPr>
          <w:i/>
        </w:rPr>
        <w:t xml:space="preserve">Justitieombudsmannen </w:t>
      </w:r>
      <w:r w:rsidRPr="00075492">
        <w:t>pekar på att livsmedelstillsynen och miljöskyddstil</w:t>
      </w:r>
      <w:r w:rsidRPr="00075492">
        <w:t>l</w:t>
      </w:r>
      <w:r w:rsidRPr="00075492">
        <w:t>synen i viss mån skiljer sig åt i enlighet med vad som redovisades i utre</w:t>
      </w:r>
      <w:r w:rsidRPr="00075492">
        <w:t>d</w:t>
      </w:r>
      <w:r w:rsidRPr="00075492">
        <w:t>ningen om livsmedelstillsynen i Sverige. JO utgår från att de erfarenheter som finns vid fastställande av egenkontrollprogram inom miljöskyddsomr</w:t>
      </w:r>
      <w:r w:rsidRPr="00075492">
        <w:t>å</w:t>
      </w:r>
      <w:r w:rsidRPr="00075492">
        <w:t xml:space="preserve">det kommer att beaktas vid den fortsatta översynen. </w:t>
      </w:r>
    </w:p>
    <w:p w:rsidR="00547E7E" w:rsidRPr="00075492" w:rsidRDefault="00547E7E">
      <w:r w:rsidRPr="00075492">
        <w:rPr>
          <w:i/>
        </w:rPr>
        <w:t>Livsmedelsverket</w:t>
      </w:r>
      <w:r w:rsidRPr="00075492">
        <w:t xml:space="preserve"> anser att en ändring av systemet bör underställas riksdagen för beslut eftersom kravet på fastställande ingick i riksdagens beslut år 1989. </w:t>
      </w:r>
    </w:p>
    <w:p w:rsidR="00547E7E" w:rsidRPr="00075492" w:rsidRDefault="00547E7E">
      <w:r w:rsidRPr="00075492">
        <w:rPr>
          <w:i/>
        </w:rPr>
        <w:t xml:space="preserve">Plan- och miljönämnden i Pajala kommun </w:t>
      </w:r>
      <w:r w:rsidRPr="00075492">
        <w:t>tillstyrker förslaget under föru</w:t>
      </w:r>
      <w:r w:rsidRPr="00075492">
        <w:t>t</w:t>
      </w:r>
      <w:r w:rsidRPr="00075492">
        <w:t>sättning att Livsmedelsverket utarbetar vägledning för hur tillsynen ska bedrivas.</w:t>
      </w:r>
    </w:p>
    <w:p w:rsidR="00547E7E" w:rsidRPr="00075492" w:rsidRDefault="00547E7E">
      <w:r w:rsidRPr="00075492">
        <w:rPr>
          <w:i/>
        </w:rPr>
        <w:t>Miljönämnden i Göteborgs kommun</w:t>
      </w:r>
      <w:r w:rsidRPr="00075492">
        <w:t xml:space="preserve"> anger att dagens krav har lett till att det finns exempel på större företag som har ett av tillsynsmyndigheten fastställt minimiprogram, medan det kvalitetssäkringsprogram som företagen anvä</w:t>
      </w:r>
      <w:r w:rsidRPr="00075492">
        <w:t>n</w:t>
      </w:r>
      <w:r w:rsidRPr="00075492">
        <w:t>der är betydligt mer omfattande. Dessutom påpekas att det inte finns något uttalat krav på fas</w:t>
      </w:r>
      <w:r w:rsidRPr="00075492">
        <w:t>t</w:t>
      </w:r>
      <w:r w:rsidRPr="00075492">
        <w:t xml:space="preserve">ställande i EU:s regelverk. </w:t>
      </w:r>
    </w:p>
    <w:p w:rsidR="00547E7E" w:rsidRPr="00075492" w:rsidRDefault="00547E7E">
      <w:r w:rsidRPr="00075492">
        <w:rPr>
          <w:i/>
        </w:rPr>
        <w:t xml:space="preserve">Miljönämnderna i Malmö stad och Göteborgs kommun </w:t>
      </w:r>
      <w:r w:rsidRPr="00075492">
        <w:t>påpekar att miljöba</w:t>
      </w:r>
      <w:r w:rsidRPr="00075492">
        <w:t>l</w:t>
      </w:r>
      <w:r w:rsidRPr="00075492">
        <w:t>ken saknar motsvarande krav på att egenkontrollprogrammen ska fas</w:t>
      </w:r>
      <w:r w:rsidRPr="00075492">
        <w:t>t</w:t>
      </w:r>
      <w:r w:rsidRPr="00075492">
        <w:t xml:space="preserve">ställas. </w:t>
      </w:r>
    </w:p>
    <w:p w:rsidR="00547E7E" w:rsidRPr="00075492" w:rsidRDefault="00547E7E">
      <w:r w:rsidRPr="00075492">
        <w:rPr>
          <w:i/>
        </w:rPr>
        <w:t xml:space="preserve">Svenska Kommunförbundet, Miljönämnden i Helsingborgs stad </w:t>
      </w:r>
      <w:r w:rsidRPr="00075492">
        <w:t>respektive</w:t>
      </w:r>
      <w:r w:rsidRPr="00075492">
        <w:rPr>
          <w:i/>
        </w:rPr>
        <w:t xml:space="preserve"> Borlänge kommun, Svenska Celiakiförbundet </w:t>
      </w:r>
      <w:r w:rsidRPr="00075492">
        <w:t>och</w:t>
      </w:r>
      <w:r w:rsidRPr="00075492">
        <w:rPr>
          <w:i/>
        </w:rPr>
        <w:t xml:space="preserve"> Sveriges Konsum</w:t>
      </w:r>
      <w:r w:rsidRPr="00075492">
        <w:rPr>
          <w:i/>
        </w:rPr>
        <w:softHyphen/>
        <w:t xml:space="preserve">entråd </w:t>
      </w:r>
      <w:r w:rsidRPr="00075492">
        <w:t xml:space="preserve">anser att tillräckliga kunskaper måste finnas hos verksamhetsutövaren, vilket är en grund för företagens egenkontroll. De föreslår att krav på behörighet för att hantera livsmedel bör ställas i samband med tillståndsgivning. En annan möjlighet är att kunskapskrav på verksamhetsutövare utreds. </w:t>
      </w:r>
    </w:p>
    <w:p w:rsidR="00547E7E" w:rsidRPr="00075492" w:rsidRDefault="00547E7E">
      <w:r w:rsidRPr="00075492">
        <w:rPr>
          <w:i/>
        </w:rPr>
        <w:t xml:space="preserve">Sveriges hotell- och restaurangföretagare </w:t>
      </w:r>
      <w:r w:rsidRPr="00075492">
        <w:t>anser att lagändringar har geno</w:t>
      </w:r>
      <w:r w:rsidRPr="00075492">
        <w:t>m</w:t>
      </w:r>
      <w:r w:rsidRPr="00075492">
        <w:t>förts utan tillräckliga förberedelser. Beslutet om fastställande av egenko</w:t>
      </w:r>
      <w:r w:rsidRPr="00075492">
        <w:t>n</w:t>
      </w:r>
      <w:r w:rsidRPr="00075492">
        <w:t>trollprogram är ett sådant exempel. Systemet har kritiserats, men inte förän</w:t>
      </w:r>
      <w:r w:rsidRPr="00075492">
        <w:t>d</w:t>
      </w:r>
      <w:r w:rsidRPr="00075492">
        <w:t xml:space="preserve">rats. </w:t>
      </w:r>
    </w:p>
    <w:p w:rsidR="00547E7E" w:rsidRPr="00075492" w:rsidRDefault="00547E7E">
      <w:pPr>
        <w:pStyle w:val="R2"/>
      </w:pPr>
      <w:r w:rsidRPr="00075492">
        <w:t>Livsmedelsverkets uppföljning och styrning</w:t>
      </w:r>
    </w:p>
    <w:p w:rsidR="00547E7E" w:rsidRPr="00075492" w:rsidRDefault="00547E7E">
      <w:r w:rsidRPr="00075492">
        <w:t>Revisorerna föreslår att regeringen uppdrar åt Livsmedelsverket att upprätta en åtgärdsplan för att komma till rätta med de brister som verket har up</w:t>
      </w:r>
      <w:r w:rsidRPr="00075492">
        <w:t>p</w:t>
      </w:r>
      <w:r w:rsidRPr="00075492">
        <w:t>märksammat inom den kommunala tillsynsverksamh</w:t>
      </w:r>
      <w:r w:rsidRPr="00075492">
        <w:t>e</w:t>
      </w:r>
      <w:r w:rsidRPr="00075492">
        <w:t>ten.</w:t>
      </w:r>
    </w:p>
    <w:p w:rsidR="00547E7E" w:rsidRPr="00075492" w:rsidRDefault="00547E7E">
      <w:r w:rsidRPr="00075492">
        <w:t xml:space="preserve">Remissinstanserna tillstyrker förslaget, med undantag för Livsmedelsverket, Livsmedelsföretagen och Länsstyrelsen i Norrbottens län. Flertalet instanser betonar särskilt vikten av att Livsmedelsverket både stöder och styr den kommunala tillsynsverksamheten. </w:t>
      </w:r>
    </w:p>
    <w:p w:rsidR="00547E7E" w:rsidRPr="00075492" w:rsidRDefault="00547E7E">
      <w:r w:rsidRPr="00075492">
        <w:rPr>
          <w:i/>
        </w:rPr>
        <w:t xml:space="preserve">Livsmedelsverket, Länsstyrelsen i Norrbottens län </w:t>
      </w:r>
      <w:r w:rsidRPr="00075492">
        <w:t>samt</w:t>
      </w:r>
      <w:r w:rsidRPr="00075492">
        <w:rPr>
          <w:i/>
        </w:rPr>
        <w:t xml:space="preserve"> Livsmedelsföretagen </w:t>
      </w:r>
      <w:r w:rsidRPr="00075492">
        <w:t>ifrågasätter revisore</w:t>
      </w:r>
      <w:r w:rsidRPr="00075492">
        <w:t>r</w:t>
      </w:r>
      <w:r w:rsidRPr="00075492">
        <w:t>nas förslag.</w:t>
      </w:r>
    </w:p>
    <w:p w:rsidR="00547E7E" w:rsidRPr="00075492" w:rsidRDefault="00547E7E">
      <w:r w:rsidRPr="00075492">
        <w:rPr>
          <w:i/>
        </w:rPr>
        <w:t xml:space="preserve">Livsmedelsverket </w:t>
      </w:r>
      <w:r w:rsidRPr="00075492">
        <w:t>ifrågasätter om verket kan styra en kommunal verksamhet. Styrning förutsätter sanktionsmöjligheter i de fall oacceptabla brister uppd</w:t>
      </w:r>
      <w:r w:rsidRPr="00075492">
        <w:t>a</w:t>
      </w:r>
      <w:r w:rsidRPr="00075492">
        <w:t>gas i den kommunala tillsynsverksamheten. Verket anser att verkets uppdrag snarare är att följa upp och stödja den lokala livsmedelstillsynen. Vidare redovisas att uppföljningen av kommunerna ”nyligen har förfinats”. Antalet kommuninspektioner och normerande inspektioner har fördubblats år 2001 jämfört med året innan. År 2001 genomfördes 80 kommuninspektioner och 80 normerand</w:t>
      </w:r>
      <w:r w:rsidRPr="00075492">
        <w:t>e inspektioner. Enligt verket finns det ett mycket stort behov av stöd till kommunerna. Grundläggande brister, t.ex. att kommunerna saknar förutsättningar för att bedriva en bra tillsyn, kan dock inte avhjälpas med ökat stöd från verket. Livsmedelsverket anser att verkets uppgift bör vara att utarbeta grundläggande information om tillämpning av livsmedelslagstif</w:t>
      </w:r>
      <w:r w:rsidRPr="00075492">
        <w:t>t</w:t>
      </w:r>
      <w:r w:rsidRPr="00075492">
        <w:t xml:space="preserve">ningen och grundläggande tillsynsmetodik. Vidare anges att man har inlett ett arbete med att utveckla Livsmedelsverkets webbplats och att utveckla </w:t>
      </w:r>
      <w:r w:rsidRPr="00075492">
        <w:t>ett IT-baserat studiematerial om HACCP i egentillsynen. Enligt verket begrä</w:t>
      </w:r>
      <w:r w:rsidRPr="00075492">
        <w:t>n</w:t>
      </w:r>
      <w:r w:rsidRPr="00075492">
        <w:t>sas inspektionerna i kommunerna av tillgängliga resurser. Verket bedömer att det krävs ett resurstillskott om insatserna mot kommunerna ska öka.</w:t>
      </w:r>
    </w:p>
    <w:p w:rsidR="00547E7E" w:rsidRPr="00075492" w:rsidRDefault="00547E7E">
      <w:r w:rsidRPr="00075492">
        <w:rPr>
          <w:i/>
        </w:rPr>
        <w:t xml:space="preserve">Länsstyrelsen i Norrbottens län </w:t>
      </w:r>
      <w:r w:rsidRPr="00075492">
        <w:t>anser inte att Livsmedelsverkets styrning och samordning av den kommunala tillsynen är bristfällig. Livsmedelsverket behöver dock utöka antalet normerande inspektioner i kommune</w:t>
      </w:r>
      <w:r w:rsidRPr="00075492">
        <w:t>r</w:t>
      </w:r>
      <w:r w:rsidRPr="00075492">
        <w:t>na.</w:t>
      </w:r>
    </w:p>
    <w:p w:rsidR="00547E7E" w:rsidRPr="00075492" w:rsidRDefault="00547E7E">
      <w:r w:rsidRPr="00075492">
        <w:rPr>
          <w:i/>
        </w:rPr>
        <w:t xml:space="preserve">Livsmedelsföretagen </w:t>
      </w:r>
      <w:r w:rsidRPr="00075492">
        <w:t>ställer sig tveksam till om Livsmedelsverkets befoge</w:t>
      </w:r>
      <w:r w:rsidRPr="00075492">
        <w:t>n</w:t>
      </w:r>
      <w:r w:rsidRPr="00075492">
        <w:t>heter är tillräckligt långtgående för att uppnå en likvärdig tillsyn. Enligt företagen kan verket inte tvinga kommunpolitiker att avsätta tillräcklig resu</w:t>
      </w:r>
      <w:r w:rsidRPr="00075492">
        <w:t>r</w:t>
      </w:r>
      <w:r w:rsidRPr="00075492">
        <w:t>ser för tillsyn. Företagen påpekar att om det inte finns någon tillsyn att sa</w:t>
      </w:r>
      <w:r w:rsidRPr="00075492">
        <w:t>m</w:t>
      </w:r>
      <w:r w:rsidRPr="00075492">
        <w:t>ordna är uppdraget svårt. Dessutom påpekas: ”De eventuella sanktionsmö</w:t>
      </w:r>
      <w:r w:rsidRPr="00075492">
        <w:t>j</w:t>
      </w:r>
      <w:r w:rsidRPr="00075492">
        <w:t>ligheter som Livsmedelsverket har gentemot kommunerna är att överta til</w:t>
      </w:r>
      <w:r w:rsidRPr="00075492">
        <w:t>l</w:t>
      </w:r>
      <w:r w:rsidRPr="00075492">
        <w:t xml:space="preserve">synen över ett eller flera av kommunens tillsynsobjekt. Anledningen till att detta </w:t>
      </w:r>
      <w:r w:rsidRPr="00075492">
        <w:t>inte har skett trots konstaterade brister beror sannolikt på att det är en ganska kraftlös sanktion samt att det med nuvarande organisation oftast är praktiskt svårt för Livsmedelsverket att överta kontrollen.” Livsmedelsför</w:t>
      </w:r>
      <w:r w:rsidRPr="00075492">
        <w:t>e</w:t>
      </w:r>
      <w:r w:rsidRPr="00075492">
        <w:t>tagen anser dock att verket kan stödja kommunerna t.ex. genom att utarbeta tillsynsvägledningar. Livsmedelsverket kan och bör också följa upp komm</w:t>
      </w:r>
      <w:r w:rsidRPr="00075492">
        <w:t>u</w:t>
      </w:r>
      <w:r w:rsidRPr="00075492">
        <w:t>nernas tillsyn genom inspektioner i så stor omfattning som möjligt. ”Med kännedom om Livsmedelsverkets bristande ekonomiska resurser kan omf</w:t>
      </w:r>
      <w:r w:rsidRPr="00075492">
        <w:t>at</w:t>
      </w:r>
      <w:r w:rsidRPr="00075492">
        <w:t>t</w:t>
      </w:r>
      <w:r w:rsidRPr="00075492">
        <w:t>ningen av detta arbete dock knappast få större omfattning än i dag om verket inte får ökade resu</w:t>
      </w:r>
      <w:r w:rsidRPr="00075492">
        <w:t>r</w:t>
      </w:r>
      <w:r w:rsidRPr="00075492">
        <w:t>ser.”</w:t>
      </w:r>
    </w:p>
    <w:p w:rsidR="00547E7E" w:rsidRPr="00075492" w:rsidRDefault="00547E7E">
      <w:r w:rsidRPr="00075492">
        <w:rPr>
          <w:i/>
        </w:rPr>
        <w:t xml:space="preserve">Ekonomistyrningsverket </w:t>
      </w:r>
      <w:r w:rsidRPr="00075492">
        <w:t>anser att det tydligt framgår av rapporten att Liv</w:t>
      </w:r>
      <w:r w:rsidRPr="00075492">
        <w:t>s</w:t>
      </w:r>
      <w:r w:rsidRPr="00075492">
        <w:t>medelsverket inte klarar av sin styrningsuppgift. Verket anser att det motiv</w:t>
      </w:r>
      <w:r w:rsidRPr="00075492">
        <w:t>e</w:t>
      </w:r>
      <w:r w:rsidRPr="00075492">
        <w:t>rar en närmare studie av Livsmedelsverkets interna organisation. Även ko</w:t>
      </w:r>
      <w:r w:rsidRPr="00075492">
        <w:t>n</w:t>
      </w:r>
      <w:r w:rsidRPr="00075492">
        <w:t>takterna mellan Livsmedelsverket och kommunerna behöver stud</w:t>
      </w:r>
      <w:r w:rsidRPr="00075492">
        <w:t>e</w:t>
      </w:r>
      <w:r w:rsidRPr="00075492">
        <w:t>ras.</w:t>
      </w:r>
    </w:p>
    <w:p w:rsidR="00547E7E" w:rsidRPr="00075492" w:rsidRDefault="00547E7E">
      <w:r w:rsidRPr="00075492">
        <w:rPr>
          <w:i/>
        </w:rPr>
        <w:t xml:space="preserve">Statskontoret </w:t>
      </w:r>
      <w:r w:rsidRPr="00075492">
        <w:t>anser att Livsmedelsverket behöver ta ett ökat ansvar för sty</w:t>
      </w:r>
      <w:r w:rsidRPr="00075492">
        <w:t>r</w:t>
      </w:r>
      <w:r w:rsidRPr="00075492">
        <w:t>ning, rådgivning och vidareutbildning. Vidare framhålls att det är viktigt att säkra att tillräcklig kunskap finns i kommunerna samt att personalens ko</w:t>
      </w:r>
      <w:r w:rsidRPr="00075492">
        <w:t>m</w:t>
      </w:r>
      <w:r w:rsidRPr="00075492">
        <w:t xml:space="preserve">petens uppfyller kraven. Kompetensfrågorna är av stor betydelse eftersom den svenska livsmedelstillsynen är kopplad till EG-förordningar och direktiv. </w:t>
      </w:r>
    </w:p>
    <w:p w:rsidR="00547E7E" w:rsidRPr="00075492" w:rsidRDefault="00547E7E">
      <w:r w:rsidRPr="00075492">
        <w:rPr>
          <w:i/>
        </w:rPr>
        <w:t xml:space="preserve">Länsstyrelsen i Gävleborgs län </w:t>
      </w:r>
      <w:r w:rsidRPr="00075492">
        <w:t>anser</w:t>
      </w:r>
      <w:r w:rsidRPr="00075492">
        <w:rPr>
          <w:i/>
        </w:rPr>
        <w:t xml:space="preserve"> </w:t>
      </w:r>
      <w:r w:rsidRPr="00075492">
        <w:t xml:space="preserve">att utbildning för inspektörer, oavsett tjänsteplacering, behöver prioriteras. </w:t>
      </w:r>
    </w:p>
    <w:p w:rsidR="00547E7E" w:rsidRPr="00075492" w:rsidRDefault="00547E7E">
      <w:pPr>
        <w:rPr>
          <w:i/>
        </w:rPr>
      </w:pPr>
      <w:r w:rsidRPr="00075492">
        <w:rPr>
          <w:i/>
        </w:rPr>
        <w:t>Länsstyrelsen i Östergötlands län</w:t>
      </w:r>
      <w:r w:rsidRPr="00075492">
        <w:t xml:space="preserve"> betonar att Livsmedelsverket i högre grad än hittills bör styra tillsynen, utveckla tillsynsmetoder, utfärda riktlinjer och leda utbildning.</w:t>
      </w:r>
    </w:p>
    <w:p w:rsidR="00547E7E" w:rsidRPr="00075492" w:rsidRDefault="00547E7E">
      <w:r w:rsidRPr="00075492">
        <w:rPr>
          <w:i/>
        </w:rPr>
        <w:t xml:space="preserve">Borlänge kommun, Lidköpings kommun, Helsingborgs stad, Göteborgs kommun, Malmö stad, Umeå kommun </w:t>
      </w:r>
      <w:r w:rsidRPr="00075492">
        <w:t>liksom</w:t>
      </w:r>
      <w:r w:rsidRPr="00075492">
        <w:rPr>
          <w:i/>
        </w:rPr>
        <w:t xml:space="preserve"> Svenska Kommunförbundet </w:t>
      </w:r>
      <w:r w:rsidRPr="00075492">
        <w:t>framhåller att Livsmedelsverkets samordning, stöd och styrning behöver utvecklas och effektiviseras. Flertalet kommenterar verkets normerande inspektioner och behovet av utbildning. Kommunerna är positiva till verkets normerande inspektioner men påpekar att sådana inspektioner genomförs alltför sällan. Vidare betonas att det finns stora behov av fortbildning för inspektörerna främst inom det juridiska området. Även grundutbildning för verksamma inspektörer med annan utbildning</w:t>
      </w:r>
      <w:r w:rsidRPr="00075492">
        <w:t xml:space="preserve"> än inspektörsutbildning efte</w:t>
      </w:r>
      <w:r w:rsidRPr="00075492">
        <w:t>r</w:t>
      </w:r>
      <w:r w:rsidRPr="00075492">
        <w:t xml:space="preserve">frågas. </w:t>
      </w:r>
    </w:p>
    <w:p w:rsidR="00547E7E" w:rsidRPr="00075492" w:rsidRDefault="00547E7E">
      <w:pPr>
        <w:pStyle w:val="R2"/>
      </w:pPr>
      <w:r w:rsidRPr="00075492">
        <w:t>Länsstyrelsernas uppgifter</w:t>
      </w:r>
    </w:p>
    <w:p w:rsidR="00547E7E" w:rsidRPr="00075492" w:rsidRDefault="00547E7E">
      <w:r w:rsidRPr="00075492">
        <w:t>Revisorerna anser att länsstyrelsernas nuvarande roll inom livsmedelstills</w:t>
      </w:r>
      <w:r w:rsidRPr="00075492">
        <w:t>y</w:t>
      </w:r>
      <w:r w:rsidRPr="00075492">
        <w:t>nen bör ändras. Antingen bör länsstyrelsernas uppgifter utgå eller så bör uppgifterna preciseras.</w:t>
      </w:r>
    </w:p>
    <w:p w:rsidR="00547E7E" w:rsidRPr="00075492" w:rsidRDefault="00547E7E">
      <w:r w:rsidRPr="00075492">
        <w:t xml:space="preserve">Remissinstanserna instämmer i att länsstyrelsernas uppgifter behöver ändras. </w:t>
      </w:r>
    </w:p>
    <w:p w:rsidR="00547E7E" w:rsidRPr="00075492" w:rsidRDefault="00547E7E">
      <w:r w:rsidRPr="00075492">
        <w:t xml:space="preserve">En förstärkning av länsstyrelserna förordas av </w:t>
      </w:r>
      <w:r w:rsidRPr="00075492">
        <w:rPr>
          <w:i/>
        </w:rPr>
        <w:t>länsstyrelserna i Östergö</w:t>
      </w:r>
      <w:r w:rsidRPr="00075492">
        <w:rPr>
          <w:i/>
        </w:rPr>
        <w:t>t</w:t>
      </w:r>
      <w:r w:rsidRPr="00075492">
        <w:rPr>
          <w:i/>
        </w:rPr>
        <w:t xml:space="preserve">lands län, Dalarnas län, Gävleborgs län, Norrbottens län, Miljönämnden i Borlänge </w:t>
      </w:r>
      <w:r w:rsidRPr="00075492">
        <w:t>och</w:t>
      </w:r>
      <w:r w:rsidRPr="00075492">
        <w:rPr>
          <w:i/>
        </w:rPr>
        <w:t xml:space="preserve"> Svenska Kommunförbundet.</w:t>
      </w:r>
      <w:r w:rsidRPr="00075492">
        <w:t xml:space="preserve"> Ett par remissinstanser, </w:t>
      </w:r>
      <w:r w:rsidRPr="00075492">
        <w:rPr>
          <w:i/>
        </w:rPr>
        <w:t>Ekonom</w:t>
      </w:r>
      <w:r w:rsidRPr="00075492">
        <w:rPr>
          <w:i/>
        </w:rPr>
        <w:t>i</w:t>
      </w:r>
      <w:r w:rsidRPr="00075492">
        <w:rPr>
          <w:i/>
        </w:rPr>
        <w:t xml:space="preserve">styrningsverket </w:t>
      </w:r>
      <w:r w:rsidRPr="00075492">
        <w:t>och</w:t>
      </w:r>
      <w:r w:rsidRPr="00075492">
        <w:rPr>
          <w:i/>
        </w:rPr>
        <w:t xml:space="preserve"> Miljönämnden i Helsingborgs stad,</w:t>
      </w:r>
      <w:r w:rsidRPr="00075492">
        <w:t xml:space="preserve"> anser att länsstyre</w:t>
      </w:r>
      <w:r w:rsidRPr="00075492">
        <w:t>l</w:t>
      </w:r>
      <w:r w:rsidRPr="00075492">
        <w:t xml:space="preserve">sernas uppgifter behöver utredas ytterligare. </w:t>
      </w:r>
      <w:r w:rsidRPr="00075492">
        <w:rPr>
          <w:i/>
        </w:rPr>
        <w:t xml:space="preserve">Miljönämnderna i Göteborgs kommun </w:t>
      </w:r>
      <w:r w:rsidRPr="00075492">
        <w:t>och</w:t>
      </w:r>
      <w:r w:rsidRPr="00075492">
        <w:rPr>
          <w:i/>
        </w:rPr>
        <w:t xml:space="preserve"> Malmö stad</w:t>
      </w:r>
      <w:r w:rsidRPr="00075492">
        <w:t xml:space="preserve"> anser att länsstyrelse</w:t>
      </w:r>
      <w:r w:rsidRPr="00075492">
        <w:t>r</w:t>
      </w:r>
      <w:r w:rsidRPr="00075492">
        <w:t xml:space="preserve">nas uppgifter bör utgå. </w:t>
      </w:r>
    </w:p>
    <w:p w:rsidR="00547E7E" w:rsidRPr="00075492" w:rsidRDefault="00547E7E">
      <w:r w:rsidRPr="00075492">
        <w:rPr>
          <w:i/>
        </w:rPr>
        <w:t xml:space="preserve">Länsstyrelserna i Dalarnas </w:t>
      </w:r>
      <w:r w:rsidRPr="00075492">
        <w:t>och</w:t>
      </w:r>
      <w:r w:rsidRPr="00075492">
        <w:rPr>
          <w:i/>
        </w:rPr>
        <w:t xml:space="preserve"> Gävleborgs län </w:t>
      </w:r>
      <w:r w:rsidRPr="00075492">
        <w:t>anser att länsstyrelsens up</w:t>
      </w:r>
      <w:r w:rsidRPr="00075492">
        <w:t>p</w:t>
      </w:r>
      <w:r w:rsidRPr="00075492">
        <w:t>gifter behöver förtydligas och utvecklas. Länsstyrelserna anser att det är en fördel att tillsynen utövas på regional statlig nivå. Nämnda länsstyrelser anser att Livsmedelsverkets tillsyn av livsmedelsanläggningar kan överföras till län</w:t>
      </w:r>
      <w:r w:rsidRPr="00075492">
        <w:t>s</w:t>
      </w:r>
      <w:r w:rsidRPr="00075492">
        <w:t xml:space="preserve">styrelsen. </w:t>
      </w:r>
    </w:p>
    <w:p w:rsidR="00547E7E" w:rsidRPr="00075492" w:rsidRDefault="00547E7E">
      <w:r w:rsidRPr="00075492">
        <w:rPr>
          <w:i/>
        </w:rPr>
        <w:t>Länsstyrelsen i Norrbottens län</w:t>
      </w:r>
      <w:r w:rsidRPr="00075492">
        <w:t xml:space="preserve"> anser att länsstyrelsernas uppgifter behöver förtydligas om nuvarande ansvarsfördelning mellan stat och kommun ska bestå. Om antalet veterinärer per länsstyrelse utökas finns möjligheter till både specialisering och samordning av tillsyn inom djurskydd och livsm</w:t>
      </w:r>
      <w:r w:rsidRPr="00075492">
        <w:t>e</w:t>
      </w:r>
      <w:r w:rsidRPr="00075492">
        <w:t xml:space="preserve">delstillsyn. </w:t>
      </w:r>
    </w:p>
    <w:p w:rsidR="00547E7E" w:rsidRPr="00075492" w:rsidRDefault="00547E7E">
      <w:pPr>
        <w:rPr>
          <w:i/>
        </w:rPr>
      </w:pPr>
      <w:r w:rsidRPr="00075492">
        <w:rPr>
          <w:i/>
        </w:rPr>
        <w:t>Länsstyrelsen i Östergötlands län</w:t>
      </w:r>
      <w:r w:rsidRPr="00075492">
        <w:t xml:space="preserve"> framhåller att länsstyrelsernas uppdrag behöver tydliggöras i lagstiftningen. Vidare kommenteras länsveterinärernas grundliga utbildning inom livsmedelshygien och näraliggande omr</w:t>
      </w:r>
      <w:r w:rsidRPr="00075492">
        <w:t>å</w:t>
      </w:r>
      <w:r w:rsidRPr="00075492">
        <w:t>den.</w:t>
      </w:r>
      <w:r w:rsidRPr="00075492">
        <w:rPr>
          <w:i/>
        </w:rPr>
        <w:t xml:space="preserve"> </w:t>
      </w:r>
    </w:p>
    <w:p w:rsidR="00547E7E" w:rsidRPr="00075492" w:rsidRDefault="00547E7E">
      <w:r w:rsidRPr="00075492">
        <w:rPr>
          <w:i/>
        </w:rPr>
        <w:t xml:space="preserve">Ekonomistyrningsverket </w:t>
      </w:r>
      <w:r w:rsidRPr="00075492">
        <w:t>och</w:t>
      </w:r>
      <w:r w:rsidRPr="00075492">
        <w:rPr>
          <w:i/>
        </w:rPr>
        <w:t xml:space="preserve"> Miljönämnden i Helsingborgs stad </w:t>
      </w:r>
      <w:r w:rsidRPr="00075492">
        <w:t xml:space="preserve">anser att ett beslut om länsstyrelsernas uppgifter bör föregås av ytterligare utredning. </w:t>
      </w:r>
      <w:r w:rsidRPr="00075492">
        <w:rPr>
          <w:i/>
        </w:rPr>
        <w:t>Miljönämnden i Helsingborg</w:t>
      </w:r>
      <w:r w:rsidRPr="00075492">
        <w:t xml:space="preserve"> påpekar att en förstärkning av den regionala nivån skulle kunna utgöra en resurs åt kommunerna. Även </w:t>
      </w:r>
      <w:r w:rsidRPr="00075492">
        <w:rPr>
          <w:i/>
        </w:rPr>
        <w:t>Svenska Ko</w:t>
      </w:r>
      <w:r w:rsidRPr="00075492">
        <w:rPr>
          <w:i/>
        </w:rPr>
        <w:t>m</w:t>
      </w:r>
      <w:r w:rsidRPr="00075492">
        <w:rPr>
          <w:i/>
        </w:rPr>
        <w:t>munförbundet</w:t>
      </w:r>
      <w:r w:rsidRPr="00075492">
        <w:t xml:space="preserve"> förordar en förstärkning av länsstyrelserna. Detta skulle kunna ske genom att Livsmedelsverkets statsinspektörer överförs till länsstyrelse</w:t>
      </w:r>
      <w:r w:rsidRPr="00075492">
        <w:t>r</w:t>
      </w:r>
      <w:r w:rsidRPr="00075492">
        <w:t xml:space="preserve">na. </w:t>
      </w:r>
    </w:p>
    <w:p w:rsidR="00547E7E" w:rsidRPr="00075492" w:rsidRDefault="00547E7E">
      <w:r w:rsidRPr="00075492">
        <w:rPr>
          <w:i/>
        </w:rPr>
        <w:t>Livsmedelsverket</w:t>
      </w:r>
      <w:r w:rsidRPr="00075492">
        <w:t xml:space="preserve"> anser att länsstyrelsernas uppgifter inom livsmedelstills</w:t>
      </w:r>
      <w:r w:rsidRPr="00075492">
        <w:t>y</w:t>
      </w:r>
      <w:r w:rsidRPr="00075492">
        <w:t>nen bör preciseras och tydliggöras om uppgifterna ska kvarstå. Verket anser att länsstyrelserna behöver ett resurstillskott som kompletterar befintlig vet</w:t>
      </w:r>
      <w:r w:rsidRPr="00075492">
        <w:t>e</w:t>
      </w:r>
      <w:r w:rsidRPr="00075492">
        <w:t>rinärkomp</w:t>
      </w:r>
      <w:r w:rsidRPr="00075492">
        <w:t>e</w:t>
      </w:r>
      <w:r w:rsidRPr="00075492">
        <w:t>tens.</w:t>
      </w:r>
    </w:p>
    <w:p w:rsidR="00547E7E" w:rsidRPr="00075492" w:rsidRDefault="00547E7E">
      <w:r w:rsidRPr="00075492">
        <w:rPr>
          <w:i/>
        </w:rPr>
        <w:t xml:space="preserve">Miljönämnderna i Göteborgs kommun </w:t>
      </w:r>
      <w:r w:rsidRPr="00075492">
        <w:t>och</w:t>
      </w:r>
      <w:r w:rsidRPr="00075492">
        <w:rPr>
          <w:i/>
        </w:rPr>
        <w:t xml:space="preserve"> Malmö stad </w:t>
      </w:r>
      <w:r w:rsidRPr="00075492">
        <w:t>anser att länsstyre</w:t>
      </w:r>
      <w:r w:rsidRPr="00075492">
        <w:t>l</w:t>
      </w:r>
      <w:r w:rsidRPr="00075492">
        <w:t xml:space="preserve">sernas uppgifter bör slopas. Ansvaret för livsmedelstillsynen bör fördelas mellan Livsmedelsverket och kommunerna. </w:t>
      </w:r>
    </w:p>
    <w:p w:rsidR="00547E7E" w:rsidRPr="00075492" w:rsidRDefault="00547E7E">
      <w:pPr>
        <w:pStyle w:val="R2"/>
      </w:pPr>
      <w:r w:rsidRPr="00075492">
        <w:t>Kommunernas resurser</w:t>
      </w:r>
    </w:p>
    <w:p w:rsidR="00547E7E" w:rsidRPr="00075492" w:rsidRDefault="00547E7E">
      <w:r w:rsidRPr="00075492">
        <w:t>Revisorerna föreslår</w:t>
      </w:r>
    </w:p>
    <w:p w:rsidR="00547E7E" w:rsidRPr="00075492" w:rsidRDefault="00547E7E">
      <w:pPr>
        <w:numPr>
          <w:ilvl w:val="0"/>
          <w:numId w:val="309"/>
        </w:numPr>
      </w:pPr>
      <w:r w:rsidRPr="00075492">
        <w:t>att regeringen ska lägga fram ett förslag till förändring av livsmedelsl</w:t>
      </w:r>
      <w:r w:rsidRPr="00075492">
        <w:t>a</w:t>
      </w:r>
      <w:r w:rsidRPr="00075492">
        <w:t>gen för att underlätta för kommunerna att samverka om livsmedelstil</w:t>
      </w:r>
      <w:r w:rsidRPr="00075492">
        <w:t>l</w:t>
      </w:r>
      <w:r w:rsidRPr="00075492">
        <w:t>synen</w:t>
      </w:r>
    </w:p>
    <w:p w:rsidR="00547E7E" w:rsidRPr="00075492" w:rsidRDefault="00547E7E">
      <w:pPr>
        <w:numPr>
          <w:ilvl w:val="0"/>
          <w:numId w:val="309"/>
        </w:numPr>
      </w:pPr>
      <w:r w:rsidRPr="00075492">
        <w:t>att regeringen ska kunna besluta att tillsynsansvaret för en hel kommun ska överföras till Livsmedelsverket.</w:t>
      </w:r>
    </w:p>
    <w:p w:rsidR="00547E7E" w:rsidRPr="00075492" w:rsidRDefault="00547E7E">
      <w:r w:rsidRPr="00075492">
        <w:t>Merparten av remissinstanserna tillstyrker förslaget om en förändring av livsmedelslagen för att underlätta för kommunerna att samverka med va</w:t>
      </w:r>
      <w:r w:rsidRPr="00075492">
        <w:t>r</w:t>
      </w:r>
      <w:r w:rsidRPr="00075492">
        <w:t xml:space="preserve">andra vad gäller livsmedelstillsynen. </w:t>
      </w:r>
    </w:p>
    <w:p w:rsidR="00547E7E" w:rsidRPr="00075492" w:rsidRDefault="00547E7E">
      <w:r w:rsidRPr="00075492">
        <w:rPr>
          <w:i/>
        </w:rPr>
        <w:t xml:space="preserve">Länsstyrelsen i Östergötlands län </w:t>
      </w:r>
      <w:r w:rsidRPr="00075492">
        <w:t>och</w:t>
      </w:r>
      <w:r w:rsidRPr="00075492">
        <w:rPr>
          <w:i/>
        </w:rPr>
        <w:t xml:space="preserve"> Svensk Dagligvaruhandel</w:t>
      </w:r>
      <w:r w:rsidRPr="00075492">
        <w:t xml:space="preserve"> avstyrker förslaget. </w:t>
      </w:r>
      <w:r w:rsidRPr="00075492">
        <w:rPr>
          <w:i/>
        </w:rPr>
        <w:t xml:space="preserve">Svensk Dagligvaruhandel </w:t>
      </w:r>
      <w:r w:rsidRPr="00075492">
        <w:t>föreslår att Livsmedelsverket bör ansv</w:t>
      </w:r>
      <w:r w:rsidRPr="00075492">
        <w:t>a</w:t>
      </w:r>
      <w:r w:rsidRPr="00075492">
        <w:t>ra för att en adekvat tillsynsverksamhet organiseras i resursfattiga komm</w:t>
      </w:r>
      <w:r w:rsidRPr="00075492">
        <w:t>u</w:t>
      </w:r>
      <w:r w:rsidRPr="00075492">
        <w:t xml:space="preserve">ner. </w:t>
      </w:r>
      <w:r w:rsidRPr="00075492">
        <w:rPr>
          <w:i/>
        </w:rPr>
        <w:t>Länsstyrelsen i Östergötlands län</w:t>
      </w:r>
      <w:r w:rsidRPr="00075492">
        <w:t xml:space="preserve"> föreslår att länsstyrelsen ska kunna ta över tillsynsansvar i kommunerna genom att anställa personal som verkar i flera kommuner. </w:t>
      </w:r>
    </w:p>
    <w:p w:rsidR="00547E7E" w:rsidRPr="00075492" w:rsidRDefault="00547E7E">
      <w:r w:rsidRPr="00075492">
        <w:rPr>
          <w:i/>
        </w:rPr>
        <w:t>Livsmedelsverket</w:t>
      </w:r>
      <w:r w:rsidRPr="00075492">
        <w:t xml:space="preserve"> tillstyrker förslaget men bedömer att utökade möjlighet för kommunerna att samve</w:t>
      </w:r>
      <w:r w:rsidRPr="00075492">
        <w:t>r</w:t>
      </w:r>
      <w:r w:rsidRPr="00075492">
        <w:t>ka med varandra inte skulle få nämnvärda effekter.</w:t>
      </w:r>
    </w:p>
    <w:p w:rsidR="00547E7E" w:rsidRPr="00075492" w:rsidRDefault="00547E7E">
      <w:pPr>
        <w:rPr>
          <w:i/>
        </w:rPr>
      </w:pPr>
      <w:r w:rsidRPr="00075492">
        <w:rPr>
          <w:i/>
        </w:rPr>
        <w:t>Miljö- och hälsoskyddsnämnden i Lidköpings kommun</w:t>
      </w:r>
      <w:r w:rsidRPr="00075492">
        <w:t xml:space="preserve"> betonar att en ändring av livsmedelslagen som ger kommunerna möjlighet att samverka bör införas så fort som möjligt.</w:t>
      </w:r>
    </w:p>
    <w:p w:rsidR="00547E7E" w:rsidRPr="00075492" w:rsidRDefault="00547E7E">
      <w:r w:rsidRPr="00075492">
        <w:rPr>
          <w:i/>
        </w:rPr>
        <w:t xml:space="preserve">Svenska Kommunförbundet </w:t>
      </w:r>
      <w:r w:rsidRPr="00075492">
        <w:t>och</w:t>
      </w:r>
      <w:r w:rsidRPr="00075492">
        <w:rPr>
          <w:i/>
        </w:rPr>
        <w:t xml:space="preserve"> Miljönämnden i Malmö stad </w:t>
      </w:r>
      <w:r w:rsidRPr="00075492">
        <w:t>pekar bl.a. på</w:t>
      </w:r>
      <w:r w:rsidRPr="00075492">
        <w:rPr>
          <w:i/>
        </w:rPr>
        <w:t xml:space="preserve"> </w:t>
      </w:r>
      <w:r w:rsidRPr="00075492">
        <w:t>att</w:t>
      </w:r>
      <w:r w:rsidRPr="00075492">
        <w:rPr>
          <w:i/>
        </w:rPr>
        <w:t xml:space="preserve"> </w:t>
      </w:r>
      <w:r w:rsidRPr="00075492">
        <w:t>livsmedelslagen måste harmoniseras med miljöbalken så att myndighet</w:t>
      </w:r>
      <w:r w:rsidRPr="00075492">
        <w:t>s</w:t>
      </w:r>
      <w:r w:rsidRPr="00075492">
        <w:t>utövningen inom dessa områden ger kommunerna möjlighet att samve</w:t>
      </w:r>
      <w:r w:rsidRPr="00075492">
        <w:t>r</w:t>
      </w:r>
      <w:r w:rsidRPr="00075492">
        <w:t>ka.</w:t>
      </w:r>
    </w:p>
    <w:p w:rsidR="00547E7E" w:rsidRPr="00075492" w:rsidRDefault="00547E7E">
      <w:r w:rsidRPr="00075492">
        <w:t>Vad gäller revisorernas förslag om att regeringen ska kunna besluta om att tillsynsansvaret för en hel kommun ska överföras till Livsmedelsverket är de remissinstanser som har yttrat sig i frågan negativa.</w:t>
      </w:r>
      <w:r w:rsidRPr="00075492">
        <w:rPr>
          <w:i/>
        </w:rPr>
        <w:t xml:space="preserve"> Statskontoret, Livsm</w:t>
      </w:r>
      <w:r w:rsidRPr="00075492">
        <w:rPr>
          <w:i/>
        </w:rPr>
        <w:t>e</w:t>
      </w:r>
      <w:r w:rsidRPr="00075492">
        <w:rPr>
          <w:i/>
        </w:rPr>
        <w:t xml:space="preserve">delsverket, Miljönämnden i Borlänge kommun </w:t>
      </w:r>
      <w:r w:rsidRPr="00075492">
        <w:t>och</w:t>
      </w:r>
      <w:r w:rsidRPr="00075492">
        <w:rPr>
          <w:i/>
        </w:rPr>
        <w:t xml:space="preserve"> Svenska Kommunförbu</w:t>
      </w:r>
      <w:r w:rsidRPr="00075492">
        <w:rPr>
          <w:i/>
        </w:rPr>
        <w:t>n</w:t>
      </w:r>
      <w:r w:rsidRPr="00075492">
        <w:rPr>
          <w:i/>
        </w:rPr>
        <w:t>det</w:t>
      </w:r>
      <w:r w:rsidRPr="00075492">
        <w:t xml:space="preserve"> avstyrker förslaget. Övriga remissinstanser har inte kommenterat försl</w:t>
      </w:r>
      <w:r w:rsidRPr="00075492">
        <w:t>a</w:t>
      </w:r>
      <w:r w:rsidRPr="00075492">
        <w:t>get.</w:t>
      </w:r>
    </w:p>
    <w:p w:rsidR="00547E7E" w:rsidRPr="00075492" w:rsidRDefault="00547E7E">
      <w:r w:rsidRPr="00075492">
        <w:rPr>
          <w:i/>
        </w:rPr>
        <w:t>Statskontoret</w:t>
      </w:r>
      <w:r w:rsidRPr="00075492">
        <w:t xml:space="preserve"> menar att en sådan ordning skulle motverka samarbete mellan kommunerna och innebära att två olika system upprätthålls samtidigt. Stat</w:t>
      </w:r>
      <w:r w:rsidRPr="00075492">
        <w:t>s</w:t>
      </w:r>
      <w:r w:rsidRPr="00075492">
        <w:t>kontoret föreslår att kommuner med kvalificerad personal i stället ska kunna ta hand om fler til</w:t>
      </w:r>
      <w:r w:rsidRPr="00075492">
        <w:t>l</w:t>
      </w:r>
      <w:r w:rsidRPr="00075492">
        <w:t xml:space="preserve">synsobjekt. </w:t>
      </w:r>
    </w:p>
    <w:p w:rsidR="00547E7E" w:rsidRPr="00075492" w:rsidRDefault="00547E7E">
      <w:r w:rsidRPr="00075492">
        <w:rPr>
          <w:i/>
        </w:rPr>
        <w:t>Livsmedelsverket</w:t>
      </w:r>
      <w:r w:rsidRPr="00075492">
        <w:t xml:space="preserve"> anser att det vore bättre att tydliggöra kommunernas åli</w:t>
      </w:r>
      <w:r w:rsidRPr="00075492">
        <w:t>g</w:t>
      </w:r>
      <w:r w:rsidRPr="00075492">
        <w:t>ganden och ge staten möjlighet att komma till rätta med kommuner som inte fullföljer sitt uppdrag.</w:t>
      </w:r>
    </w:p>
    <w:p w:rsidR="00547E7E" w:rsidRPr="00075492" w:rsidRDefault="00547E7E">
      <w:r w:rsidRPr="00075492">
        <w:rPr>
          <w:i/>
        </w:rPr>
        <w:t>Miljönämnden i Borlänge kommun</w:t>
      </w:r>
      <w:r w:rsidRPr="00075492">
        <w:t xml:space="preserve"> föreslår att länsstyrelsernas befogenheter utökas. Länsstyrelserna bör kunna förelägga kommunerna att initiera sama</w:t>
      </w:r>
      <w:r w:rsidRPr="00075492">
        <w:t>r</w:t>
      </w:r>
      <w:r w:rsidRPr="00075492">
        <w:t>bete med andra kommuner. Livsmedelstillsyn skulle då kunna bedrivas i en kommun av en annan kommun med bättre tillsynsresu</w:t>
      </w:r>
      <w:r w:rsidRPr="00075492">
        <w:t>r</w:t>
      </w:r>
      <w:r w:rsidRPr="00075492">
        <w:t xml:space="preserve">ser. </w:t>
      </w:r>
    </w:p>
    <w:p w:rsidR="00547E7E" w:rsidRPr="00075492" w:rsidRDefault="00547E7E">
      <w:pPr>
        <w:pStyle w:val="R2"/>
      </w:pPr>
      <w:r w:rsidRPr="00075492">
        <w:t>Rapporteringen behöver förbättras</w:t>
      </w:r>
    </w:p>
    <w:p w:rsidR="00547E7E" w:rsidRPr="00075492" w:rsidRDefault="00547E7E">
      <w:r w:rsidRPr="00075492">
        <w:t xml:space="preserve">Revisorerna föreslår </w:t>
      </w:r>
    </w:p>
    <w:p w:rsidR="00547E7E" w:rsidRPr="00075492" w:rsidRDefault="00547E7E">
      <w:pPr>
        <w:numPr>
          <w:ilvl w:val="0"/>
          <w:numId w:val="10"/>
        </w:numPr>
      </w:pPr>
      <w:r w:rsidRPr="00075492">
        <w:t>att regeringen utreder vilka sanktionsmöjligheter som är lämpliga att vidta när kommunerna inte uppfyller rapporteringskraven. En sådan sanktionsmöjlighet kan vara att vite utgår vid utebliven rapport</w:t>
      </w:r>
      <w:r w:rsidRPr="00075492">
        <w:t>e</w:t>
      </w:r>
      <w:r w:rsidRPr="00075492">
        <w:t>ring</w:t>
      </w:r>
    </w:p>
    <w:p w:rsidR="00547E7E" w:rsidRPr="00075492" w:rsidRDefault="00547E7E">
      <w:pPr>
        <w:numPr>
          <w:ilvl w:val="0"/>
          <w:numId w:val="10"/>
        </w:numPr>
      </w:pPr>
      <w:r w:rsidRPr="00075492">
        <w:t>att regeringen uppdrar åt Livsmedelsverket att vidta åtgärder för att förbättra kvaliteten i kommunernas uppgifter och vid behov göra fördj</w:t>
      </w:r>
      <w:r w:rsidRPr="00075492">
        <w:t>u</w:t>
      </w:r>
      <w:r w:rsidRPr="00075492">
        <w:t>pade analyser av resultaten</w:t>
      </w:r>
    </w:p>
    <w:p w:rsidR="00547E7E" w:rsidRPr="00075492" w:rsidRDefault="00547E7E">
      <w:pPr>
        <w:numPr>
          <w:ilvl w:val="0"/>
          <w:numId w:val="10"/>
        </w:numPr>
      </w:pPr>
      <w:r w:rsidRPr="00075492">
        <w:t>att regeringen lämnar information till riksdagen om resultatet av den offentliga tillsynen.</w:t>
      </w:r>
    </w:p>
    <w:p w:rsidR="00547E7E" w:rsidRPr="00075492" w:rsidRDefault="00547E7E">
      <w:r w:rsidRPr="00075492">
        <w:t xml:space="preserve">Med undantag för Livsmedelsverket är de remissinstanser som har uttalat sig om rapporteringen positiva till revisorernas förslag. De remissinstanser som tillstyrker förslagen är: </w:t>
      </w:r>
      <w:r w:rsidRPr="00075492">
        <w:rPr>
          <w:i/>
        </w:rPr>
        <w:t>Borlänge kommun, Helsingborgs stad, Göteborgs kommun, Malmö stad, Lidköpings kommun, Umeå kommun, Svenska Ko</w:t>
      </w:r>
      <w:r w:rsidRPr="00075492">
        <w:rPr>
          <w:i/>
        </w:rPr>
        <w:t>m</w:t>
      </w:r>
      <w:r w:rsidRPr="00075492">
        <w:rPr>
          <w:i/>
        </w:rPr>
        <w:t>munförbundet</w:t>
      </w:r>
      <w:r w:rsidRPr="00075492">
        <w:t xml:space="preserve"> och</w:t>
      </w:r>
      <w:r w:rsidRPr="00075492">
        <w:rPr>
          <w:i/>
        </w:rPr>
        <w:t xml:space="preserve"> Svensk Dagligvaruhandel.</w:t>
      </w:r>
      <w:r w:rsidRPr="00075492">
        <w:t xml:space="preserve"> </w:t>
      </w:r>
    </w:p>
    <w:p w:rsidR="00547E7E" w:rsidRPr="00075492" w:rsidRDefault="00547E7E">
      <w:r w:rsidRPr="00075492">
        <w:rPr>
          <w:i/>
        </w:rPr>
        <w:t xml:space="preserve">Livsmedelsverket </w:t>
      </w:r>
      <w:r w:rsidRPr="00075492">
        <w:t>noterar med förvåning revisorernas förslag om att frågan om sanktionsmöjligheter mot kommuner som inte uppfyller rapportering</w:t>
      </w:r>
      <w:r w:rsidRPr="00075492">
        <w:t>s</w:t>
      </w:r>
      <w:r w:rsidRPr="00075492">
        <w:t>kravet ska utredas. Verket hänvisar till att detta är en extraordinär åtgärd med hänsyn till den kommunala självstyrelsen. Livsmedelsverket anser att det är mer angeläget att komma till rätta med problem som föranleds av att ko</w:t>
      </w:r>
      <w:r w:rsidRPr="00075492">
        <w:t>m</w:t>
      </w:r>
      <w:r w:rsidRPr="00075492">
        <w:t>muner bedriver livsmedelstillsyn på en oacceptabelt låg nivå. Det nya ra</w:t>
      </w:r>
      <w:r w:rsidRPr="00075492">
        <w:t>p</w:t>
      </w:r>
      <w:r w:rsidRPr="00075492">
        <w:t>porteringssystemet kommer enligt verket att skapa möjligheter till fördjupade analyse</w:t>
      </w:r>
      <w:r w:rsidRPr="00075492">
        <w:t>r av resultaten av den ko</w:t>
      </w:r>
      <w:r w:rsidRPr="00075492">
        <w:t>m</w:t>
      </w:r>
      <w:r w:rsidRPr="00075492">
        <w:t>munala tillsynen.</w:t>
      </w:r>
    </w:p>
    <w:p w:rsidR="00547E7E" w:rsidRPr="00075492" w:rsidRDefault="00547E7E">
      <w:r w:rsidRPr="00075492">
        <w:rPr>
          <w:i/>
        </w:rPr>
        <w:t xml:space="preserve">Miljönämnden i Göteborgs kommun </w:t>
      </w:r>
      <w:r w:rsidRPr="00075492">
        <w:t>instämmer i uppfattningen om att ra</w:t>
      </w:r>
      <w:r w:rsidRPr="00075492">
        <w:t>p</w:t>
      </w:r>
      <w:r w:rsidRPr="00075492">
        <w:t>porteringssystemet behöver förbättras. Enligt förvaltningen är det en gran</w:t>
      </w:r>
      <w:r w:rsidRPr="00075492">
        <w:t>n</w:t>
      </w:r>
      <w:r w:rsidRPr="00075492">
        <w:t>laga uppgift att utforma ett rapporteringssystem som både är anpassat till Livsmedelsverkets och kommunernas behov. Varje kommun beslutar själ</w:t>
      </w:r>
      <w:r w:rsidRPr="00075492">
        <w:t>v</w:t>
      </w:r>
      <w:r w:rsidRPr="00075492">
        <w:t>ständigt om vilken redovisningsmodell som ska tillämpas för att beskriva kommunens ansvarsområdet. Svenska Kommunförbundet bör medverka vid framtagningen av ett nytt rapporteringssy</w:t>
      </w:r>
      <w:r w:rsidRPr="00075492">
        <w:t>s</w:t>
      </w:r>
      <w:r w:rsidRPr="00075492">
        <w:t xml:space="preserve">tem. </w:t>
      </w:r>
    </w:p>
    <w:p w:rsidR="00547E7E" w:rsidRPr="00075492" w:rsidRDefault="00547E7E">
      <w:r w:rsidRPr="00075492">
        <w:rPr>
          <w:i/>
        </w:rPr>
        <w:t xml:space="preserve">Sveriges hotell- och restaurangföretagare, SHR, </w:t>
      </w:r>
      <w:r w:rsidRPr="00075492">
        <w:t>anser att både lednings- och rapporteringssystemen är ofullständiga. Det är enligt SHR svårt att få ett grepp om hur det faktiskt förhåller sig på restaurangerna och vilken risk för folkhälsan som bristerna utgör. Antalet påstådda matförgiftningar bygger på enkätunderlag och skattningar. Enligt SHR behövs en samlad redovisning med sakliga analyser och riskbedömningar om hygien på Sveriges resta</w:t>
      </w:r>
      <w:r w:rsidRPr="00075492">
        <w:t>u</w:t>
      </w:r>
      <w:r w:rsidRPr="00075492">
        <w:t>ranger. Både Jordbruksdepartementet och Livsmedelsverket anser att Sverige aldrig har haft så säker mat som vi har</w:t>
      </w:r>
      <w:r w:rsidRPr="00075492">
        <w:t xml:space="preserve"> i dag. ”Restaurangnäringen vill gärna dela denna uppfattning. Men vi ser tyvärr alltför ofta rapporter om bristande hygien på restauranger och inom andra delar av storhushållsse</w:t>
      </w:r>
      <w:r w:rsidRPr="00075492">
        <w:t>k</w:t>
      </w:r>
      <w:r w:rsidRPr="00075492">
        <w:t>torn.”</w:t>
      </w:r>
    </w:p>
    <w:p w:rsidR="00547E7E" w:rsidRPr="00075492" w:rsidRDefault="00547E7E">
      <w:pPr>
        <w:pStyle w:val="R2"/>
      </w:pPr>
      <w:r w:rsidRPr="00075492">
        <w:br w:type="page"/>
        <w:t>Sanktionssystemet</w:t>
      </w:r>
    </w:p>
    <w:p w:rsidR="00547E7E" w:rsidRPr="00075492" w:rsidRDefault="00547E7E">
      <w:r w:rsidRPr="00075492">
        <w:t xml:space="preserve">Revisorerna föreslår </w:t>
      </w:r>
    </w:p>
    <w:p w:rsidR="00547E7E" w:rsidRPr="00075492" w:rsidRDefault="00547E7E">
      <w:pPr>
        <w:numPr>
          <w:ilvl w:val="0"/>
          <w:numId w:val="308"/>
        </w:numPr>
      </w:pPr>
      <w:r w:rsidRPr="00075492">
        <w:t>att regeringen uppdrar åt Livsmedelsverket att utarbeta vägledningar för ti</w:t>
      </w:r>
      <w:r w:rsidRPr="00075492">
        <w:t>l</w:t>
      </w:r>
      <w:r w:rsidRPr="00075492">
        <w:t>lämpning av sanktionssystemet</w:t>
      </w:r>
    </w:p>
    <w:p w:rsidR="00547E7E" w:rsidRPr="00075492" w:rsidRDefault="00547E7E">
      <w:pPr>
        <w:numPr>
          <w:ilvl w:val="0"/>
          <w:numId w:val="308"/>
        </w:numPr>
      </w:pPr>
      <w:r w:rsidRPr="00075492">
        <w:t>att Livsmedelsverket tillhandahåller befintligt underlag som kan vara till stöd för tillämpning i tillsynsarbetet</w:t>
      </w:r>
    </w:p>
    <w:p w:rsidR="00547E7E" w:rsidRPr="00075492" w:rsidRDefault="00547E7E">
      <w:pPr>
        <w:numPr>
          <w:ilvl w:val="0"/>
          <w:numId w:val="308"/>
        </w:numPr>
      </w:pPr>
      <w:r w:rsidRPr="00075492">
        <w:t>att regeringen uppdrar åt Livsmedelsverket att utarbeta lämplig info</w:t>
      </w:r>
      <w:r w:rsidRPr="00075492">
        <w:t>r</w:t>
      </w:r>
      <w:r w:rsidRPr="00075492">
        <w:t>mation i syfte att underlätta för kommunerna att offentliggöra resultat från tillsynen.</w:t>
      </w:r>
    </w:p>
    <w:p w:rsidR="00547E7E" w:rsidRPr="00075492" w:rsidRDefault="00547E7E">
      <w:r w:rsidRPr="00075492">
        <w:t>Remissinstanserna tillstyrker revisorernas förslag. Flera instanser föreslår att en san</w:t>
      </w:r>
      <w:r w:rsidRPr="00075492">
        <w:t>k</w:t>
      </w:r>
      <w:r w:rsidRPr="00075492">
        <w:t xml:space="preserve">tionsavgift ska övervägas. </w:t>
      </w:r>
    </w:p>
    <w:p w:rsidR="00547E7E" w:rsidRPr="00075492" w:rsidRDefault="00547E7E">
      <w:r w:rsidRPr="00075492">
        <w:rPr>
          <w:i/>
        </w:rPr>
        <w:t xml:space="preserve">Livsmedelsverket </w:t>
      </w:r>
      <w:r w:rsidRPr="00075492">
        <w:t>delar revisorernas uppfattning att informationen till ko</w:t>
      </w:r>
      <w:r w:rsidRPr="00075492">
        <w:t>m</w:t>
      </w:r>
      <w:r w:rsidRPr="00075492">
        <w:t>munerna om tillämpningen av sanktionssystemet behöver förbättras. Verket bör ha till uppgift att utforma grundläggande information om sanktionss</w:t>
      </w:r>
      <w:r w:rsidRPr="00075492">
        <w:t>y</w:t>
      </w:r>
      <w:r w:rsidRPr="00075492">
        <w:t>stemet. Däremot inte ge råd i konkreta ärenden.</w:t>
      </w:r>
    </w:p>
    <w:p w:rsidR="00547E7E" w:rsidRPr="00075492" w:rsidRDefault="00547E7E">
      <w:r w:rsidRPr="00075492">
        <w:rPr>
          <w:i/>
        </w:rPr>
        <w:t xml:space="preserve">Länsstyrelsen i Norrbottens län </w:t>
      </w:r>
      <w:r w:rsidRPr="00075492">
        <w:t>anser att sanktionsmöjligheterna inte utnyt</w:t>
      </w:r>
      <w:r w:rsidRPr="00075492">
        <w:t>t</w:t>
      </w:r>
      <w:r w:rsidRPr="00075492">
        <w:t xml:space="preserve">jas i tillräcklig omfattning. Det kan bero på bristande juridisk kunskap i kommunerna. Även personliga kontakter med näringsidkarna kan motverka att sanktioner används. </w:t>
      </w:r>
    </w:p>
    <w:p w:rsidR="00547E7E" w:rsidRPr="00075492" w:rsidRDefault="00547E7E">
      <w:r w:rsidRPr="00075492">
        <w:rPr>
          <w:i/>
        </w:rPr>
        <w:t xml:space="preserve">Miljönämnden i Borlänge kommun </w:t>
      </w:r>
      <w:r w:rsidRPr="00075492">
        <w:t>anser att det finns behov av juridisk ko</w:t>
      </w:r>
      <w:r w:rsidRPr="00075492">
        <w:t>m</w:t>
      </w:r>
      <w:r w:rsidRPr="00075492">
        <w:t xml:space="preserve">petens inom livsmedelsområdet på regional nivå. Enligt nämnden borde länsstyrelserna därför få utökade resurser. </w:t>
      </w:r>
    </w:p>
    <w:p w:rsidR="00547E7E" w:rsidRPr="00075492" w:rsidRDefault="00547E7E">
      <w:r w:rsidRPr="00075492">
        <w:rPr>
          <w:i/>
        </w:rPr>
        <w:t xml:space="preserve">Miljönämnden i Göteborgs kommun </w:t>
      </w:r>
      <w:r w:rsidRPr="00075492">
        <w:t xml:space="preserve">anser att anmälningar enligt brott mot livsmedelslagstiftningen skulle kunna handläggas av en särskild avdelning vid åklagarmyndigheten. För miljö- och hälsoskydd finns enligt miljöbalken särskilda miljöåklagare och miljöpoliser. </w:t>
      </w:r>
    </w:p>
    <w:p w:rsidR="00547E7E" w:rsidRPr="00075492" w:rsidRDefault="00547E7E">
      <w:r w:rsidRPr="00075492">
        <w:rPr>
          <w:i/>
        </w:rPr>
        <w:t>Svenska Kommunförbundet, Bodens kommun, Göteborgs kommun, Helsin</w:t>
      </w:r>
      <w:r w:rsidRPr="00075492">
        <w:rPr>
          <w:i/>
        </w:rPr>
        <w:t>g</w:t>
      </w:r>
      <w:r w:rsidRPr="00075492">
        <w:rPr>
          <w:i/>
        </w:rPr>
        <w:t xml:space="preserve">borgs stad, Malmö stad </w:t>
      </w:r>
      <w:r w:rsidRPr="00075492">
        <w:t>och</w:t>
      </w:r>
      <w:r w:rsidRPr="00075492">
        <w:rPr>
          <w:i/>
        </w:rPr>
        <w:t xml:space="preserve"> Umeå kommun</w:t>
      </w:r>
      <w:r w:rsidRPr="00075492">
        <w:t xml:space="preserve"> framhåller att enklare former av sanktioner t.ex. sanktionsavgift bör övervägas. Sanktionsavgift används inom miljötillsynen. </w:t>
      </w:r>
      <w:r w:rsidRPr="00075492">
        <w:rPr>
          <w:i/>
        </w:rPr>
        <w:t xml:space="preserve">Miljönämnden i Helsingborgs stad </w:t>
      </w:r>
      <w:r w:rsidRPr="00075492">
        <w:t>understryker särskilt b</w:t>
      </w:r>
      <w:r w:rsidRPr="00075492">
        <w:t>e</w:t>
      </w:r>
      <w:r w:rsidRPr="00075492">
        <w:t xml:space="preserve">hovet av enklare sanktioner. </w:t>
      </w:r>
    </w:p>
    <w:p w:rsidR="00547E7E" w:rsidRPr="00075492" w:rsidRDefault="00547E7E">
      <w:r w:rsidRPr="00075492">
        <w:rPr>
          <w:i/>
        </w:rPr>
        <w:t>Miljönämnden i Malmö stad</w:t>
      </w:r>
      <w:r w:rsidRPr="00075492">
        <w:t xml:space="preserve"> förordar att även andra former av sanktionsa</w:t>
      </w:r>
      <w:r w:rsidRPr="00075492">
        <w:t>v</w:t>
      </w:r>
      <w:r w:rsidRPr="00075492">
        <w:t>gifter utreds. Som exempel nämns parkeringsavgift, som används vid små förseelser i Danmark. Även den danska modellen med ”smilgubbar” bör utredas.</w:t>
      </w:r>
    </w:p>
    <w:p w:rsidR="00547E7E" w:rsidRPr="00075492" w:rsidRDefault="00547E7E">
      <w:r w:rsidRPr="00075492">
        <w:rPr>
          <w:i/>
        </w:rPr>
        <w:t xml:space="preserve">Svensk Dagligvaruhandel </w:t>
      </w:r>
      <w:r w:rsidRPr="00075492">
        <w:t xml:space="preserve">anser att vitesföreläggande är en bra metod för att komma till rätta med brister. </w:t>
      </w:r>
    </w:p>
    <w:p w:rsidR="00547E7E" w:rsidRPr="00075492" w:rsidRDefault="00547E7E">
      <w:pPr>
        <w:pStyle w:val="R2"/>
      </w:pPr>
      <w:r w:rsidRPr="00075492">
        <w:t>Kommissionens utvärdering av livsmedelstillsynen i Sverige</w:t>
      </w:r>
    </w:p>
    <w:p w:rsidR="00547E7E" w:rsidRPr="00075492" w:rsidRDefault="00547E7E">
      <w:r w:rsidRPr="00075492">
        <w:t>Revisorerna föreslår att regeringen uppdrar åt Livsmedelsverket att i sin årsredovisning dels redovisa EU-kommissionens synpunkter på livsm</w:t>
      </w:r>
      <w:r w:rsidRPr="00075492">
        <w:t>e</w:t>
      </w:r>
      <w:r w:rsidRPr="00075492">
        <w:t>delstillsynen i Sverige, dels redovisa vilka åtgärder som verket har vidtagit med anledning av ko</w:t>
      </w:r>
      <w:r w:rsidRPr="00075492">
        <w:t>m</w:t>
      </w:r>
      <w:r w:rsidRPr="00075492">
        <w:t>missionens kritik.</w:t>
      </w:r>
    </w:p>
    <w:p w:rsidR="00547E7E" w:rsidRPr="00075492" w:rsidRDefault="00547E7E">
      <w:r w:rsidRPr="00075492">
        <w:t>Med undantag för Livsmedelsverket tillstyrker remissinstanserna revisore</w:t>
      </w:r>
      <w:r w:rsidRPr="00075492">
        <w:t>r</w:t>
      </w:r>
      <w:r w:rsidRPr="00075492">
        <w:t>nas förslag.</w:t>
      </w:r>
    </w:p>
    <w:p w:rsidR="00547E7E" w:rsidRPr="00075492" w:rsidRDefault="00547E7E">
      <w:r w:rsidRPr="00075492">
        <w:rPr>
          <w:i/>
        </w:rPr>
        <w:t xml:space="preserve">Livsmedelsverket </w:t>
      </w:r>
      <w:r w:rsidRPr="00075492">
        <w:t>avvisar revisorernas förslag. Enligt Livsmedelsverket red</w:t>
      </w:r>
      <w:r w:rsidRPr="00075492">
        <w:t>o</w:t>
      </w:r>
      <w:r w:rsidRPr="00075492">
        <w:t>visar kommissionen vanligtvis sina iakttagelser på ett mycket tekniskt och detaljerat sätt. Med hänsyn till regeringens instruktion för hur en myndighets årsredovisning ska utformas är det endast möjligt att i årsredovisningen redovisa den viktigaste kritiken från kommissionen och de viktigaste åtgä</w:t>
      </w:r>
      <w:r w:rsidRPr="00075492">
        <w:t>r</w:t>
      </w:r>
      <w:r w:rsidRPr="00075492">
        <w:t xml:space="preserve">derna, däremot inte samtliga punkter som kommissionen har kritiserat. </w:t>
      </w:r>
    </w:p>
    <w:p w:rsidR="00547E7E" w:rsidRPr="00075492" w:rsidRDefault="00547E7E">
      <w:pPr>
        <w:pStyle w:val="R2"/>
      </w:pPr>
      <w:r w:rsidRPr="00075492">
        <w:t>Ansvarsfördelningen mellan stat och kommun</w:t>
      </w:r>
    </w:p>
    <w:p w:rsidR="00547E7E" w:rsidRPr="00075492" w:rsidRDefault="00547E7E">
      <w:r w:rsidRPr="00075492">
        <w:t>Revisorerna har inte funnit några motiv till att överväga en radikalt ändrad ansvarsfördelning mellan stat och kommun för livsmedelstillsynen. Närhet</w:t>
      </w:r>
      <w:r w:rsidRPr="00075492">
        <w:t>s</w:t>
      </w:r>
      <w:r w:rsidRPr="00075492">
        <w:t>principen och effektivitetsskäl talar för en fortsatt kommunal livsmedelstil</w:t>
      </w:r>
      <w:r w:rsidRPr="00075492">
        <w:t>l</w:t>
      </w:r>
      <w:r w:rsidRPr="00075492">
        <w:t xml:space="preserve">syn. </w:t>
      </w:r>
    </w:p>
    <w:p w:rsidR="00547E7E" w:rsidRPr="00075492" w:rsidRDefault="00547E7E">
      <w:r w:rsidRPr="00075492">
        <w:rPr>
          <w:i/>
        </w:rPr>
        <w:t>Samtliga kommuner, Svenska Kommunförbundet, Statskontoret, länsstyre</w:t>
      </w:r>
      <w:r w:rsidRPr="00075492">
        <w:rPr>
          <w:i/>
        </w:rPr>
        <w:t>l</w:t>
      </w:r>
      <w:r w:rsidRPr="00075492">
        <w:rPr>
          <w:i/>
        </w:rPr>
        <w:t xml:space="preserve">serna i Dalarnas och Gävleborgs län </w:t>
      </w:r>
      <w:r w:rsidRPr="00075492">
        <w:t>anser i likhet med revisorerna att nuv</w:t>
      </w:r>
      <w:r w:rsidRPr="00075492">
        <w:t>a</w:t>
      </w:r>
      <w:r w:rsidRPr="00075492">
        <w:t xml:space="preserve">rande ansvarsfördelning mellan stat och kommun för livsmedelstillsynen bör bestå. Statskontoret förordar en utökad decentralisering till kommunerna medan nämnda länsstyrelser anser att operativt tillsynsansvar bör överföras från Livsmedelsverket till länsstyrelserna. </w:t>
      </w:r>
      <w:r w:rsidRPr="00075492">
        <w:rPr>
          <w:i/>
        </w:rPr>
        <w:t xml:space="preserve">Livsmedelsverket, bransch- och konsumentorganisationer, länsstyrelserna i Östergötlands och Norrbottens län </w:t>
      </w:r>
      <w:r w:rsidRPr="00075492">
        <w:t>anser att livsmedelstillsynen bör förstatligas. Länsstyrelse</w:t>
      </w:r>
      <w:r w:rsidRPr="00075492">
        <w:t>rna i Östergö</w:t>
      </w:r>
      <w:r w:rsidRPr="00075492">
        <w:t>t</w:t>
      </w:r>
      <w:r w:rsidRPr="00075492">
        <w:t xml:space="preserve">lands och Norrbottens län anser att styrelserna bör överta tillsynsansvaret från kommunerna. </w:t>
      </w:r>
      <w:r w:rsidRPr="00075492">
        <w:rPr>
          <w:i/>
        </w:rPr>
        <w:t xml:space="preserve">Miljö- och hälsoskyddsförvaltningen i Kristinehamns kommun </w:t>
      </w:r>
      <w:r w:rsidRPr="00075492">
        <w:t>och</w:t>
      </w:r>
      <w:r w:rsidRPr="00075492">
        <w:rPr>
          <w:i/>
        </w:rPr>
        <w:t xml:space="preserve"> Naturvetareförbundet</w:t>
      </w:r>
      <w:r w:rsidRPr="00075492">
        <w:t xml:space="preserve"> förordar ett statligt huvudmannaskap för miljö- och livsmedel</w:t>
      </w:r>
      <w:r w:rsidRPr="00075492">
        <w:t>s</w:t>
      </w:r>
      <w:r w:rsidRPr="00075492">
        <w:t>tillsyn samt djurskydd.</w:t>
      </w:r>
    </w:p>
    <w:p w:rsidR="00547E7E" w:rsidRPr="00075492" w:rsidRDefault="00547E7E">
      <w:r w:rsidRPr="00075492">
        <w:rPr>
          <w:i/>
        </w:rPr>
        <w:t xml:space="preserve">Livsmedelsverket </w:t>
      </w:r>
      <w:r w:rsidRPr="00075492">
        <w:t>saknar en djupare analys som visar att målet om en effektiv och likvärdig livsmedelstillsyn i kommunerna skulle kunna uppnås även om revisorernas olika förslag genomförs. Verket anser att behovet av lokalkä</w:t>
      </w:r>
      <w:r w:rsidRPr="00075492">
        <w:t>n</w:t>
      </w:r>
      <w:r w:rsidRPr="00075492">
        <w:t>nedom kan tillgodoses inom en statlig organisation. Vidare framhålls att det är svårt att garantera en oberoende myndighetsutövning i kommunerna g</w:t>
      </w:r>
      <w:r w:rsidRPr="00075492">
        <w:t>e</w:t>
      </w:r>
      <w:r w:rsidRPr="00075492">
        <w:t>nom närheten till tillsynsobjekten. Beroendeförhållanden i den kommunala tillsynen är enligt verket svåra att upptäcka och hantera. Enligt verket är jävsförhå</w:t>
      </w:r>
      <w:r w:rsidRPr="00075492">
        <w:t>llanden enklare att komma till rätta med. Livsmedelsverket anser att tillsyn förutsätter hög kompetens. ”Verket ifrågasätter dock starkt om i</w:t>
      </w:r>
      <w:r w:rsidRPr="00075492">
        <w:t>n</w:t>
      </w:r>
      <w:r w:rsidRPr="00075492">
        <w:t xml:space="preserve">spektörer har möjlighet att upprätthålla erforderlig kompetens på mer än ett tillsynsområde.” Livsmedelsverket bedömer att det behövs ett resurstillskott på alla nivåer oavsett organisation. </w:t>
      </w:r>
    </w:p>
    <w:p w:rsidR="00547E7E" w:rsidRPr="00075492" w:rsidRDefault="00547E7E">
      <w:r w:rsidRPr="00075492">
        <w:rPr>
          <w:i/>
        </w:rPr>
        <w:t xml:space="preserve">Livsmedelsföretagen </w:t>
      </w:r>
      <w:r w:rsidRPr="00075492">
        <w:t>förordar ett regionalt statligt system. Det skulle, enligt företagen, ”ge en effektiv likvärdig och konkurrensneutral tillsyn i en organ</w:t>
      </w:r>
      <w:r w:rsidRPr="00075492">
        <w:t>i</w:t>
      </w:r>
      <w:r w:rsidRPr="00075492">
        <w:t>sation som kan samordna hela rikets insatser, utan att strida mot närhetskr</w:t>
      </w:r>
      <w:r w:rsidRPr="00075492">
        <w:t>a</w:t>
      </w:r>
      <w:r w:rsidRPr="00075492">
        <w:t>vet.” Livsmedelsföretagen framhåller riskerna med att en bristande samor</w:t>
      </w:r>
      <w:r w:rsidRPr="00075492">
        <w:t>d</w:t>
      </w:r>
      <w:r w:rsidRPr="00075492">
        <w:t>ning mellan kommunerna medför otillfredsställande enhetlighet i tillsynen. Livsmedelsföretagen avfärdar uppfattningen om att det finns möjlighet att tillvarata samordningsvinster med annan kommunal verksamhet. Vidare framhålls</w:t>
      </w:r>
      <w:r w:rsidRPr="00075492">
        <w:t xml:space="preserve"> risken för jäv inom en kommun, då man har ansvaret för drift och tillsyn för objekt. Dessutom anser man att konflikter kan uppstå mellan til</w:t>
      </w:r>
      <w:r w:rsidRPr="00075492">
        <w:t>l</w:t>
      </w:r>
      <w:r w:rsidRPr="00075492">
        <w:t>synskraven på företag och intresse att främja näringslivet. Andra argument som framförs är att tillsynen i Norge, Danmark och Nederländerna har fö</w:t>
      </w:r>
      <w:r w:rsidRPr="00075492">
        <w:t>r</w:t>
      </w:r>
      <w:r w:rsidRPr="00075492">
        <w:t>statl</w:t>
      </w:r>
      <w:r w:rsidRPr="00075492">
        <w:t>i</w:t>
      </w:r>
      <w:r w:rsidRPr="00075492">
        <w:t>gats eller kommer att bli statlig.</w:t>
      </w:r>
    </w:p>
    <w:p w:rsidR="00547E7E" w:rsidRPr="00075492" w:rsidRDefault="00547E7E">
      <w:r w:rsidRPr="00075492">
        <w:rPr>
          <w:i/>
        </w:rPr>
        <w:t>Svensk Dagligvaruhandel</w:t>
      </w:r>
      <w:r w:rsidRPr="00075492">
        <w:t xml:space="preserve"> anser att det är viktigt med ett tydligt huvudma</w:t>
      </w:r>
      <w:r w:rsidRPr="00075492">
        <w:t>n</w:t>
      </w:r>
      <w:r w:rsidRPr="00075492">
        <w:t xml:space="preserve">naskap, vilket enklast genomförs med ett statligt huvudmannaskap. </w:t>
      </w:r>
    </w:p>
    <w:p w:rsidR="00547E7E" w:rsidRPr="00075492" w:rsidRDefault="00547E7E">
      <w:r w:rsidRPr="00075492">
        <w:rPr>
          <w:i/>
        </w:rPr>
        <w:t xml:space="preserve">Sveriges hotell- och restaurangföretagare </w:t>
      </w:r>
      <w:r w:rsidRPr="00075492">
        <w:t>anser att Livsmedelsverket bör få ett tydligare ledningsansvar för livsmedelstillsynen i Sv</w:t>
      </w:r>
      <w:r w:rsidRPr="00075492">
        <w:t>e</w:t>
      </w:r>
      <w:r w:rsidRPr="00075492">
        <w:t xml:space="preserve">rige. </w:t>
      </w:r>
    </w:p>
    <w:p w:rsidR="00547E7E" w:rsidRPr="00075492" w:rsidRDefault="00547E7E">
      <w:r w:rsidRPr="00075492">
        <w:rPr>
          <w:i/>
        </w:rPr>
        <w:t xml:space="preserve">Svenska Celiakiförbundet </w:t>
      </w:r>
      <w:r w:rsidRPr="00075492">
        <w:t>och</w:t>
      </w:r>
      <w:r w:rsidRPr="00075492">
        <w:rPr>
          <w:i/>
        </w:rPr>
        <w:t xml:space="preserve"> Sveriges Konsumentråd </w:t>
      </w:r>
      <w:r w:rsidRPr="00075492">
        <w:t>anser att Livsmedel</w:t>
      </w:r>
      <w:r w:rsidRPr="00075492">
        <w:t>s</w:t>
      </w:r>
      <w:r w:rsidRPr="00075492">
        <w:t xml:space="preserve">verket bör få ansvaret för all livsmedelstillsyn. De skäl som framförs är kommunernas bristande resurser, tillsynsansvar för egen verksamhet, bristande kompetens, jävsituationer och arbetsmarknadspolitisk hänsyn. </w:t>
      </w:r>
    </w:p>
    <w:p w:rsidR="00547E7E" w:rsidRPr="00075492" w:rsidRDefault="00547E7E">
      <w:r w:rsidRPr="00075492">
        <w:rPr>
          <w:i/>
        </w:rPr>
        <w:t xml:space="preserve">Länsstyrelsen i Östergötlands län </w:t>
      </w:r>
      <w:r w:rsidRPr="00075492">
        <w:t>förordar en statlig regional organisation. Länsstyrelserna bör då överta tillsynsansvaret från kommunerna. Styrelsen framhåller att det finns nackdelar med att tillsyn utövas i alltför nära anslu</w:t>
      </w:r>
      <w:r w:rsidRPr="00075492">
        <w:t>t</w:t>
      </w:r>
      <w:r w:rsidRPr="00075492">
        <w:t>ning till den ver</w:t>
      </w:r>
      <w:r w:rsidRPr="00075492">
        <w:t>k</w:t>
      </w:r>
      <w:r w:rsidRPr="00075492">
        <w:t>samhet som ska kontrolleras.</w:t>
      </w:r>
    </w:p>
    <w:p w:rsidR="00547E7E" w:rsidRPr="00075492" w:rsidRDefault="00547E7E">
      <w:r w:rsidRPr="00075492">
        <w:rPr>
          <w:i/>
        </w:rPr>
        <w:t xml:space="preserve">Länsstyrelsen i Norrbottens län </w:t>
      </w:r>
      <w:r w:rsidRPr="00075492">
        <w:t>förespråkar en statlig regional organisation. Länsstyrelserna bör då överta tillsynsansvaret från kommunerna. Vidare sägs att orsaken till att tillsynen varierar kraftigt i olika kommuner är att större beslut fattas av politiker. De är många gånger inte insatta i sakfrågorna och de kan ha personliga relationer till de företag som berörs av besluten.</w:t>
      </w:r>
    </w:p>
    <w:p w:rsidR="00547E7E" w:rsidRPr="00075492" w:rsidRDefault="00547E7E">
      <w:r w:rsidRPr="00075492">
        <w:rPr>
          <w:i/>
        </w:rPr>
        <w:t xml:space="preserve">Länsstyrelserna i Dalarnas och Gävleborgs län </w:t>
      </w:r>
      <w:r w:rsidRPr="00075492">
        <w:t>anser att</w:t>
      </w:r>
      <w:r w:rsidRPr="00075492">
        <w:rPr>
          <w:i/>
        </w:rPr>
        <w:t xml:space="preserve"> </w:t>
      </w:r>
      <w:r w:rsidRPr="00075492">
        <w:t>livsmedelstillsyn även fortsättningsvis ska åligga kommuner och länsstyrelser, med ett tydlig</w:t>
      </w:r>
      <w:r w:rsidRPr="00075492">
        <w:t>a</w:t>
      </w:r>
      <w:r w:rsidRPr="00075492">
        <w:t>re mandat för de senare. Enligt länsstyrelserna utförs tillsynen bäst där det finns stor lokalkännedom.</w:t>
      </w:r>
      <w:r w:rsidRPr="00075492">
        <w:rPr>
          <w:i/>
        </w:rPr>
        <w:t xml:space="preserve"> </w:t>
      </w:r>
      <w:r w:rsidRPr="00075492">
        <w:t>Livsmedelsverket bör kunna överföra tillsynsa</w:t>
      </w:r>
      <w:r w:rsidRPr="00075492">
        <w:t>n</w:t>
      </w:r>
      <w:r w:rsidRPr="00075492">
        <w:t>svar för objekt till länsstyrelserna.</w:t>
      </w:r>
      <w:r w:rsidRPr="00075492">
        <w:rPr>
          <w:i/>
        </w:rPr>
        <w:t xml:space="preserve"> Länsstyrelsen i Gävleborg </w:t>
      </w:r>
      <w:r w:rsidRPr="00075492">
        <w:t>framhåller att Livsmedelsverket borde kontakta länsveterinären t.ex. när allvarliga brister i tillsynen konstaterats och påtala detta förhållande. ”Enligt länsveterinären har en sådan dialog int</w:t>
      </w:r>
      <w:r w:rsidRPr="00075492">
        <w:t>e förekommit under dennes tjänstetid.” Länsstyrelsen anser att en samordnande kommunal inspektör skulle kunna knytas till län</w:t>
      </w:r>
      <w:r w:rsidRPr="00075492">
        <w:t>s</w:t>
      </w:r>
      <w:r w:rsidRPr="00075492">
        <w:t>styrelsen för att utöka samordningsinsatserna mellan kommunerna och län</w:t>
      </w:r>
      <w:r w:rsidRPr="00075492">
        <w:t>s</w:t>
      </w:r>
      <w:r w:rsidRPr="00075492">
        <w:t>styre</w:t>
      </w:r>
      <w:r w:rsidRPr="00075492">
        <w:t>l</w:t>
      </w:r>
      <w:r w:rsidRPr="00075492">
        <w:t>serna.</w:t>
      </w:r>
    </w:p>
    <w:p w:rsidR="00547E7E" w:rsidRPr="00075492" w:rsidRDefault="00547E7E">
      <w:r w:rsidRPr="00075492">
        <w:rPr>
          <w:i/>
        </w:rPr>
        <w:t>Miljönämnden i Göteborgs kommun</w:t>
      </w:r>
      <w:r w:rsidRPr="00075492">
        <w:t xml:space="preserve"> pekar på att stora samordningsvinster kan göras med andra kommunala ansvarsområden. Vidare betonas vikten av ett lokalt ansvarstagande för samhälleliga funktioner inte minst inom förval</w:t>
      </w:r>
      <w:r w:rsidRPr="00075492">
        <w:t>t</w:t>
      </w:r>
      <w:r w:rsidRPr="00075492">
        <w:t>ningens eget verksamhetsområde. Uppfattningen grundas på ståndpunkten att ansvarsfördelningen mellan stat och kommun bör vara sådan att beslut fattas i så nära anslutning till de människor och verksamheter som berörs av b</w:t>
      </w:r>
      <w:r w:rsidRPr="00075492">
        <w:t>e</w:t>
      </w:r>
      <w:r w:rsidRPr="00075492">
        <w:t>sluten. Nämnden lyfter fram regeringens uttalande i förarbetena till miljöba</w:t>
      </w:r>
      <w:r w:rsidRPr="00075492">
        <w:t>l</w:t>
      </w:r>
      <w:r w:rsidRPr="00075492">
        <w:t>ken om att tillsynen i stö</w:t>
      </w:r>
      <w:r w:rsidRPr="00075492">
        <w:t>rre utsträckning än tidigare bör utövas av komm</w:t>
      </w:r>
      <w:r w:rsidRPr="00075492">
        <w:t>u</w:t>
      </w:r>
      <w:r w:rsidRPr="00075492">
        <w:t>nerna. Statens roll i den löpande tillsynen bör då vara att stödja de komm</w:t>
      </w:r>
      <w:r w:rsidRPr="00075492">
        <w:t>u</w:t>
      </w:r>
      <w:r w:rsidRPr="00075492">
        <w:t>nala tillsynsmyndigheterna eller ingripa då tillsynen i något fall inte sköts. Enligt nämnden kan samma resonemang appliceras på livsmedelstil</w:t>
      </w:r>
      <w:r w:rsidRPr="00075492">
        <w:t>l</w:t>
      </w:r>
      <w:r w:rsidRPr="00075492">
        <w:t>syn.</w:t>
      </w:r>
    </w:p>
    <w:p w:rsidR="00547E7E" w:rsidRPr="00075492" w:rsidRDefault="00547E7E">
      <w:r w:rsidRPr="00075492">
        <w:rPr>
          <w:i/>
        </w:rPr>
        <w:t>Miljönämnden i Helsingborgs stad</w:t>
      </w:r>
      <w:r w:rsidRPr="00075492">
        <w:t xml:space="preserve"> anser att livsmedelstillsynen bör vara en kommunal uppgift. Denna uppfattning har stärkts ytterligare efter vad som framkommit i revisorernas rapport.</w:t>
      </w:r>
    </w:p>
    <w:p w:rsidR="00547E7E" w:rsidRPr="00075492" w:rsidRDefault="00547E7E">
      <w:r w:rsidRPr="00075492">
        <w:rPr>
          <w:i/>
        </w:rPr>
        <w:t xml:space="preserve">Miljöförvaltningen i Kristinehamns kommun </w:t>
      </w:r>
      <w:r w:rsidRPr="00075492">
        <w:t>anser att det vore olyckligt att rycka livsmedelstillsynen ur sitt tillsynssammanhang på miljöförvaltningen medan övrig tillsyn skulle ligga kvar inom kommunen. Däremot kan överv</w:t>
      </w:r>
      <w:r w:rsidRPr="00075492">
        <w:t>ä</w:t>
      </w:r>
      <w:r w:rsidRPr="00075492">
        <w:t xml:space="preserve">gas om hela tillsynen inom miljö- och hälsoskyddsområdet eller motsvarande bör förstatligas. </w:t>
      </w:r>
    </w:p>
    <w:p w:rsidR="00547E7E" w:rsidRPr="00075492" w:rsidRDefault="00547E7E">
      <w:r w:rsidRPr="00075492">
        <w:rPr>
          <w:i/>
        </w:rPr>
        <w:t>Miljö- och hälsoskyddsnämnden i Lidköpings kommun</w:t>
      </w:r>
      <w:r w:rsidRPr="00075492">
        <w:t xml:space="preserve"> understryker särskilt att närhetsprincipen och effektivitetsskäl talar för en fortsatt kommunal til</w:t>
      </w:r>
      <w:r w:rsidRPr="00075492">
        <w:t>l</w:t>
      </w:r>
      <w:r w:rsidRPr="00075492">
        <w:t>syn.</w:t>
      </w:r>
    </w:p>
    <w:p w:rsidR="00547E7E" w:rsidRPr="00075492" w:rsidRDefault="00547E7E">
      <w:r w:rsidRPr="00075492">
        <w:rPr>
          <w:i/>
        </w:rPr>
        <w:t>Svenska Kommunförbundet</w:t>
      </w:r>
      <w:r w:rsidRPr="00075492">
        <w:t xml:space="preserve"> påpekar att det finns en stark vilja hos komm</w:t>
      </w:r>
      <w:r w:rsidRPr="00075492">
        <w:t>u</w:t>
      </w:r>
      <w:r w:rsidRPr="00075492">
        <w:t>nerna att ta ansvar för att garantera medborgarna en god livsmedelskvalitet. Förbundet avvisar tankarna om att förstatliga til</w:t>
      </w:r>
      <w:r w:rsidRPr="00075492">
        <w:t>l</w:t>
      </w:r>
      <w:r w:rsidRPr="00075492">
        <w:t>synen.</w:t>
      </w:r>
    </w:p>
    <w:p w:rsidR="00547E7E" w:rsidRPr="00075492" w:rsidRDefault="00547E7E">
      <w:pPr>
        <w:rPr>
          <w:i/>
        </w:rPr>
      </w:pPr>
      <w:r w:rsidRPr="00075492">
        <w:rPr>
          <w:i/>
        </w:rPr>
        <w:t xml:space="preserve">Ekonomistyrningsverket </w:t>
      </w:r>
      <w:r w:rsidRPr="00075492">
        <w:t>framhåller betydelsen av att det finns utrymme för lokala lösningar. Det bör vara möjligt för annan kommun och Livsmedel</w:t>
      </w:r>
      <w:r w:rsidRPr="00075492">
        <w:t>s</w:t>
      </w:r>
      <w:r w:rsidRPr="00075492">
        <w:t>verket att utföra tillsyn i en kommun om det t.ex. finns risk för jävssituati</w:t>
      </w:r>
      <w:r w:rsidRPr="00075492">
        <w:t>o</w:t>
      </w:r>
      <w:r w:rsidRPr="00075492">
        <w:t>ner i tillsynen.</w:t>
      </w:r>
      <w:r w:rsidRPr="00075492">
        <w:rPr>
          <w:i/>
        </w:rPr>
        <w:t xml:space="preserve"> </w:t>
      </w:r>
    </w:p>
    <w:p w:rsidR="00547E7E" w:rsidRPr="00075492" w:rsidRDefault="00547E7E">
      <w:pPr>
        <w:pStyle w:val="R2"/>
      </w:pPr>
      <w:r w:rsidRPr="00075492">
        <w:t>Övriga synpunkter</w:t>
      </w:r>
    </w:p>
    <w:p w:rsidR="00547E7E" w:rsidRPr="00075492" w:rsidRDefault="00547E7E">
      <w:r w:rsidRPr="00075492">
        <w:rPr>
          <w:i/>
        </w:rPr>
        <w:t xml:space="preserve">Konsumentorganisationerna </w:t>
      </w:r>
      <w:r w:rsidRPr="00075492">
        <w:t xml:space="preserve">redovisar ett exempel där ett 50-tal personer insjuknade efter att ha blivit smittade av listeriabakterier. Enligt förbundet hade Livsmedelsverket uppmanat kommunen att belägga producenten med saluförbud, men kommunen hade inte gjort detta. Även </w:t>
      </w:r>
      <w:r w:rsidRPr="00075492">
        <w:rPr>
          <w:i/>
        </w:rPr>
        <w:t>Livsmedelsföretagen</w:t>
      </w:r>
      <w:r w:rsidRPr="00075492">
        <w:t xml:space="preserve"> anger att de har erfarit att ett ärende om felaktig märkning ”hade vandrat” mellan en kommunal myndighet och Livsmedelsverket under två års tid innan rättelse kunnat uppnås. Enligt företagen var skälet att kommunen inte ville ta beslut i ärendet.</w:t>
      </w:r>
      <w:r w:rsidRPr="00075492">
        <w:t xml:space="preserve"> </w:t>
      </w:r>
    </w:p>
    <w:p w:rsidR="00547E7E" w:rsidRPr="00075492" w:rsidRDefault="00547E7E">
      <w:r w:rsidRPr="00075492">
        <w:rPr>
          <w:i/>
        </w:rPr>
        <w:t xml:space="preserve">Lillemor Karlsson </w:t>
      </w:r>
      <w:r w:rsidRPr="00075492">
        <w:t>anser att rikstillstånd bör genomföras och att representa</w:t>
      </w:r>
      <w:r w:rsidRPr="00075492">
        <w:t>n</w:t>
      </w:r>
      <w:r w:rsidRPr="00075492">
        <w:t>ter för småskalig produktion ska ingå i Livsmedelsverkets och Jordbruksve</w:t>
      </w:r>
      <w:r w:rsidRPr="00075492">
        <w:t>r</w:t>
      </w:r>
      <w:r w:rsidRPr="00075492">
        <w:t>kets styrelse eller verksledning.</w:t>
      </w:r>
    </w:p>
    <w:p w:rsidR="00547E7E" w:rsidRPr="00075492" w:rsidRDefault="00547E7E">
      <w:pPr>
        <w:pStyle w:val="Normaltindrag"/>
        <w:sectPr w:rsidR="00000000" w:rsidRPr="00075492">
          <w:headerReference w:type="default" r:id="rId17"/>
          <w:footerReference w:type="default" r:id="rId18"/>
          <w:pgSz w:w="11906" w:h="16838" w:code="9"/>
          <w:pgMar w:top="567" w:right="4876" w:bottom="4508" w:left="1134" w:header="227" w:footer="227" w:gutter="0"/>
          <w:cols w:space="720"/>
        </w:sectPr>
      </w:pPr>
    </w:p>
    <w:p w:rsidR="00547E7E" w:rsidRPr="00075492" w:rsidRDefault="00547E7E">
      <w:pPr>
        <w:pStyle w:val="Rubrik1-Utannumrering"/>
        <w:spacing w:before="0"/>
      </w:pPr>
      <w:bookmarkStart w:id="883" w:name="_Toc6637255"/>
      <w:r w:rsidRPr="00075492">
        <w:t>Innehållsförteckning</w:t>
      </w:r>
      <w:bookmarkEnd w:id="879"/>
      <w:bookmarkEnd w:id="880"/>
      <w:bookmarkEnd w:id="883"/>
    </w:p>
    <w:p w:rsidR="00547E7E" w:rsidRPr="00075492" w:rsidRDefault="00547E7E"/>
    <w:p w:rsidR="00547E7E" w:rsidRPr="00075492" w:rsidRDefault="00547E7E">
      <w:pPr>
        <w:pStyle w:val="Innehll1"/>
        <w:tabs>
          <w:tab w:val="left" w:pos="380"/>
          <w:tab w:val="right" w:leader="dot" w:pos="5886"/>
        </w:tabs>
      </w:pPr>
      <w:r w:rsidRPr="00075492">
        <w:t>1</w:t>
      </w:r>
      <w:r w:rsidRPr="00075492">
        <w:tab/>
        <w:t>Revisorernas granskning</w:t>
      </w:r>
      <w:r w:rsidRPr="00075492">
        <w:tab/>
        <w:t>1</w:t>
      </w:r>
    </w:p>
    <w:p w:rsidR="00547E7E" w:rsidRPr="00075492" w:rsidRDefault="00547E7E">
      <w:pPr>
        <w:pStyle w:val="Innehll1"/>
        <w:tabs>
          <w:tab w:val="left" w:pos="380"/>
          <w:tab w:val="right" w:leader="dot" w:pos="5886"/>
        </w:tabs>
      </w:pPr>
      <w:r w:rsidRPr="00075492">
        <w:t>2</w:t>
      </w:r>
      <w:r w:rsidRPr="00075492">
        <w:tab/>
        <w:t>Revisorernas iakttagelser</w:t>
      </w:r>
      <w:r w:rsidRPr="00075492">
        <w:tab/>
        <w:t>1</w:t>
      </w:r>
    </w:p>
    <w:p w:rsidR="00547E7E" w:rsidRPr="00075492" w:rsidRDefault="00547E7E">
      <w:pPr>
        <w:pStyle w:val="Innehll1"/>
        <w:tabs>
          <w:tab w:val="left" w:pos="380"/>
          <w:tab w:val="right" w:leader="dot" w:pos="5886"/>
        </w:tabs>
      </w:pPr>
      <w:r w:rsidRPr="00075492">
        <w:t>3</w:t>
      </w:r>
      <w:r w:rsidRPr="00075492">
        <w:tab/>
        <w:t>Ny information</w:t>
      </w:r>
      <w:r w:rsidRPr="00075492">
        <w:tab/>
        <w:t>2</w:t>
      </w:r>
    </w:p>
    <w:p w:rsidR="00547E7E" w:rsidRPr="00075492" w:rsidRDefault="00547E7E">
      <w:pPr>
        <w:pStyle w:val="Innehll1"/>
        <w:tabs>
          <w:tab w:val="left" w:pos="380"/>
          <w:tab w:val="right" w:leader="dot" w:pos="5886"/>
        </w:tabs>
      </w:pPr>
      <w:r w:rsidRPr="00075492">
        <w:t>4</w:t>
      </w:r>
      <w:r w:rsidRPr="00075492">
        <w:tab/>
        <w:t>Revisorernas överväganden och förslag</w:t>
      </w:r>
      <w:r w:rsidRPr="00075492">
        <w:tab/>
        <w:t>3</w:t>
      </w:r>
    </w:p>
    <w:p w:rsidR="00547E7E" w:rsidRPr="00075492" w:rsidRDefault="00547E7E">
      <w:pPr>
        <w:pStyle w:val="Innehll2"/>
        <w:tabs>
          <w:tab w:val="left" w:pos="709"/>
        </w:tabs>
        <w:rPr>
          <w:noProof w:val="0"/>
        </w:rPr>
      </w:pPr>
      <w:r w:rsidRPr="00075492">
        <w:rPr>
          <w:noProof w:val="0"/>
        </w:rPr>
        <w:t>4.1</w:t>
      </w:r>
      <w:r w:rsidRPr="00075492">
        <w:rPr>
          <w:noProof w:val="0"/>
        </w:rPr>
        <w:tab/>
        <w:t>Information om regelverket</w:t>
      </w:r>
      <w:r w:rsidRPr="00075492">
        <w:rPr>
          <w:noProof w:val="0"/>
        </w:rPr>
        <w:tab/>
        <w:t>3</w:t>
      </w:r>
    </w:p>
    <w:p w:rsidR="00547E7E" w:rsidRPr="00075492" w:rsidRDefault="00547E7E">
      <w:pPr>
        <w:pStyle w:val="Innehll2"/>
        <w:tabs>
          <w:tab w:val="left" w:pos="709"/>
        </w:tabs>
        <w:rPr>
          <w:noProof w:val="0"/>
        </w:rPr>
      </w:pPr>
      <w:r w:rsidRPr="00075492">
        <w:rPr>
          <w:noProof w:val="0"/>
        </w:rPr>
        <w:t>4.2</w:t>
      </w:r>
      <w:r w:rsidRPr="00075492">
        <w:rPr>
          <w:noProof w:val="0"/>
        </w:rPr>
        <w:tab/>
        <w:t>Europeiska kommissionens utvärderingar</w:t>
      </w:r>
      <w:r w:rsidRPr="00075492">
        <w:rPr>
          <w:noProof w:val="0"/>
        </w:rPr>
        <w:tab/>
        <w:t>4</w:t>
      </w:r>
    </w:p>
    <w:p w:rsidR="00547E7E" w:rsidRPr="00075492" w:rsidRDefault="00547E7E">
      <w:pPr>
        <w:pStyle w:val="Innehll2"/>
        <w:tabs>
          <w:tab w:val="left" w:pos="709"/>
        </w:tabs>
        <w:rPr>
          <w:noProof w:val="0"/>
        </w:rPr>
      </w:pPr>
      <w:r w:rsidRPr="00075492">
        <w:rPr>
          <w:noProof w:val="0"/>
        </w:rPr>
        <w:t>4.3</w:t>
      </w:r>
      <w:r w:rsidRPr="00075492">
        <w:rPr>
          <w:noProof w:val="0"/>
        </w:rPr>
        <w:tab/>
        <w:t>Reformera finansierings- och avgiftssystemet</w:t>
      </w:r>
      <w:r w:rsidRPr="00075492">
        <w:rPr>
          <w:noProof w:val="0"/>
        </w:rPr>
        <w:tab/>
        <w:t>5</w:t>
      </w:r>
    </w:p>
    <w:p w:rsidR="00547E7E" w:rsidRPr="00075492" w:rsidRDefault="00547E7E">
      <w:pPr>
        <w:pStyle w:val="Innehll2"/>
        <w:tabs>
          <w:tab w:val="left" w:pos="709"/>
        </w:tabs>
        <w:rPr>
          <w:noProof w:val="0"/>
        </w:rPr>
      </w:pPr>
      <w:r w:rsidRPr="00075492">
        <w:rPr>
          <w:noProof w:val="0"/>
        </w:rPr>
        <w:t>4.4</w:t>
      </w:r>
      <w:r w:rsidRPr="00075492">
        <w:rPr>
          <w:noProof w:val="0"/>
        </w:rPr>
        <w:tab/>
        <w:t>Redovisa kostnaderna</w:t>
      </w:r>
      <w:r w:rsidRPr="00075492">
        <w:rPr>
          <w:noProof w:val="0"/>
        </w:rPr>
        <w:tab/>
        <w:t>7</w:t>
      </w:r>
    </w:p>
    <w:p w:rsidR="00547E7E" w:rsidRPr="00075492" w:rsidRDefault="00547E7E">
      <w:pPr>
        <w:pStyle w:val="Innehll2"/>
        <w:tabs>
          <w:tab w:val="left" w:pos="709"/>
        </w:tabs>
        <w:rPr>
          <w:noProof w:val="0"/>
        </w:rPr>
      </w:pPr>
      <w:r w:rsidRPr="00075492">
        <w:rPr>
          <w:noProof w:val="0"/>
        </w:rPr>
        <w:t>4.5</w:t>
      </w:r>
      <w:r w:rsidRPr="00075492">
        <w:rPr>
          <w:noProof w:val="0"/>
        </w:rPr>
        <w:tab/>
        <w:t>Tydliggör företagens ansvar</w:t>
      </w:r>
      <w:r w:rsidRPr="00075492">
        <w:rPr>
          <w:noProof w:val="0"/>
        </w:rPr>
        <w:tab/>
        <w:t>7</w:t>
      </w:r>
    </w:p>
    <w:p w:rsidR="00547E7E" w:rsidRPr="00075492" w:rsidRDefault="00547E7E">
      <w:pPr>
        <w:pStyle w:val="Innehll2"/>
        <w:tabs>
          <w:tab w:val="left" w:pos="709"/>
        </w:tabs>
        <w:rPr>
          <w:noProof w:val="0"/>
        </w:rPr>
      </w:pPr>
      <w:r w:rsidRPr="00075492">
        <w:rPr>
          <w:noProof w:val="0"/>
        </w:rPr>
        <w:t>4.6</w:t>
      </w:r>
      <w:r w:rsidRPr="00075492">
        <w:rPr>
          <w:noProof w:val="0"/>
        </w:rPr>
        <w:tab/>
        <w:t>Livsmedelsverkets styrning och uppföljning</w:t>
      </w:r>
      <w:r w:rsidRPr="00075492">
        <w:rPr>
          <w:noProof w:val="0"/>
        </w:rPr>
        <w:tab/>
        <w:t>8</w:t>
      </w:r>
    </w:p>
    <w:p w:rsidR="00547E7E" w:rsidRPr="00075492" w:rsidRDefault="00547E7E">
      <w:pPr>
        <w:pStyle w:val="Innehll2"/>
        <w:tabs>
          <w:tab w:val="left" w:pos="709"/>
        </w:tabs>
        <w:rPr>
          <w:noProof w:val="0"/>
        </w:rPr>
      </w:pPr>
      <w:r w:rsidRPr="00075492">
        <w:rPr>
          <w:noProof w:val="0"/>
        </w:rPr>
        <w:t>4.7</w:t>
      </w:r>
      <w:r w:rsidRPr="00075492">
        <w:rPr>
          <w:noProof w:val="0"/>
        </w:rPr>
        <w:tab/>
        <w:t>Länsstyrelsernas uppgifter</w:t>
      </w:r>
      <w:r w:rsidRPr="00075492">
        <w:rPr>
          <w:noProof w:val="0"/>
        </w:rPr>
        <w:tab/>
        <w:t>11</w:t>
      </w:r>
    </w:p>
    <w:p w:rsidR="00547E7E" w:rsidRPr="00075492" w:rsidRDefault="00547E7E">
      <w:pPr>
        <w:pStyle w:val="Innehll2"/>
        <w:tabs>
          <w:tab w:val="left" w:pos="709"/>
        </w:tabs>
        <w:rPr>
          <w:noProof w:val="0"/>
        </w:rPr>
      </w:pPr>
      <w:r w:rsidRPr="00075492">
        <w:rPr>
          <w:noProof w:val="0"/>
        </w:rPr>
        <w:t>4.8</w:t>
      </w:r>
      <w:r w:rsidRPr="00075492">
        <w:rPr>
          <w:noProof w:val="0"/>
        </w:rPr>
        <w:tab/>
        <w:t>Kommunernas resurser</w:t>
      </w:r>
      <w:r w:rsidRPr="00075492">
        <w:rPr>
          <w:noProof w:val="0"/>
        </w:rPr>
        <w:tab/>
        <w:t>11</w:t>
      </w:r>
    </w:p>
    <w:p w:rsidR="00547E7E" w:rsidRPr="00075492" w:rsidRDefault="00547E7E">
      <w:pPr>
        <w:pStyle w:val="Innehll2"/>
        <w:tabs>
          <w:tab w:val="left" w:pos="709"/>
        </w:tabs>
        <w:rPr>
          <w:noProof w:val="0"/>
        </w:rPr>
      </w:pPr>
      <w:r w:rsidRPr="00075492">
        <w:rPr>
          <w:noProof w:val="0"/>
        </w:rPr>
        <w:t>4.9</w:t>
      </w:r>
      <w:r w:rsidRPr="00075492">
        <w:rPr>
          <w:noProof w:val="0"/>
        </w:rPr>
        <w:tab/>
        <w:t>Rapporteringen behöver förbättras</w:t>
      </w:r>
      <w:r w:rsidRPr="00075492">
        <w:rPr>
          <w:noProof w:val="0"/>
        </w:rPr>
        <w:tab/>
        <w:t>13</w:t>
      </w:r>
    </w:p>
    <w:p w:rsidR="00547E7E" w:rsidRPr="00075492" w:rsidRDefault="00547E7E">
      <w:pPr>
        <w:pStyle w:val="Innehll2"/>
        <w:tabs>
          <w:tab w:val="left" w:pos="993"/>
        </w:tabs>
        <w:rPr>
          <w:noProof w:val="0"/>
        </w:rPr>
      </w:pPr>
      <w:r w:rsidRPr="00075492">
        <w:rPr>
          <w:noProof w:val="0"/>
        </w:rPr>
        <w:t>4.10</w:t>
      </w:r>
      <w:r w:rsidRPr="00075492">
        <w:rPr>
          <w:noProof w:val="0"/>
        </w:rPr>
        <w:tab/>
        <w:t>Sanktioner</w:t>
      </w:r>
      <w:r w:rsidRPr="00075492">
        <w:rPr>
          <w:noProof w:val="0"/>
        </w:rPr>
        <w:tab/>
        <w:t>14</w:t>
      </w:r>
    </w:p>
    <w:p w:rsidR="00547E7E" w:rsidRPr="00075492" w:rsidRDefault="00547E7E">
      <w:pPr>
        <w:pStyle w:val="Innehll2"/>
        <w:tabs>
          <w:tab w:val="left" w:pos="993"/>
        </w:tabs>
        <w:rPr>
          <w:noProof w:val="0"/>
        </w:rPr>
      </w:pPr>
      <w:r w:rsidRPr="00075492">
        <w:rPr>
          <w:noProof w:val="0"/>
        </w:rPr>
        <w:t>4.11</w:t>
      </w:r>
      <w:r w:rsidRPr="00075492">
        <w:rPr>
          <w:noProof w:val="0"/>
        </w:rPr>
        <w:tab/>
        <w:t>Ansvarsfördelningen mellan stat och kommun</w:t>
      </w:r>
      <w:r w:rsidRPr="00075492">
        <w:rPr>
          <w:noProof w:val="0"/>
        </w:rPr>
        <w:tab/>
        <w:t>15</w:t>
      </w:r>
    </w:p>
    <w:p w:rsidR="00547E7E" w:rsidRPr="00075492" w:rsidRDefault="00547E7E">
      <w:pPr>
        <w:pStyle w:val="Innehll2"/>
        <w:tabs>
          <w:tab w:val="left" w:pos="993"/>
        </w:tabs>
        <w:rPr>
          <w:noProof w:val="0"/>
        </w:rPr>
      </w:pPr>
      <w:r w:rsidRPr="00075492">
        <w:rPr>
          <w:noProof w:val="0"/>
        </w:rPr>
        <w:t>4.12</w:t>
      </w:r>
      <w:r w:rsidRPr="00075492">
        <w:rPr>
          <w:noProof w:val="0"/>
        </w:rPr>
        <w:tab/>
        <w:t>Övriga frågor</w:t>
      </w:r>
      <w:r w:rsidRPr="00075492">
        <w:rPr>
          <w:noProof w:val="0"/>
        </w:rPr>
        <w:tab/>
        <w:t>16</w:t>
      </w:r>
    </w:p>
    <w:p w:rsidR="00547E7E" w:rsidRPr="00075492" w:rsidRDefault="00547E7E">
      <w:pPr>
        <w:pStyle w:val="Innehll1"/>
        <w:tabs>
          <w:tab w:val="right" w:leader="dot" w:pos="5886"/>
        </w:tabs>
        <w:spacing w:before="120"/>
        <w:ind w:right="284"/>
        <w:rPr>
          <w:i/>
        </w:rPr>
      </w:pPr>
      <w:r w:rsidRPr="00075492">
        <w:rPr>
          <w:i/>
        </w:rPr>
        <w:t>Bilaga 1</w:t>
      </w:r>
    </w:p>
    <w:p w:rsidR="00547E7E" w:rsidRPr="00075492" w:rsidRDefault="00547E7E">
      <w:pPr>
        <w:pStyle w:val="Innehll1"/>
        <w:tabs>
          <w:tab w:val="left" w:pos="380"/>
          <w:tab w:val="right" w:leader="dot" w:pos="5886"/>
        </w:tabs>
      </w:pPr>
      <w:r w:rsidRPr="00075492">
        <w:t>Rapport 2001/02:7 Hur styr staten livsmedelstillsynen?</w:t>
      </w:r>
      <w:r w:rsidRPr="00075492">
        <w:tab/>
        <w:t>21</w:t>
      </w:r>
    </w:p>
    <w:p w:rsidR="00547E7E" w:rsidRPr="00075492" w:rsidRDefault="00547E7E">
      <w:pPr>
        <w:pStyle w:val="Innehll1"/>
        <w:tabs>
          <w:tab w:val="right" w:leader="dot" w:pos="5886"/>
        </w:tabs>
      </w:pPr>
      <w:r w:rsidRPr="00075492">
        <w:t>Förord</w:t>
      </w:r>
      <w:r w:rsidRPr="00075492">
        <w:tab/>
      </w:r>
      <w:bookmarkStart w:id="884" w:name="_Hlt6637256"/>
      <w:r w:rsidRPr="00075492">
        <w:t>23</w:t>
      </w:r>
      <w:bookmarkEnd w:id="884"/>
    </w:p>
    <w:p w:rsidR="00547E7E" w:rsidRPr="00075492" w:rsidRDefault="00547E7E">
      <w:pPr>
        <w:pStyle w:val="Innehll1"/>
        <w:tabs>
          <w:tab w:val="right" w:leader="dot" w:pos="5886"/>
        </w:tabs>
      </w:pPr>
      <w:r w:rsidRPr="00075492">
        <w:t>Sammanfattning</w:t>
      </w:r>
      <w:r w:rsidRPr="00075492">
        <w:tab/>
        <w:t>25</w:t>
      </w:r>
    </w:p>
    <w:p w:rsidR="00547E7E" w:rsidRPr="00075492" w:rsidRDefault="00547E7E">
      <w:pPr>
        <w:pStyle w:val="Innehll1"/>
        <w:tabs>
          <w:tab w:val="left" w:pos="380"/>
          <w:tab w:val="right" w:leader="dot" w:pos="5886"/>
        </w:tabs>
      </w:pPr>
      <w:r w:rsidRPr="00075492">
        <w:t>1</w:t>
      </w:r>
      <w:r w:rsidRPr="00075492">
        <w:tab/>
        <w:t>Bakgrund och uppläggning</w:t>
      </w:r>
      <w:r w:rsidRPr="00075492">
        <w:tab/>
        <w:t>29</w:t>
      </w:r>
    </w:p>
    <w:p w:rsidR="00547E7E" w:rsidRPr="00075492" w:rsidRDefault="00547E7E">
      <w:pPr>
        <w:pStyle w:val="Innehll2"/>
        <w:tabs>
          <w:tab w:val="left" w:pos="709"/>
        </w:tabs>
        <w:rPr>
          <w:noProof w:val="0"/>
        </w:rPr>
      </w:pPr>
      <w:r w:rsidRPr="00075492">
        <w:rPr>
          <w:noProof w:val="0"/>
        </w:rPr>
        <w:t>1.1</w:t>
      </w:r>
      <w:r w:rsidRPr="00075492">
        <w:rPr>
          <w:noProof w:val="0"/>
        </w:rPr>
        <w:tab/>
        <w:t>Bakgrund</w:t>
      </w:r>
      <w:r w:rsidRPr="00075492">
        <w:rPr>
          <w:noProof w:val="0"/>
        </w:rPr>
        <w:tab/>
        <w:t>29</w:t>
      </w:r>
    </w:p>
    <w:p w:rsidR="00547E7E" w:rsidRPr="00075492" w:rsidRDefault="00547E7E">
      <w:pPr>
        <w:pStyle w:val="Innehll2"/>
        <w:tabs>
          <w:tab w:val="left" w:pos="709"/>
        </w:tabs>
        <w:rPr>
          <w:noProof w:val="0"/>
        </w:rPr>
      </w:pPr>
      <w:r w:rsidRPr="00075492">
        <w:rPr>
          <w:noProof w:val="0"/>
        </w:rPr>
        <w:t>1.2</w:t>
      </w:r>
      <w:r w:rsidRPr="00075492">
        <w:rPr>
          <w:noProof w:val="0"/>
        </w:rPr>
        <w:tab/>
        <w:t>Rapportens syfte och metod</w:t>
      </w:r>
      <w:r w:rsidRPr="00075492">
        <w:rPr>
          <w:noProof w:val="0"/>
        </w:rPr>
        <w:tab/>
        <w:t>31</w:t>
      </w:r>
    </w:p>
    <w:p w:rsidR="00547E7E" w:rsidRPr="00075492" w:rsidRDefault="00547E7E">
      <w:pPr>
        <w:pStyle w:val="Innehll3"/>
        <w:tabs>
          <w:tab w:val="left" w:pos="1140"/>
        </w:tabs>
        <w:rPr>
          <w:noProof w:val="0"/>
        </w:rPr>
      </w:pPr>
      <w:r w:rsidRPr="00075492">
        <w:rPr>
          <w:noProof w:val="0"/>
        </w:rPr>
        <w:t>1.2.1</w:t>
      </w:r>
      <w:r w:rsidRPr="00075492">
        <w:rPr>
          <w:noProof w:val="0"/>
        </w:rPr>
        <w:tab/>
        <w:t>Syfte</w:t>
      </w:r>
      <w:r w:rsidRPr="00075492">
        <w:rPr>
          <w:noProof w:val="0"/>
        </w:rPr>
        <w:tab/>
        <w:t>31</w:t>
      </w:r>
    </w:p>
    <w:p w:rsidR="00547E7E" w:rsidRPr="00075492" w:rsidRDefault="00547E7E">
      <w:pPr>
        <w:pStyle w:val="Innehll3"/>
        <w:tabs>
          <w:tab w:val="left" w:pos="1140"/>
        </w:tabs>
        <w:rPr>
          <w:noProof w:val="0"/>
        </w:rPr>
      </w:pPr>
      <w:r w:rsidRPr="00075492">
        <w:rPr>
          <w:noProof w:val="0"/>
        </w:rPr>
        <w:t>1.2.2</w:t>
      </w:r>
      <w:r w:rsidRPr="00075492">
        <w:rPr>
          <w:noProof w:val="0"/>
        </w:rPr>
        <w:tab/>
        <w:t>Metod</w:t>
      </w:r>
      <w:r w:rsidRPr="00075492">
        <w:rPr>
          <w:noProof w:val="0"/>
        </w:rPr>
        <w:tab/>
        <w:t>31</w:t>
      </w:r>
    </w:p>
    <w:p w:rsidR="00547E7E" w:rsidRPr="00075492" w:rsidRDefault="00547E7E">
      <w:pPr>
        <w:pStyle w:val="Innehll1"/>
        <w:tabs>
          <w:tab w:val="left" w:pos="380"/>
          <w:tab w:val="right" w:leader="dot" w:pos="5886"/>
        </w:tabs>
      </w:pPr>
      <w:r w:rsidRPr="00075492">
        <w:t>2</w:t>
      </w:r>
      <w:r w:rsidRPr="00075492">
        <w:tab/>
        <w:t>EU:s livsmedelslagstiftning</w:t>
      </w:r>
      <w:r w:rsidRPr="00075492">
        <w:tab/>
        <w:t>33</w:t>
      </w:r>
    </w:p>
    <w:p w:rsidR="00547E7E" w:rsidRPr="00075492" w:rsidRDefault="00547E7E">
      <w:pPr>
        <w:pStyle w:val="Innehll2"/>
        <w:tabs>
          <w:tab w:val="left" w:pos="709"/>
        </w:tabs>
        <w:rPr>
          <w:noProof w:val="0"/>
        </w:rPr>
      </w:pPr>
      <w:r w:rsidRPr="00075492">
        <w:rPr>
          <w:noProof w:val="0"/>
        </w:rPr>
        <w:t>2.1</w:t>
      </w:r>
      <w:r w:rsidRPr="00075492">
        <w:rPr>
          <w:noProof w:val="0"/>
        </w:rPr>
        <w:tab/>
        <w:t>Inledning</w:t>
      </w:r>
      <w:r w:rsidRPr="00075492">
        <w:rPr>
          <w:noProof w:val="0"/>
        </w:rPr>
        <w:tab/>
        <w:t>33</w:t>
      </w:r>
    </w:p>
    <w:p w:rsidR="00547E7E" w:rsidRPr="00075492" w:rsidRDefault="00547E7E">
      <w:pPr>
        <w:pStyle w:val="Innehll2"/>
        <w:tabs>
          <w:tab w:val="left" w:pos="709"/>
        </w:tabs>
        <w:rPr>
          <w:noProof w:val="0"/>
        </w:rPr>
      </w:pPr>
      <w:r w:rsidRPr="00075492">
        <w:rPr>
          <w:noProof w:val="0"/>
        </w:rPr>
        <w:t>2.2</w:t>
      </w:r>
      <w:r w:rsidRPr="00075492">
        <w:rPr>
          <w:noProof w:val="0"/>
        </w:rPr>
        <w:tab/>
        <w:t>EG:s rättsakter</w:t>
      </w:r>
      <w:r w:rsidRPr="00075492">
        <w:rPr>
          <w:noProof w:val="0"/>
        </w:rPr>
        <w:tab/>
        <w:t>33</w:t>
      </w:r>
    </w:p>
    <w:p w:rsidR="00547E7E" w:rsidRPr="00075492" w:rsidRDefault="00547E7E">
      <w:pPr>
        <w:pStyle w:val="Innehll2"/>
        <w:tabs>
          <w:tab w:val="left" w:pos="709"/>
        </w:tabs>
        <w:rPr>
          <w:noProof w:val="0"/>
        </w:rPr>
      </w:pPr>
      <w:r w:rsidRPr="00075492">
        <w:rPr>
          <w:noProof w:val="0"/>
        </w:rPr>
        <w:t>2.3</w:t>
      </w:r>
      <w:r w:rsidRPr="00075492">
        <w:rPr>
          <w:noProof w:val="0"/>
        </w:rPr>
        <w:tab/>
        <w:t>Organisation</w:t>
      </w:r>
      <w:r w:rsidRPr="00075492">
        <w:rPr>
          <w:noProof w:val="0"/>
        </w:rPr>
        <w:tab/>
        <w:t>33</w:t>
      </w:r>
    </w:p>
    <w:p w:rsidR="00547E7E" w:rsidRPr="00075492" w:rsidRDefault="00547E7E">
      <w:pPr>
        <w:pStyle w:val="Innehll2"/>
        <w:tabs>
          <w:tab w:val="left" w:pos="709"/>
        </w:tabs>
        <w:rPr>
          <w:noProof w:val="0"/>
        </w:rPr>
      </w:pPr>
      <w:r w:rsidRPr="00075492">
        <w:rPr>
          <w:noProof w:val="0"/>
        </w:rPr>
        <w:t>2.4</w:t>
      </w:r>
      <w:r w:rsidRPr="00075492">
        <w:rPr>
          <w:noProof w:val="0"/>
        </w:rPr>
        <w:tab/>
        <w:t>EU:s regelverk</w:t>
      </w:r>
      <w:r w:rsidRPr="00075492">
        <w:rPr>
          <w:noProof w:val="0"/>
        </w:rPr>
        <w:tab/>
        <w:t>34</w:t>
      </w:r>
    </w:p>
    <w:p w:rsidR="00547E7E" w:rsidRPr="00075492" w:rsidRDefault="00547E7E">
      <w:pPr>
        <w:pStyle w:val="Innehll3"/>
        <w:tabs>
          <w:tab w:val="left" w:pos="1140"/>
        </w:tabs>
        <w:rPr>
          <w:noProof w:val="0"/>
        </w:rPr>
      </w:pPr>
      <w:r w:rsidRPr="00075492">
        <w:rPr>
          <w:noProof w:val="0"/>
        </w:rPr>
        <w:t>2.4.1</w:t>
      </w:r>
      <w:r w:rsidRPr="00075492">
        <w:rPr>
          <w:noProof w:val="0"/>
        </w:rPr>
        <w:tab/>
        <w:t>Förordningar inom livsmedelsområdet</w:t>
      </w:r>
      <w:r w:rsidRPr="00075492">
        <w:rPr>
          <w:noProof w:val="0"/>
        </w:rPr>
        <w:tab/>
        <w:t>34</w:t>
      </w:r>
    </w:p>
    <w:p w:rsidR="00547E7E" w:rsidRPr="00075492" w:rsidRDefault="00547E7E">
      <w:pPr>
        <w:pStyle w:val="Innehll3"/>
        <w:tabs>
          <w:tab w:val="left" w:pos="1140"/>
        </w:tabs>
        <w:rPr>
          <w:noProof w:val="0"/>
        </w:rPr>
      </w:pPr>
      <w:r w:rsidRPr="00075492">
        <w:rPr>
          <w:noProof w:val="0"/>
        </w:rPr>
        <w:t>2.4.2</w:t>
      </w:r>
      <w:r w:rsidRPr="00075492">
        <w:rPr>
          <w:noProof w:val="0"/>
        </w:rPr>
        <w:tab/>
        <w:t>Direktiv inom livsmedelsområdet</w:t>
      </w:r>
      <w:r w:rsidRPr="00075492">
        <w:rPr>
          <w:noProof w:val="0"/>
        </w:rPr>
        <w:tab/>
        <w:t>35</w:t>
      </w:r>
    </w:p>
    <w:p w:rsidR="00547E7E" w:rsidRPr="00075492" w:rsidRDefault="00547E7E">
      <w:pPr>
        <w:pStyle w:val="Innehll3"/>
        <w:tabs>
          <w:tab w:val="left" w:pos="1140"/>
        </w:tabs>
        <w:rPr>
          <w:noProof w:val="0"/>
        </w:rPr>
      </w:pPr>
      <w:r w:rsidRPr="00075492">
        <w:rPr>
          <w:noProof w:val="0"/>
        </w:rPr>
        <w:t>2.4.3</w:t>
      </w:r>
      <w:r w:rsidRPr="00075492">
        <w:rPr>
          <w:noProof w:val="0"/>
        </w:rPr>
        <w:tab/>
        <w:t>Problem med EU:s lagstiftning</w:t>
      </w:r>
      <w:r w:rsidRPr="00075492">
        <w:rPr>
          <w:noProof w:val="0"/>
        </w:rPr>
        <w:tab/>
        <w:t>37</w:t>
      </w:r>
    </w:p>
    <w:p w:rsidR="00547E7E" w:rsidRPr="00075492" w:rsidRDefault="00547E7E">
      <w:pPr>
        <w:pStyle w:val="Innehll2"/>
        <w:tabs>
          <w:tab w:val="left" w:pos="709"/>
        </w:tabs>
        <w:rPr>
          <w:noProof w:val="0"/>
        </w:rPr>
      </w:pPr>
      <w:r w:rsidRPr="00075492">
        <w:rPr>
          <w:noProof w:val="0"/>
        </w:rPr>
        <w:t>2.5</w:t>
      </w:r>
      <w:r w:rsidRPr="00075492">
        <w:rPr>
          <w:noProof w:val="0"/>
        </w:rPr>
        <w:tab/>
        <w:t>Kommissionens utvärderingar</w:t>
      </w:r>
      <w:r w:rsidRPr="00075492">
        <w:rPr>
          <w:noProof w:val="0"/>
        </w:rPr>
        <w:tab/>
        <w:t>38</w:t>
      </w:r>
    </w:p>
    <w:p w:rsidR="00547E7E" w:rsidRPr="00075492" w:rsidRDefault="00547E7E">
      <w:pPr>
        <w:pStyle w:val="Innehll3"/>
        <w:tabs>
          <w:tab w:val="left" w:pos="1140"/>
        </w:tabs>
        <w:rPr>
          <w:noProof w:val="0"/>
        </w:rPr>
      </w:pPr>
      <w:r w:rsidRPr="00075492">
        <w:rPr>
          <w:noProof w:val="0"/>
        </w:rPr>
        <w:t>2.5.1</w:t>
      </w:r>
      <w:r w:rsidRPr="00075492">
        <w:rPr>
          <w:noProof w:val="0"/>
        </w:rPr>
        <w:tab/>
        <w:t>Utvärderingar av livsmedelstillsynen i Sverige</w:t>
      </w:r>
      <w:r w:rsidRPr="00075492">
        <w:rPr>
          <w:noProof w:val="0"/>
        </w:rPr>
        <w:tab/>
        <w:t>38</w:t>
      </w:r>
    </w:p>
    <w:p w:rsidR="00547E7E" w:rsidRPr="00075492" w:rsidRDefault="00547E7E">
      <w:pPr>
        <w:pStyle w:val="Innehll3"/>
        <w:tabs>
          <w:tab w:val="left" w:pos="1140"/>
        </w:tabs>
        <w:rPr>
          <w:noProof w:val="0"/>
        </w:rPr>
      </w:pPr>
      <w:r w:rsidRPr="00075492">
        <w:rPr>
          <w:noProof w:val="0"/>
        </w:rPr>
        <w:t>2.5.2</w:t>
      </w:r>
      <w:r w:rsidRPr="00075492">
        <w:rPr>
          <w:noProof w:val="0"/>
        </w:rPr>
        <w:tab/>
        <w:t>Granskningar inom olika områden av livsmedelstillsynen</w:t>
      </w:r>
      <w:r w:rsidRPr="00075492">
        <w:rPr>
          <w:noProof w:val="0"/>
        </w:rPr>
        <w:tab/>
        <w:t>39</w:t>
      </w:r>
    </w:p>
    <w:p w:rsidR="00547E7E" w:rsidRPr="00075492" w:rsidRDefault="00547E7E">
      <w:pPr>
        <w:pStyle w:val="Innehll3"/>
        <w:tabs>
          <w:tab w:val="left" w:pos="1140"/>
        </w:tabs>
        <w:rPr>
          <w:noProof w:val="0"/>
        </w:rPr>
      </w:pPr>
      <w:r w:rsidRPr="00075492">
        <w:rPr>
          <w:noProof w:val="0"/>
        </w:rPr>
        <w:t>2.5.3</w:t>
      </w:r>
      <w:r w:rsidRPr="00075492">
        <w:rPr>
          <w:noProof w:val="0"/>
        </w:rPr>
        <w:tab/>
        <w:t>Livsmedelsverkets svar på kritiken</w:t>
      </w:r>
      <w:r w:rsidRPr="00075492">
        <w:rPr>
          <w:noProof w:val="0"/>
        </w:rPr>
        <w:tab/>
        <w:t>41</w:t>
      </w:r>
    </w:p>
    <w:p w:rsidR="00547E7E" w:rsidRPr="00075492" w:rsidRDefault="00547E7E">
      <w:pPr>
        <w:pStyle w:val="Innehll3"/>
        <w:tabs>
          <w:tab w:val="left" w:pos="1140"/>
        </w:tabs>
        <w:rPr>
          <w:noProof w:val="0"/>
        </w:rPr>
      </w:pPr>
      <w:r w:rsidRPr="00075492">
        <w:rPr>
          <w:noProof w:val="0"/>
        </w:rPr>
        <w:t>2.5.4</w:t>
      </w:r>
      <w:r w:rsidRPr="00075492">
        <w:rPr>
          <w:noProof w:val="0"/>
        </w:rPr>
        <w:tab/>
        <w:t>Livsmedelsverkets åtgärder med anledning av kritiken</w:t>
      </w:r>
      <w:r w:rsidRPr="00075492">
        <w:rPr>
          <w:noProof w:val="0"/>
        </w:rPr>
        <w:tab/>
        <w:t>42</w:t>
      </w:r>
    </w:p>
    <w:p w:rsidR="00547E7E" w:rsidRPr="00075492" w:rsidRDefault="00547E7E">
      <w:pPr>
        <w:pStyle w:val="Innehll3"/>
        <w:tabs>
          <w:tab w:val="left" w:pos="1140"/>
        </w:tabs>
        <w:rPr>
          <w:noProof w:val="0"/>
        </w:rPr>
      </w:pPr>
      <w:r w:rsidRPr="00075492">
        <w:rPr>
          <w:noProof w:val="0"/>
        </w:rPr>
        <w:t>2.5.5</w:t>
      </w:r>
      <w:r w:rsidRPr="00075492">
        <w:rPr>
          <w:noProof w:val="0"/>
        </w:rPr>
        <w:tab/>
        <w:t>Kritik mot andra medlemsländer</w:t>
      </w:r>
      <w:r w:rsidRPr="00075492">
        <w:rPr>
          <w:noProof w:val="0"/>
        </w:rPr>
        <w:tab/>
        <w:t>42</w:t>
      </w:r>
    </w:p>
    <w:p w:rsidR="00547E7E" w:rsidRPr="00075492" w:rsidRDefault="00547E7E">
      <w:pPr>
        <w:pStyle w:val="Innehll2"/>
        <w:tabs>
          <w:tab w:val="left" w:pos="709"/>
        </w:tabs>
        <w:rPr>
          <w:noProof w:val="0"/>
        </w:rPr>
      </w:pPr>
      <w:r w:rsidRPr="00075492">
        <w:rPr>
          <w:noProof w:val="0"/>
        </w:rPr>
        <w:t>2.6</w:t>
      </w:r>
      <w:r w:rsidRPr="00075492">
        <w:rPr>
          <w:noProof w:val="0"/>
        </w:rPr>
        <w:tab/>
        <w:t>Rapportering till EU</w:t>
      </w:r>
      <w:r w:rsidRPr="00075492">
        <w:rPr>
          <w:noProof w:val="0"/>
        </w:rPr>
        <w:tab/>
        <w:t>43</w:t>
      </w:r>
    </w:p>
    <w:p w:rsidR="00547E7E" w:rsidRPr="00075492" w:rsidRDefault="00547E7E">
      <w:pPr>
        <w:pStyle w:val="Innehll2"/>
        <w:tabs>
          <w:tab w:val="left" w:pos="709"/>
        </w:tabs>
        <w:rPr>
          <w:noProof w:val="0"/>
        </w:rPr>
      </w:pPr>
      <w:r w:rsidRPr="00075492">
        <w:rPr>
          <w:noProof w:val="0"/>
        </w:rPr>
        <w:t>2.7</w:t>
      </w:r>
      <w:r w:rsidRPr="00075492">
        <w:rPr>
          <w:noProof w:val="0"/>
        </w:rPr>
        <w:tab/>
        <w:t>Förändringar av EU:s lagstiftning</w:t>
      </w:r>
      <w:r w:rsidRPr="00075492">
        <w:rPr>
          <w:noProof w:val="0"/>
        </w:rPr>
        <w:tab/>
        <w:t>43</w:t>
      </w:r>
    </w:p>
    <w:p w:rsidR="00547E7E" w:rsidRPr="00075492" w:rsidRDefault="00547E7E">
      <w:pPr>
        <w:pStyle w:val="Innehll2"/>
        <w:tabs>
          <w:tab w:val="left" w:pos="709"/>
        </w:tabs>
        <w:rPr>
          <w:noProof w:val="0"/>
        </w:rPr>
      </w:pPr>
      <w:r w:rsidRPr="00075492">
        <w:rPr>
          <w:noProof w:val="0"/>
        </w:rPr>
        <w:t>2.8</w:t>
      </w:r>
      <w:r w:rsidRPr="00075492">
        <w:rPr>
          <w:noProof w:val="0"/>
        </w:rPr>
        <w:tab/>
        <w:t>Sammanfattning</w:t>
      </w:r>
      <w:r w:rsidRPr="00075492">
        <w:rPr>
          <w:noProof w:val="0"/>
        </w:rPr>
        <w:tab/>
        <w:t>44</w:t>
      </w:r>
    </w:p>
    <w:p w:rsidR="00547E7E" w:rsidRPr="00075492" w:rsidRDefault="00547E7E">
      <w:pPr>
        <w:pStyle w:val="Innehll1"/>
        <w:tabs>
          <w:tab w:val="left" w:pos="380"/>
          <w:tab w:val="right" w:leader="dot" w:pos="5886"/>
        </w:tabs>
      </w:pPr>
      <w:r w:rsidRPr="00075492">
        <w:t>3</w:t>
      </w:r>
      <w:r w:rsidRPr="00075492">
        <w:tab/>
        <w:t>Livsmedelssektorn</w:t>
      </w:r>
      <w:r w:rsidRPr="00075492">
        <w:tab/>
        <w:t>45</w:t>
      </w:r>
    </w:p>
    <w:p w:rsidR="00547E7E" w:rsidRPr="00075492" w:rsidRDefault="00547E7E">
      <w:pPr>
        <w:pStyle w:val="Innehll2"/>
        <w:tabs>
          <w:tab w:val="left" w:pos="709"/>
        </w:tabs>
        <w:rPr>
          <w:noProof w:val="0"/>
        </w:rPr>
      </w:pPr>
      <w:r w:rsidRPr="00075492">
        <w:rPr>
          <w:noProof w:val="0"/>
        </w:rPr>
        <w:t>3.1</w:t>
      </w:r>
      <w:r w:rsidRPr="00075492">
        <w:rPr>
          <w:noProof w:val="0"/>
        </w:rPr>
        <w:tab/>
        <w:t>Allmänt om livsmedelssektorn</w:t>
      </w:r>
      <w:r w:rsidRPr="00075492">
        <w:rPr>
          <w:noProof w:val="0"/>
        </w:rPr>
        <w:tab/>
        <w:t>45</w:t>
      </w:r>
    </w:p>
    <w:p w:rsidR="00547E7E" w:rsidRPr="00075492" w:rsidRDefault="00547E7E">
      <w:pPr>
        <w:pStyle w:val="Innehll2"/>
        <w:tabs>
          <w:tab w:val="left" w:pos="709"/>
        </w:tabs>
        <w:rPr>
          <w:noProof w:val="0"/>
        </w:rPr>
      </w:pPr>
      <w:r w:rsidRPr="00075492">
        <w:rPr>
          <w:noProof w:val="0"/>
        </w:rPr>
        <w:t>3.2</w:t>
      </w:r>
      <w:r w:rsidRPr="00075492">
        <w:rPr>
          <w:noProof w:val="0"/>
        </w:rPr>
        <w:tab/>
        <w:t>Livsmedelsindustrin</w:t>
      </w:r>
      <w:r w:rsidRPr="00075492">
        <w:rPr>
          <w:noProof w:val="0"/>
        </w:rPr>
        <w:tab/>
        <w:t>45</w:t>
      </w:r>
    </w:p>
    <w:p w:rsidR="00547E7E" w:rsidRPr="00075492" w:rsidRDefault="00547E7E">
      <w:pPr>
        <w:pStyle w:val="Innehll2"/>
        <w:tabs>
          <w:tab w:val="left" w:pos="709"/>
        </w:tabs>
        <w:rPr>
          <w:noProof w:val="0"/>
        </w:rPr>
      </w:pPr>
      <w:r w:rsidRPr="00075492">
        <w:rPr>
          <w:noProof w:val="0"/>
        </w:rPr>
        <w:t>3.3</w:t>
      </w:r>
      <w:r w:rsidRPr="00075492">
        <w:rPr>
          <w:noProof w:val="0"/>
        </w:rPr>
        <w:tab/>
        <w:t>Parti- och detaljhandel</w:t>
      </w:r>
      <w:r w:rsidRPr="00075492">
        <w:rPr>
          <w:noProof w:val="0"/>
        </w:rPr>
        <w:tab/>
        <w:t>46</w:t>
      </w:r>
    </w:p>
    <w:p w:rsidR="00547E7E" w:rsidRPr="00075492" w:rsidRDefault="00547E7E">
      <w:pPr>
        <w:pStyle w:val="Innehll2"/>
        <w:tabs>
          <w:tab w:val="left" w:pos="709"/>
        </w:tabs>
        <w:rPr>
          <w:noProof w:val="0"/>
        </w:rPr>
      </w:pPr>
      <w:r w:rsidRPr="00075492">
        <w:rPr>
          <w:noProof w:val="0"/>
        </w:rPr>
        <w:t>3.4</w:t>
      </w:r>
      <w:r w:rsidRPr="00075492">
        <w:rPr>
          <w:noProof w:val="0"/>
        </w:rPr>
        <w:tab/>
        <w:t>Offentliga och privatägda storhushåll</w:t>
      </w:r>
      <w:r w:rsidRPr="00075492">
        <w:rPr>
          <w:noProof w:val="0"/>
        </w:rPr>
        <w:tab/>
        <w:t>46</w:t>
      </w:r>
    </w:p>
    <w:p w:rsidR="00547E7E" w:rsidRPr="00075492" w:rsidRDefault="00547E7E">
      <w:pPr>
        <w:pStyle w:val="Innehll2"/>
        <w:tabs>
          <w:tab w:val="left" w:pos="709"/>
        </w:tabs>
        <w:rPr>
          <w:noProof w:val="0"/>
        </w:rPr>
      </w:pPr>
      <w:r w:rsidRPr="00075492">
        <w:rPr>
          <w:noProof w:val="0"/>
        </w:rPr>
        <w:t>3.5</w:t>
      </w:r>
      <w:r w:rsidRPr="00075492">
        <w:rPr>
          <w:noProof w:val="0"/>
        </w:rPr>
        <w:tab/>
        <w:t>Sammanfattning</w:t>
      </w:r>
      <w:r w:rsidRPr="00075492">
        <w:rPr>
          <w:noProof w:val="0"/>
        </w:rPr>
        <w:tab/>
        <w:t>47</w:t>
      </w:r>
    </w:p>
    <w:p w:rsidR="00547E7E" w:rsidRPr="00075492" w:rsidRDefault="00547E7E">
      <w:pPr>
        <w:pStyle w:val="Innehll1"/>
        <w:tabs>
          <w:tab w:val="left" w:pos="380"/>
          <w:tab w:val="right" w:leader="dot" w:pos="5886"/>
        </w:tabs>
      </w:pPr>
      <w:r w:rsidRPr="00075492">
        <w:t>4</w:t>
      </w:r>
      <w:r w:rsidRPr="00075492">
        <w:tab/>
        <w:t>Livsmedelstillsynen i Sverige – en översikt</w:t>
      </w:r>
      <w:r w:rsidRPr="00075492">
        <w:tab/>
        <w:t>48</w:t>
      </w:r>
    </w:p>
    <w:p w:rsidR="00547E7E" w:rsidRPr="00075492" w:rsidRDefault="00547E7E">
      <w:pPr>
        <w:pStyle w:val="Innehll2"/>
        <w:tabs>
          <w:tab w:val="left" w:pos="709"/>
        </w:tabs>
        <w:rPr>
          <w:noProof w:val="0"/>
        </w:rPr>
      </w:pPr>
      <w:r w:rsidRPr="00075492">
        <w:rPr>
          <w:noProof w:val="0"/>
        </w:rPr>
        <w:t>4.1</w:t>
      </w:r>
      <w:r w:rsidRPr="00075492">
        <w:rPr>
          <w:noProof w:val="0"/>
        </w:rPr>
        <w:tab/>
        <w:t>Inledning</w:t>
      </w:r>
      <w:r w:rsidRPr="00075492">
        <w:rPr>
          <w:noProof w:val="0"/>
        </w:rPr>
        <w:tab/>
        <w:t>48</w:t>
      </w:r>
    </w:p>
    <w:p w:rsidR="00547E7E" w:rsidRPr="00075492" w:rsidRDefault="00547E7E">
      <w:pPr>
        <w:pStyle w:val="Innehll2"/>
        <w:tabs>
          <w:tab w:val="left" w:pos="709"/>
        </w:tabs>
        <w:rPr>
          <w:noProof w:val="0"/>
        </w:rPr>
      </w:pPr>
      <w:r w:rsidRPr="00075492">
        <w:rPr>
          <w:noProof w:val="0"/>
        </w:rPr>
        <w:t>4.2</w:t>
      </w:r>
      <w:r w:rsidRPr="00075492">
        <w:rPr>
          <w:noProof w:val="0"/>
        </w:rPr>
        <w:tab/>
        <w:t>Riksdagens beslut år 1989</w:t>
      </w:r>
      <w:r w:rsidRPr="00075492">
        <w:rPr>
          <w:noProof w:val="0"/>
        </w:rPr>
        <w:tab/>
        <w:t>48</w:t>
      </w:r>
    </w:p>
    <w:p w:rsidR="00547E7E" w:rsidRPr="00075492" w:rsidRDefault="00547E7E">
      <w:pPr>
        <w:pStyle w:val="Innehll2"/>
        <w:tabs>
          <w:tab w:val="left" w:pos="709"/>
        </w:tabs>
        <w:rPr>
          <w:noProof w:val="0"/>
        </w:rPr>
      </w:pPr>
      <w:r w:rsidRPr="00075492">
        <w:rPr>
          <w:noProof w:val="0"/>
        </w:rPr>
        <w:t>4.3</w:t>
      </w:r>
      <w:r w:rsidRPr="00075492">
        <w:rPr>
          <w:noProof w:val="0"/>
        </w:rPr>
        <w:tab/>
        <w:t>Lagar och regler</w:t>
      </w:r>
      <w:r w:rsidRPr="00075492">
        <w:rPr>
          <w:noProof w:val="0"/>
        </w:rPr>
        <w:tab/>
        <w:t>49</w:t>
      </w:r>
    </w:p>
    <w:p w:rsidR="00547E7E" w:rsidRPr="00075492" w:rsidRDefault="00547E7E">
      <w:pPr>
        <w:pStyle w:val="Innehll2"/>
        <w:tabs>
          <w:tab w:val="left" w:pos="709"/>
        </w:tabs>
        <w:rPr>
          <w:noProof w:val="0"/>
        </w:rPr>
      </w:pPr>
      <w:r w:rsidRPr="00075492">
        <w:rPr>
          <w:noProof w:val="0"/>
        </w:rPr>
        <w:t>4.4</w:t>
      </w:r>
      <w:r w:rsidRPr="00075492">
        <w:rPr>
          <w:noProof w:val="0"/>
        </w:rPr>
        <w:tab/>
        <w:t>Regeringens styrning av livsmedelstillsynen</w:t>
      </w:r>
      <w:r w:rsidRPr="00075492">
        <w:rPr>
          <w:noProof w:val="0"/>
        </w:rPr>
        <w:tab/>
        <w:t>49</w:t>
      </w:r>
    </w:p>
    <w:p w:rsidR="00547E7E" w:rsidRPr="00075492" w:rsidRDefault="00547E7E">
      <w:pPr>
        <w:pStyle w:val="Innehll2"/>
        <w:tabs>
          <w:tab w:val="left" w:pos="709"/>
        </w:tabs>
        <w:rPr>
          <w:noProof w:val="0"/>
        </w:rPr>
      </w:pPr>
      <w:r w:rsidRPr="00075492">
        <w:rPr>
          <w:noProof w:val="0"/>
        </w:rPr>
        <w:t>4.5</w:t>
      </w:r>
      <w:r w:rsidRPr="00075492">
        <w:rPr>
          <w:noProof w:val="0"/>
        </w:rPr>
        <w:tab/>
        <w:t>Livsmedelsverkets uppgifter</w:t>
      </w:r>
      <w:r w:rsidRPr="00075492">
        <w:rPr>
          <w:noProof w:val="0"/>
        </w:rPr>
        <w:tab/>
        <w:t>50</w:t>
      </w:r>
    </w:p>
    <w:p w:rsidR="00547E7E" w:rsidRPr="00075492" w:rsidRDefault="00547E7E">
      <w:pPr>
        <w:pStyle w:val="Innehll3"/>
        <w:tabs>
          <w:tab w:val="left" w:pos="1140"/>
        </w:tabs>
        <w:rPr>
          <w:noProof w:val="0"/>
        </w:rPr>
      </w:pPr>
      <w:r w:rsidRPr="00075492">
        <w:rPr>
          <w:noProof w:val="0"/>
        </w:rPr>
        <w:t>4.5.1</w:t>
      </w:r>
      <w:r w:rsidRPr="00075492">
        <w:rPr>
          <w:noProof w:val="0"/>
        </w:rPr>
        <w:tab/>
        <w:t>Livsmedelsverkets mål</w:t>
      </w:r>
      <w:r w:rsidRPr="00075492">
        <w:rPr>
          <w:noProof w:val="0"/>
        </w:rPr>
        <w:tab/>
        <w:t>51</w:t>
      </w:r>
    </w:p>
    <w:p w:rsidR="00547E7E" w:rsidRPr="00075492" w:rsidRDefault="00547E7E">
      <w:pPr>
        <w:pStyle w:val="Innehll2"/>
        <w:tabs>
          <w:tab w:val="left" w:pos="709"/>
        </w:tabs>
        <w:rPr>
          <w:noProof w:val="0"/>
        </w:rPr>
      </w:pPr>
      <w:r w:rsidRPr="00075492">
        <w:rPr>
          <w:noProof w:val="0"/>
        </w:rPr>
        <w:t>4.6</w:t>
      </w:r>
      <w:r w:rsidRPr="00075492">
        <w:rPr>
          <w:noProof w:val="0"/>
        </w:rPr>
        <w:tab/>
        <w:t>Ansvarsfördelning mellan Livsmedelsverket och kommunerna</w:t>
      </w:r>
      <w:r w:rsidRPr="00075492">
        <w:rPr>
          <w:noProof w:val="0"/>
        </w:rPr>
        <w:tab/>
        <w:t>52</w:t>
      </w:r>
    </w:p>
    <w:p w:rsidR="00547E7E" w:rsidRPr="00075492" w:rsidRDefault="00547E7E">
      <w:pPr>
        <w:pStyle w:val="Innehll2"/>
        <w:tabs>
          <w:tab w:val="left" w:pos="709"/>
        </w:tabs>
        <w:rPr>
          <w:noProof w:val="0"/>
        </w:rPr>
      </w:pPr>
      <w:r w:rsidRPr="00075492">
        <w:rPr>
          <w:noProof w:val="0"/>
        </w:rPr>
        <w:t>4.7</w:t>
      </w:r>
      <w:r w:rsidRPr="00075492">
        <w:rPr>
          <w:noProof w:val="0"/>
        </w:rPr>
        <w:tab/>
        <w:t>Länsstyrelserna</w:t>
      </w:r>
      <w:r w:rsidRPr="00075492">
        <w:rPr>
          <w:noProof w:val="0"/>
        </w:rPr>
        <w:tab/>
        <w:t>53</w:t>
      </w:r>
    </w:p>
    <w:p w:rsidR="00547E7E" w:rsidRPr="00075492" w:rsidRDefault="00547E7E">
      <w:pPr>
        <w:pStyle w:val="Innehll2"/>
        <w:tabs>
          <w:tab w:val="left" w:pos="709"/>
        </w:tabs>
        <w:rPr>
          <w:noProof w:val="0"/>
        </w:rPr>
      </w:pPr>
      <w:r w:rsidRPr="00075492">
        <w:rPr>
          <w:noProof w:val="0"/>
        </w:rPr>
        <w:t>4.8</w:t>
      </w:r>
      <w:r w:rsidRPr="00075492">
        <w:rPr>
          <w:noProof w:val="0"/>
        </w:rPr>
        <w:tab/>
        <w:t>Kommunernas tillsynsansvar</w:t>
      </w:r>
      <w:r w:rsidRPr="00075492">
        <w:rPr>
          <w:noProof w:val="0"/>
        </w:rPr>
        <w:tab/>
        <w:t>53</w:t>
      </w:r>
    </w:p>
    <w:p w:rsidR="00547E7E" w:rsidRPr="00075492" w:rsidRDefault="00547E7E">
      <w:pPr>
        <w:pStyle w:val="Innehll2"/>
        <w:tabs>
          <w:tab w:val="left" w:pos="709"/>
        </w:tabs>
        <w:rPr>
          <w:noProof w:val="0"/>
        </w:rPr>
      </w:pPr>
      <w:r w:rsidRPr="00075492">
        <w:rPr>
          <w:noProof w:val="0"/>
        </w:rPr>
        <w:t>4.9</w:t>
      </w:r>
      <w:r w:rsidRPr="00075492">
        <w:rPr>
          <w:noProof w:val="0"/>
        </w:rPr>
        <w:tab/>
        <w:t>Aktuella förslag om ansvarsfördelning mellan stat och kommun</w:t>
      </w:r>
      <w:r w:rsidRPr="00075492">
        <w:rPr>
          <w:noProof w:val="0"/>
        </w:rPr>
        <w:tab/>
        <w:t>54</w:t>
      </w:r>
    </w:p>
    <w:p w:rsidR="00547E7E" w:rsidRPr="00075492" w:rsidRDefault="00547E7E">
      <w:pPr>
        <w:pStyle w:val="Innehll3"/>
        <w:tabs>
          <w:tab w:val="left" w:pos="1140"/>
        </w:tabs>
        <w:rPr>
          <w:noProof w:val="0"/>
        </w:rPr>
      </w:pPr>
      <w:r w:rsidRPr="00075492">
        <w:rPr>
          <w:noProof w:val="0"/>
        </w:rPr>
        <w:t>4.9.1</w:t>
      </w:r>
      <w:r w:rsidRPr="00075492">
        <w:rPr>
          <w:noProof w:val="0"/>
        </w:rPr>
        <w:tab/>
        <w:t>Utredningen om livsmedelstillsynen i Sverige (SOU 1998:6)</w:t>
      </w:r>
      <w:r w:rsidRPr="00075492">
        <w:rPr>
          <w:noProof w:val="0"/>
        </w:rPr>
        <w:tab/>
        <w:t>54</w:t>
      </w:r>
    </w:p>
    <w:p w:rsidR="00547E7E" w:rsidRPr="00075492" w:rsidRDefault="00547E7E">
      <w:pPr>
        <w:pStyle w:val="Innehll3"/>
        <w:tabs>
          <w:tab w:val="left" w:pos="1140"/>
        </w:tabs>
        <w:rPr>
          <w:noProof w:val="0"/>
        </w:rPr>
      </w:pPr>
      <w:r w:rsidRPr="00075492">
        <w:rPr>
          <w:noProof w:val="0"/>
        </w:rPr>
        <w:t>4.9.2</w:t>
      </w:r>
      <w:r w:rsidRPr="00075492">
        <w:rPr>
          <w:noProof w:val="0"/>
        </w:rPr>
        <w:tab/>
        <w:t>Livsmedelsverkets rapport, Effektivare livsmedelstillsyn</w:t>
      </w:r>
      <w:r w:rsidRPr="00075492">
        <w:rPr>
          <w:noProof w:val="0"/>
        </w:rPr>
        <w:tab/>
        <w:t>54</w:t>
      </w:r>
    </w:p>
    <w:p w:rsidR="00547E7E" w:rsidRPr="00075492" w:rsidRDefault="00547E7E">
      <w:pPr>
        <w:pStyle w:val="Innehll3"/>
        <w:tabs>
          <w:tab w:val="left" w:pos="1140"/>
        </w:tabs>
        <w:rPr>
          <w:noProof w:val="0"/>
        </w:rPr>
      </w:pPr>
      <w:r w:rsidRPr="00075492">
        <w:rPr>
          <w:noProof w:val="0"/>
        </w:rPr>
        <w:t>4.9.3</w:t>
      </w:r>
      <w:r w:rsidRPr="00075492">
        <w:rPr>
          <w:noProof w:val="0"/>
        </w:rPr>
        <w:tab/>
        <w:t>Länsstyrelsernas arbetsgrupp, promemoria</w:t>
      </w:r>
      <w:r w:rsidRPr="00075492">
        <w:rPr>
          <w:noProof w:val="0"/>
        </w:rPr>
        <w:tab/>
        <w:t>55</w:t>
      </w:r>
    </w:p>
    <w:p w:rsidR="00547E7E" w:rsidRPr="00075492" w:rsidRDefault="00547E7E">
      <w:pPr>
        <w:pStyle w:val="Innehll3"/>
        <w:tabs>
          <w:tab w:val="left" w:pos="1140"/>
        </w:tabs>
        <w:rPr>
          <w:noProof w:val="0"/>
        </w:rPr>
      </w:pPr>
      <w:r w:rsidRPr="00075492">
        <w:rPr>
          <w:noProof w:val="0"/>
        </w:rPr>
        <w:t>4.9.4</w:t>
      </w:r>
      <w:r w:rsidRPr="00075492">
        <w:rPr>
          <w:noProof w:val="0"/>
        </w:rPr>
        <w:tab/>
        <w:t>Utredning inom Regeringskansliet</w:t>
      </w:r>
      <w:r w:rsidRPr="00075492">
        <w:rPr>
          <w:noProof w:val="0"/>
        </w:rPr>
        <w:tab/>
        <w:t>55</w:t>
      </w:r>
    </w:p>
    <w:p w:rsidR="00547E7E" w:rsidRPr="00075492" w:rsidRDefault="00547E7E">
      <w:pPr>
        <w:pStyle w:val="Innehll2"/>
        <w:tabs>
          <w:tab w:val="left" w:pos="993"/>
        </w:tabs>
        <w:rPr>
          <w:noProof w:val="0"/>
        </w:rPr>
      </w:pPr>
      <w:r w:rsidRPr="00075492">
        <w:rPr>
          <w:noProof w:val="0"/>
        </w:rPr>
        <w:t>4.10</w:t>
      </w:r>
      <w:r w:rsidRPr="00075492">
        <w:rPr>
          <w:noProof w:val="0"/>
        </w:rPr>
        <w:tab/>
        <w:t>Sammanfattning</w:t>
      </w:r>
      <w:r w:rsidRPr="00075492">
        <w:rPr>
          <w:noProof w:val="0"/>
        </w:rPr>
        <w:tab/>
        <w:t>56</w:t>
      </w:r>
    </w:p>
    <w:p w:rsidR="00547E7E" w:rsidRPr="00075492" w:rsidRDefault="00547E7E">
      <w:pPr>
        <w:pStyle w:val="Innehll1"/>
        <w:tabs>
          <w:tab w:val="left" w:pos="380"/>
          <w:tab w:val="right" w:leader="dot" w:pos="5886"/>
        </w:tabs>
      </w:pPr>
      <w:r w:rsidRPr="00075492">
        <w:t>5</w:t>
      </w:r>
      <w:r w:rsidRPr="00075492">
        <w:tab/>
        <w:t>Livsmedelsverket</w:t>
      </w:r>
      <w:r w:rsidRPr="00075492">
        <w:tab/>
        <w:t>57</w:t>
      </w:r>
    </w:p>
    <w:p w:rsidR="00547E7E" w:rsidRPr="00075492" w:rsidRDefault="00547E7E">
      <w:pPr>
        <w:pStyle w:val="Innehll2"/>
        <w:tabs>
          <w:tab w:val="left" w:pos="709"/>
        </w:tabs>
        <w:rPr>
          <w:noProof w:val="0"/>
        </w:rPr>
      </w:pPr>
      <w:r w:rsidRPr="00075492">
        <w:rPr>
          <w:noProof w:val="0"/>
        </w:rPr>
        <w:t>5.1</w:t>
      </w:r>
      <w:r w:rsidRPr="00075492">
        <w:rPr>
          <w:noProof w:val="0"/>
        </w:rPr>
        <w:tab/>
        <w:t>Inledning</w:t>
      </w:r>
      <w:r w:rsidRPr="00075492">
        <w:rPr>
          <w:noProof w:val="0"/>
        </w:rPr>
        <w:tab/>
        <w:t>57</w:t>
      </w:r>
    </w:p>
    <w:p w:rsidR="00547E7E" w:rsidRPr="00075492" w:rsidRDefault="00547E7E">
      <w:pPr>
        <w:pStyle w:val="Innehll2"/>
        <w:tabs>
          <w:tab w:val="left" w:pos="709"/>
        </w:tabs>
        <w:rPr>
          <w:noProof w:val="0"/>
        </w:rPr>
      </w:pPr>
      <w:r w:rsidRPr="00075492">
        <w:rPr>
          <w:noProof w:val="0"/>
        </w:rPr>
        <w:t>5.2</w:t>
      </w:r>
      <w:r w:rsidRPr="00075492">
        <w:rPr>
          <w:noProof w:val="0"/>
        </w:rPr>
        <w:tab/>
        <w:t>Verksamhet och organisation</w:t>
      </w:r>
      <w:r w:rsidRPr="00075492">
        <w:rPr>
          <w:noProof w:val="0"/>
        </w:rPr>
        <w:tab/>
        <w:t>57</w:t>
      </w:r>
    </w:p>
    <w:p w:rsidR="00547E7E" w:rsidRPr="00075492" w:rsidRDefault="00547E7E">
      <w:pPr>
        <w:pStyle w:val="Innehll2"/>
        <w:tabs>
          <w:tab w:val="left" w:pos="709"/>
        </w:tabs>
        <w:rPr>
          <w:noProof w:val="0"/>
        </w:rPr>
      </w:pPr>
      <w:r w:rsidRPr="00075492">
        <w:rPr>
          <w:noProof w:val="0"/>
        </w:rPr>
        <w:t>5.3</w:t>
      </w:r>
      <w:r w:rsidRPr="00075492">
        <w:rPr>
          <w:noProof w:val="0"/>
        </w:rPr>
        <w:tab/>
        <w:t>Kostnader och finansiering</w:t>
      </w:r>
      <w:r w:rsidRPr="00075492">
        <w:rPr>
          <w:noProof w:val="0"/>
        </w:rPr>
        <w:tab/>
        <w:t>59</w:t>
      </w:r>
    </w:p>
    <w:p w:rsidR="00547E7E" w:rsidRPr="00075492" w:rsidRDefault="00547E7E">
      <w:pPr>
        <w:pStyle w:val="Innehll2"/>
        <w:tabs>
          <w:tab w:val="left" w:pos="709"/>
        </w:tabs>
        <w:rPr>
          <w:noProof w:val="0"/>
        </w:rPr>
      </w:pPr>
      <w:r w:rsidRPr="00075492">
        <w:rPr>
          <w:noProof w:val="0"/>
        </w:rPr>
        <w:t>5.4</w:t>
      </w:r>
      <w:r w:rsidRPr="00075492">
        <w:rPr>
          <w:noProof w:val="0"/>
        </w:rPr>
        <w:tab/>
        <w:t>Normgivning</w:t>
      </w:r>
      <w:r w:rsidRPr="00075492">
        <w:rPr>
          <w:noProof w:val="0"/>
        </w:rPr>
        <w:tab/>
        <w:t>60</w:t>
      </w:r>
    </w:p>
    <w:p w:rsidR="00547E7E" w:rsidRPr="00075492" w:rsidRDefault="00547E7E">
      <w:pPr>
        <w:pStyle w:val="Innehll3"/>
        <w:tabs>
          <w:tab w:val="left" w:pos="1140"/>
        </w:tabs>
        <w:rPr>
          <w:noProof w:val="0"/>
        </w:rPr>
      </w:pPr>
      <w:r w:rsidRPr="00075492">
        <w:rPr>
          <w:noProof w:val="0"/>
        </w:rPr>
        <w:t>5.4.1</w:t>
      </w:r>
      <w:r w:rsidRPr="00075492">
        <w:rPr>
          <w:noProof w:val="0"/>
        </w:rPr>
        <w:tab/>
        <w:t>Uppgifter</w:t>
      </w:r>
      <w:r w:rsidRPr="00075492">
        <w:rPr>
          <w:noProof w:val="0"/>
        </w:rPr>
        <w:tab/>
        <w:t>60</w:t>
      </w:r>
    </w:p>
    <w:p w:rsidR="00547E7E" w:rsidRPr="00075492" w:rsidRDefault="00547E7E">
      <w:pPr>
        <w:pStyle w:val="Innehll3"/>
        <w:tabs>
          <w:tab w:val="left" w:pos="1140"/>
        </w:tabs>
        <w:rPr>
          <w:noProof w:val="0"/>
        </w:rPr>
      </w:pPr>
      <w:r w:rsidRPr="00075492">
        <w:rPr>
          <w:noProof w:val="0"/>
        </w:rPr>
        <w:t>5.4.2</w:t>
      </w:r>
      <w:r w:rsidRPr="00075492">
        <w:rPr>
          <w:noProof w:val="0"/>
        </w:rPr>
        <w:tab/>
        <w:t>Regelverkets omfattning</w:t>
      </w:r>
      <w:r w:rsidRPr="00075492">
        <w:rPr>
          <w:noProof w:val="0"/>
        </w:rPr>
        <w:tab/>
        <w:t>61</w:t>
      </w:r>
    </w:p>
    <w:p w:rsidR="00547E7E" w:rsidRPr="00075492" w:rsidRDefault="00547E7E">
      <w:pPr>
        <w:pStyle w:val="Innehll2"/>
        <w:tabs>
          <w:tab w:val="left" w:pos="709"/>
        </w:tabs>
        <w:rPr>
          <w:noProof w:val="0"/>
        </w:rPr>
      </w:pPr>
      <w:r w:rsidRPr="00075492">
        <w:rPr>
          <w:noProof w:val="0"/>
        </w:rPr>
        <w:t>5.5</w:t>
      </w:r>
      <w:r w:rsidRPr="00075492">
        <w:rPr>
          <w:noProof w:val="0"/>
        </w:rPr>
        <w:tab/>
        <w:t>Ledning och samordning av den kommunala tillsynen</w:t>
      </w:r>
      <w:r w:rsidRPr="00075492">
        <w:rPr>
          <w:noProof w:val="0"/>
        </w:rPr>
        <w:tab/>
        <w:t>62</w:t>
      </w:r>
    </w:p>
    <w:p w:rsidR="00547E7E" w:rsidRPr="00075492" w:rsidRDefault="00547E7E">
      <w:pPr>
        <w:pStyle w:val="Innehll3"/>
        <w:tabs>
          <w:tab w:val="left" w:pos="1140"/>
        </w:tabs>
        <w:rPr>
          <w:noProof w:val="0"/>
        </w:rPr>
      </w:pPr>
      <w:r w:rsidRPr="00075492">
        <w:rPr>
          <w:noProof w:val="0"/>
        </w:rPr>
        <w:t>5.5.1</w:t>
      </w:r>
      <w:r w:rsidRPr="00075492">
        <w:rPr>
          <w:noProof w:val="0"/>
        </w:rPr>
        <w:tab/>
        <w:t>Instrument</w:t>
      </w:r>
      <w:r w:rsidRPr="00075492">
        <w:rPr>
          <w:noProof w:val="0"/>
        </w:rPr>
        <w:tab/>
        <w:t>62</w:t>
      </w:r>
    </w:p>
    <w:p w:rsidR="00547E7E" w:rsidRPr="00075492" w:rsidRDefault="00547E7E">
      <w:pPr>
        <w:pStyle w:val="Innehll3"/>
        <w:tabs>
          <w:tab w:val="left" w:pos="1140"/>
        </w:tabs>
        <w:rPr>
          <w:noProof w:val="0"/>
        </w:rPr>
      </w:pPr>
      <w:r w:rsidRPr="00075492">
        <w:rPr>
          <w:noProof w:val="0"/>
        </w:rPr>
        <w:t>5.5.2</w:t>
      </w:r>
      <w:r w:rsidRPr="00075492">
        <w:rPr>
          <w:noProof w:val="0"/>
        </w:rPr>
        <w:tab/>
        <w:t>Information och vägledning</w:t>
      </w:r>
      <w:r w:rsidRPr="00075492">
        <w:rPr>
          <w:noProof w:val="0"/>
        </w:rPr>
        <w:tab/>
        <w:t>63</w:t>
      </w:r>
    </w:p>
    <w:p w:rsidR="00547E7E" w:rsidRPr="00075492" w:rsidRDefault="00547E7E">
      <w:pPr>
        <w:pStyle w:val="Innehll3"/>
        <w:tabs>
          <w:tab w:val="left" w:pos="1140"/>
        </w:tabs>
        <w:rPr>
          <w:noProof w:val="0"/>
        </w:rPr>
      </w:pPr>
      <w:r w:rsidRPr="00075492">
        <w:rPr>
          <w:noProof w:val="0"/>
        </w:rPr>
        <w:t>5.5.3</w:t>
      </w:r>
      <w:r w:rsidRPr="00075492">
        <w:rPr>
          <w:noProof w:val="0"/>
        </w:rPr>
        <w:tab/>
        <w:t>Länsmöten</w:t>
      </w:r>
      <w:r w:rsidRPr="00075492">
        <w:rPr>
          <w:noProof w:val="0"/>
        </w:rPr>
        <w:tab/>
        <w:t>63</w:t>
      </w:r>
    </w:p>
    <w:p w:rsidR="00547E7E" w:rsidRPr="00075492" w:rsidRDefault="00547E7E">
      <w:pPr>
        <w:pStyle w:val="Innehll3"/>
        <w:tabs>
          <w:tab w:val="left" w:pos="1140"/>
        </w:tabs>
        <w:rPr>
          <w:noProof w:val="0"/>
        </w:rPr>
      </w:pPr>
      <w:r w:rsidRPr="00075492">
        <w:rPr>
          <w:noProof w:val="0"/>
        </w:rPr>
        <w:t>5.5.4</w:t>
      </w:r>
      <w:r w:rsidRPr="00075492">
        <w:rPr>
          <w:noProof w:val="0"/>
        </w:rPr>
        <w:tab/>
        <w:t>Utbildning</w:t>
      </w:r>
      <w:r w:rsidRPr="00075492">
        <w:rPr>
          <w:noProof w:val="0"/>
        </w:rPr>
        <w:tab/>
        <w:t>63</w:t>
      </w:r>
    </w:p>
    <w:p w:rsidR="00547E7E" w:rsidRPr="00075492" w:rsidRDefault="00547E7E">
      <w:pPr>
        <w:pStyle w:val="Innehll3"/>
        <w:tabs>
          <w:tab w:val="left" w:pos="1140"/>
        </w:tabs>
        <w:rPr>
          <w:noProof w:val="0"/>
        </w:rPr>
      </w:pPr>
      <w:r w:rsidRPr="00075492">
        <w:rPr>
          <w:noProof w:val="0"/>
        </w:rPr>
        <w:t>5.5.5</w:t>
      </w:r>
      <w:r w:rsidRPr="00075492">
        <w:rPr>
          <w:noProof w:val="0"/>
        </w:rPr>
        <w:tab/>
        <w:t>Normerande inspektioner</w:t>
      </w:r>
      <w:r w:rsidRPr="00075492">
        <w:rPr>
          <w:noProof w:val="0"/>
        </w:rPr>
        <w:tab/>
        <w:t>63</w:t>
      </w:r>
    </w:p>
    <w:p w:rsidR="00547E7E" w:rsidRPr="00075492" w:rsidRDefault="00547E7E">
      <w:pPr>
        <w:pStyle w:val="Innehll3"/>
        <w:tabs>
          <w:tab w:val="left" w:pos="1140"/>
        </w:tabs>
        <w:rPr>
          <w:noProof w:val="0"/>
        </w:rPr>
      </w:pPr>
      <w:r w:rsidRPr="00075492">
        <w:rPr>
          <w:noProof w:val="0"/>
        </w:rPr>
        <w:t>5.5.6</w:t>
      </w:r>
      <w:r w:rsidRPr="00075492">
        <w:rPr>
          <w:noProof w:val="0"/>
        </w:rPr>
        <w:tab/>
        <w:t>Kommunbesök/kommuninspektioner</w:t>
      </w:r>
      <w:r w:rsidRPr="00075492">
        <w:rPr>
          <w:noProof w:val="0"/>
        </w:rPr>
        <w:tab/>
        <w:t>63</w:t>
      </w:r>
    </w:p>
    <w:p w:rsidR="00547E7E" w:rsidRPr="00075492" w:rsidRDefault="00547E7E">
      <w:pPr>
        <w:pStyle w:val="Innehll3"/>
        <w:tabs>
          <w:tab w:val="left" w:pos="1140"/>
        </w:tabs>
        <w:rPr>
          <w:noProof w:val="0"/>
        </w:rPr>
      </w:pPr>
      <w:r w:rsidRPr="00075492">
        <w:rPr>
          <w:noProof w:val="0"/>
        </w:rPr>
        <w:t>5.5.7</w:t>
      </w:r>
      <w:r w:rsidRPr="00075492">
        <w:rPr>
          <w:noProof w:val="0"/>
        </w:rPr>
        <w:tab/>
        <w:t>Genomförda åtgärder för ledning och samordning av den kommunala tillsynsverksamheten</w:t>
      </w:r>
      <w:r w:rsidRPr="00075492">
        <w:rPr>
          <w:noProof w:val="0"/>
        </w:rPr>
        <w:tab/>
        <w:t>64</w:t>
      </w:r>
    </w:p>
    <w:p w:rsidR="00547E7E" w:rsidRPr="00075492" w:rsidRDefault="00547E7E">
      <w:pPr>
        <w:pStyle w:val="Innehll2"/>
        <w:tabs>
          <w:tab w:val="left" w:pos="709"/>
        </w:tabs>
        <w:rPr>
          <w:noProof w:val="0"/>
        </w:rPr>
      </w:pPr>
      <w:r w:rsidRPr="00075492">
        <w:rPr>
          <w:noProof w:val="0"/>
        </w:rPr>
        <w:t>5.6</w:t>
      </w:r>
      <w:r w:rsidRPr="00075492">
        <w:rPr>
          <w:noProof w:val="0"/>
        </w:rPr>
        <w:tab/>
        <w:t>Rapporteringssystem</w:t>
      </w:r>
      <w:r w:rsidRPr="00075492">
        <w:rPr>
          <w:noProof w:val="0"/>
        </w:rPr>
        <w:tab/>
        <w:t>66</w:t>
      </w:r>
    </w:p>
    <w:p w:rsidR="00547E7E" w:rsidRPr="00075492" w:rsidRDefault="00547E7E">
      <w:pPr>
        <w:pStyle w:val="Innehll3"/>
        <w:tabs>
          <w:tab w:val="left" w:pos="1140"/>
        </w:tabs>
        <w:rPr>
          <w:noProof w:val="0"/>
        </w:rPr>
      </w:pPr>
      <w:r w:rsidRPr="00075492">
        <w:rPr>
          <w:noProof w:val="0"/>
        </w:rPr>
        <w:t>5.6.1</w:t>
      </w:r>
      <w:r w:rsidRPr="00075492">
        <w:rPr>
          <w:noProof w:val="0"/>
        </w:rPr>
        <w:tab/>
        <w:t>Rapporteringsordning</w:t>
      </w:r>
      <w:r w:rsidRPr="00075492">
        <w:rPr>
          <w:noProof w:val="0"/>
        </w:rPr>
        <w:tab/>
        <w:t>66</w:t>
      </w:r>
    </w:p>
    <w:p w:rsidR="00547E7E" w:rsidRPr="00075492" w:rsidRDefault="00547E7E">
      <w:pPr>
        <w:pStyle w:val="Innehll3"/>
        <w:tabs>
          <w:tab w:val="left" w:pos="1140"/>
        </w:tabs>
        <w:rPr>
          <w:noProof w:val="0"/>
        </w:rPr>
      </w:pPr>
      <w:r w:rsidRPr="00075492">
        <w:rPr>
          <w:noProof w:val="0"/>
        </w:rPr>
        <w:t>5.6.2</w:t>
      </w:r>
      <w:r w:rsidRPr="00075492">
        <w:rPr>
          <w:noProof w:val="0"/>
        </w:rPr>
        <w:tab/>
        <w:t>Nuvarande system och beslutade förändringar</w:t>
      </w:r>
      <w:r w:rsidRPr="00075492">
        <w:rPr>
          <w:noProof w:val="0"/>
        </w:rPr>
        <w:tab/>
        <w:t>66</w:t>
      </w:r>
    </w:p>
    <w:p w:rsidR="00547E7E" w:rsidRPr="00075492" w:rsidRDefault="00547E7E">
      <w:pPr>
        <w:pStyle w:val="Innehll2"/>
        <w:tabs>
          <w:tab w:val="left" w:pos="709"/>
        </w:tabs>
        <w:rPr>
          <w:noProof w:val="0"/>
        </w:rPr>
      </w:pPr>
      <w:r w:rsidRPr="00075492">
        <w:rPr>
          <w:noProof w:val="0"/>
        </w:rPr>
        <w:t>5.7</w:t>
      </w:r>
      <w:r w:rsidRPr="00075492">
        <w:rPr>
          <w:noProof w:val="0"/>
        </w:rPr>
        <w:tab/>
        <w:t>Livsmedelsverkets kritik av den kommunala tillsynen</w:t>
      </w:r>
      <w:r w:rsidRPr="00075492">
        <w:rPr>
          <w:noProof w:val="0"/>
        </w:rPr>
        <w:tab/>
        <w:t>67</w:t>
      </w:r>
    </w:p>
    <w:p w:rsidR="00547E7E" w:rsidRPr="00075492" w:rsidRDefault="00547E7E">
      <w:pPr>
        <w:pStyle w:val="Innehll1"/>
        <w:tabs>
          <w:tab w:val="left" w:pos="380"/>
          <w:tab w:val="right" w:leader="dot" w:pos="5886"/>
        </w:tabs>
      </w:pPr>
      <w:r w:rsidRPr="00075492">
        <w:t>Kommentar</w:t>
      </w:r>
      <w:r w:rsidRPr="00075492">
        <w:tab/>
        <w:t>68</w:t>
      </w:r>
    </w:p>
    <w:p w:rsidR="00547E7E" w:rsidRPr="00075492" w:rsidRDefault="00547E7E">
      <w:pPr>
        <w:pStyle w:val="Innehll2"/>
        <w:tabs>
          <w:tab w:val="left" w:pos="709"/>
        </w:tabs>
        <w:rPr>
          <w:noProof w:val="0"/>
        </w:rPr>
      </w:pPr>
      <w:r w:rsidRPr="00075492">
        <w:rPr>
          <w:noProof w:val="0"/>
        </w:rPr>
        <w:t>5.8</w:t>
      </w:r>
      <w:r w:rsidRPr="00075492">
        <w:rPr>
          <w:noProof w:val="0"/>
        </w:rPr>
        <w:tab/>
        <w:t>Sammanfattning</w:t>
      </w:r>
      <w:r w:rsidRPr="00075492">
        <w:rPr>
          <w:noProof w:val="0"/>
        </w:rPr>
        <w:tab/>
        <w:t>68</w:t>
      </w:r>
    </w:p>
    <w:p w:rsidR="00547E7E" w:rsidRPr="00075492" w:rsidRDefault="00547E7E">
      <w:pPr>
        <w:pStyle w:val="Innehll1"/>
        <w:tabs>
          <w:tab w:val="left" w:pos="380"/>
          <w:tab w:val="right" w:leader="dot" w:pos="5886"/>
        </w:tabs>
      </w:pPr>
      <w:r w:rsidRPr="00075492">
        <w:t>6</w:t>
      </w:r>
      <w:r w:rsidRPr="00075492">
        <w:tab/>
        <w:t>Länsstyrelserna</w:t>
      </w:r>
      <w:r w:rsidRPr="00075492">
        <w:tab/>
        <w:t>70</w:t>
      </w:r>
    </w:p>
    <w:p w:rsidR="00547E7E" w:rsidRPr="00075492" w:rsidRDefault="00547E7E">
      <w:pPr>
        <w:pStyle w:val="Innehll2"/>
        <w:tabs>
          <w:tab w:val="left" w:pos="709"/>
        </w:tabs>
        <w:rPr>
          <w:noProof w:val="0"/>
        </w:rPr>
      </w:pPr>
      <w:r w:rsidRPr="00075492">
        <w:rPr>
          <w:noProof w:val="0"/>
        </w:rPr>
        <w:t>6.1</w:t>
      </w:r>
      <w:r w:rsidRPr="00075492">
        <w:rPr>
          <w:noProof w:val="0"/>
        </w:rPr>
        <w:tab/>
        <w:t>Inledning</w:t>
      </w:r>
      <w:r w:rsidRPr="00075492">
        <w:rPr>
          <w:noProof w:val="0"/>
        </w:rPr>
        <w:tab/>
        <w:t>70</w:t>
      </w:r>
    </w:p>
    <w:p w:rsidR="00547E7E" w:rsidRPr="00075492" w:rsidRDefault="00547E7E">
      <w:pPr>
        <w:pStyle w:val="Innehll2"/>
        <w:tabs>
          <w:tab w:val="left" w:pos="709"/>
        </w:tabs>
        <w:rPr>
          <w:noProof w:val="0"/>
        </w:rPr>
      </w:pPr>
      <w:r w:rsidRPr="00075492">
        <w:rPr>
          <w:noProof w:val="0"/>
        </w:rPr>
        <w:t>6.2</w:t>
      </w:r>
      <w:r w:rsidRPr="00075492">
        <w:rPr>
          <w:noProof w:val="0"/>
        </w:rPr>
        <w:tab/>
        <w:t>Verksamhet och resurser</w:t>
      </w:r>
      <w:r w:rsidRPr="00075492">
        <w:rPr>
          <w:noProof w:val="0"/>
        </w:rPr>
        <w:tab/>
        <w:t>70</w:t>
      </w:r>
    </w:p>
    <w:p w:rsidR="00547E7E" w:rsidRPr="00075492" w:rsidRDefault="00547E7E">
      <w:pPr>
        <w:pStyle w:val="Innehll2"/>
        <w:tabs>
          <w:tab w:val="left" w:pos="709"/>
        </w:tabs>
        <w:rPr>
          <w:noProof w:val="0"/>
        </w:rPr>
      </w:pPr>
      <w:r w:rsidRPr="00075492">
        <w:rPr>
          <w:noProof w:val="0"/>
        </w:rPr>
        <w:t>6.3</w:t>
      </w:r>
      <w:r w:rsidRPr="00075492">
        <w:rPr>
          <w:noProof w:val="0"/>
        </w:rPr>
        <w:tab/>
        <w:t>Länsstyrelsernas uppföljning av den kommunala tillsynen</w:t>
      </w:r>
      <w:r w:rsidRPr="00075492">
        <w:rPr>
          <w:noProof w:val="0"/>
        </w:rPr>
        <w:tab/>
        <w:t>71</w:t>
      </w:r>
    </w:p>
    <w:p w:rsidR="00547E7E" w:rsidRPr="00075492" w:rsidRDefault="00547E7E">
      <w:pPr>
        <w:pStyle w:val="Innehll2"/>
        <w:tabs>
          <w:tab w:val="left" w:pos="709"/>
        </w:tabs>
        <w:rPr>
          <w:noProof w:val="0"/>
        </w:rPr>
      </w:pPr>
      <w:r w:rsidRPr="00075492">
        <w:rPr>
          <w:noProof w:val="0"/>
        </w:rPr>
        <w:t>6.4</w:t>
      </w:r>
      <w:r w:rsidRPr="00075492">
        <w:rPr>
          <w:noProof w:val="0"/>
        </w:rPr>
        <w:tab/>
        <w:t>Sammanfattning</w:t>
      </w:r>
      <w:r w:rsidRPr="00075492">
        <w:rPr>
          <w:noProof w:val="0"/>
        </w:rPr>
        <w:tab/>
        <w:t>72</w:t>
      </w:r>
    </w:p>
    <w:p w:rsidR="00547E7E" w:rsidRPr="00075492" w:rsidRDefault="00547E7E">
      <w:pPr>
        <w:pStyle w:val="Innehll1"/>
        <w:tabs>
          <w:tab w:val="left" w:pos="380"/>
          <w:tab w:val="right" w:leader="dot" w:pos="5886"/>
        </w:tabs>
      </w:pPr>
      <w:r w:rsidRPr="00075492">
        <w:t>7</w:t>
      </w:r>
      <w:r w:rsidRPr="00075492">
        <w:tab/>
        <w:t>Kommunernas livsmedelstillsyn</w:t>
      </w:r>
      <w:r w:rsidRPr="00075492">
        <w:tab/>
        <w:t>73</w:t>
      </w:r>
    </w:p>
    <w:p w:rsidR="00547E7E" w:rsidRPr="00075492" w:rsidRDefault="00547E7E">
      <w:pPr>
        <w:pStyle w:val="Innehll2"/>
        <w:tabs>
          <w:tab w:val="left" w:pos="709"/>
        </w:tabs>
        <w:rPr>
          <w:noProof w:val="0"/>
        </w:rPr>
      </w:pPr>
      <w:r w:rsidRPr="00075492">
        <w:rPr>
          <w:noProof w:val="0"/>
        </w:rPr>
        <w:t>7.1</w:t>
      </w:r>
      <w:r w:rsidRPr="00075492">
        <w:rPr>
          <w:noProof w:val="0"/>
        </w:rPr>
        <w:tab/>
        <w:t>Inledning</w:t>
      </w:r>
      <w:r w:rsidRPr="00075492">
        <w:rPr>
          <w:noProof w:val="0"/>
        </w:rPr>
        <w:tab/>
        <w:t>73</w:t>
      </w:r>
    </w:p>
    <w:p w:rsidR="00547E7E" w:rsidRPr="00075492" w:rsidRDefault="00547E7E">
      <w:pPr>
        <w:pStyle w:val="Innehll2"/>
        <w:tabs>
          <w:tab w:val="left" w:pos="709"/>
        </w:tabs>
        <w:rPr>
          <w:noProof w:val="0"/>
        </w:rPr>
      </w:pPr>
      <w:r w:rsidRPr="00075492">
        <w:rPr>
          <w:noProof w:val="0"/>
        </w:rPr>
        <w:t>7.2</w:t>
      </w:r>
      <w:r w:rsidRPr="00075492">
        <w:rPr>
          <w:noProof w:val="0"/>
        </w:rPr>
        <w:tab/>
        <w:t>Tillsynsansvarets innebörd</w:t>
      </w:r>
      <w:r w:rsidRPr="00075492">
        <w:rPr>
          <w:noProof w:val="0"/>
        </w:rPr>
        <w:tab/>
        <w:t>73</w:t>
      </w:r>
    </w:p>
    <w:p w:rsidR="00547E7E" w:rsidRPr="00075492" w:rsidRDefault="00547E7E">
      <w:pPr>
        <w:pStyle w:val="Innehll2"/>
        <w:tabs>
          <w:tab w:val="left" w:pos="709"/>
        </w:tabs>
        <w:rPr>
          <w:noProof w:val="0"/>
        </w:rPr>
      </w:pPr>
      <w:r w:rsidRPr="00075492">
        <w:rPr>
          <w:noProof w:val="0"/>
        </w:rPr>
        <w:t>7.3</w:t>
      </w:r>
      <w:r w:rsidRPr="00075492">
        <w:rPr>
          <w:noProof w:val="0"/>
        </w:rPr>
        <w:tab/>
        <w:t>Tillsynsansvar, resurser och organisation</w:t>
      </w:r>
      <w:r w:rsidRPr="00075492">
        <w:rPr>
          <w:noProof w:val="0"/>
        </w:rPr>
        <w:tab/>
        <w:t>73</w:t>
      </w:r>
    </w:p>
    <w:p w:rsidR="00547E7E" w:rsidRPr="00075492" w:rsidRDefault="00547E7E">
      <w:pPr>
        <w:pStyle w:val="Innehll3"/>
        <w:tabs>
          <w:tab w:val="left" w:pos="1140"/>
        </w:tabs>
        <w:rPr>
          <w:noProof w:val="0"/>
        </w:rPr>
      </w:pPr>
      <w:r w:rsidRPr="00075492">
        <w:rPr>
          <w:noProof w:val="0"/>
        </w:rPr>
        <w:t>7.3.1</w:t>
      </w:r>
      <w:r w:rsidRPr="00075492">
        <w:rPr>
          <w:noProof w:val="0"/>
        </w:rPr>
        <w:tab/>
        <w:t>Tillsynsansvar och resurser</w:t>
      </w:r>
      <w:r w:rsidRPr="00075492">
        <w:rPr>
          <w:noProof w:val="0"/>
        </w:rPr>
        <w:tab/>
        <w:t>73</w:t>
      </w:r>
    </w:p>
    <w:p w:rsidR="00547E7E" w:rsidRPr="00075492" w:rsidRDefault="00547E7E">
      <w:pPr>
        <w:pStyle w:val="Innehll3"/>
        <w:tabs>
          <w:tab w:val="left" w:pos="1140"/>
        </w:tabs>
        <w:rPr>
          <w:noProof w:val="0"/>
        </w:rPr>
      </w:pPr>
      <w:r w:rsidRPr="00075492">
        <w:rPr>
          <w:noProof w:val="0"/>
        </w:rPr>
        <w:t>7.3.2</w:t>
      </w:r>
      <w:r w:rsidRPr="00075492">
        <w:rPr>
          <w:noProof w:val="0"/>
        </w:rPr>
        <w:tab/>
        <w:t>Organisation</w:t>
      </w:r>
      <w:r w:rsidRPr="00075492">
        <w:rPr>
          <w:noProof w:val="0"/>
        </w:rPr>
        <w:tab/>
        <w:t>74</w:t>
      </w:r>
    </w:p>
    <w:p w:rsidR="00547E7E" w:rsidRPr="00075492" w:rsidRDefault="00547E7E">
      <w:pPr>
        <w:pStyle w:val="Innehll2"/>
        <w:tabs>
          <w:tab w:val="left" w:pos="709"/>
        </w:tabs>
        <w:rPr>
          <w:noProof w:val="0"/>
        </w:rPr>
      </w:pPr>
      <w:r w:rsidRPr="00075492">
        <w:rPr>
          <w:noProof w:val="0"/>
        </w:rPr>
        <w:t>7.4</w:t>
      </w:r>
      <w:r w:rsidRPr="00075492">
        <w:rPr>
          <w:noProof w:val="0"/>
        </w:rPr>
        <w:tab/>
        <w:t>Tillsynsaktiviteter</w:t>
      </w:r>
      <w:r w:rsidRPr="00075492">
        <w:rPr>
          <w:noProof w:val="0"/>
        </w:rPr>
        <w:tab/>
        <w:t>76</w:t>
      </w:r>
    </w:p>
    <w:p w:rsidR="00547E7E" w:rsidRPr="00075492" w:rsidRDefault="00547E7E">
      <w:pPr>
        <w:pStyle w:val="Innehll3"/>
        <w:tabs>
          <w:tab w:val="left" w:pos="1140"/>
        </w:tabs>
        <w:rPr>
          <w:noProof w:val="0"/>
        </w:rPr>
      </w:pPr>
      <w:r w:rsidRPr="00075492">
        <w:rPr>
          <w:noProof w:val="0"/>
        </w:rPr>
        <w:t>7.4.1</w:t>
      </w:r>
      <w:r w:rsidRPr="00075492">
        <w:rPr>
          <w:noProof w:val="0"/>
        </w:rPr>
        <w:tab/>
        <w:t>Godkännande av lokal</w:t>
      </w:r>
      <w:r w:rsidRPr="00075492">
        <w:rPr>
          <w:noProof w:val="0"/>
        </w:rPr>
        <w:tab/>
        <w:t>76</w:t>
      </w:r>
    </w:p>
    <w:p w:rsidR="00547E7E" w:rsidRPr="00075492" w:rsidRDefault="00547E7E">
      <w:pPr>
        <w:pStyle w:val="Innehll3"/>
        <w:tabs>
          <w:tab w:val="left" w:pos="1140"/>
        </w:tabs>
        <w:rPr>
          <w:noProof w:val="0"/>
        </w:rPr>
      </w:pPr>
      <w:r w:rsidRPr="00075492">
        <w:rPr>
          <w:noProof w:val="0"/>
        </w:rPr>
        <w:t>7.4.2</w:t>
      </w:r>
      <w:r w:rsidRPr="00075492">
        <w:rPr>
          <w:noProof w:val="0"/>
        </w:rPr>
        <w:tab/>
        <w:t>Hantering av livsmedel på annat ställe än i livsmedelslokal, s.k. § 16 – tillstånd</w:t>
      </w:r>
      <w:r w:rsidRPr="00075492">
        <w:rPr>
          <w:noProof w:val="0"/>
        </w:rPr>
        <w:tab/>
        <w:t>77</w:t>
      </w:r>
    </w:p>
    <w:p w:rsidR="00547E7E" w:rsidRPr="00075492" w:rsidRDefault="00547E7E">
      <w:pPr>
        <w:pStyle w:val="Innehll3"/>
        <w:tabs>
          <w:tab w:val="left" w:pos="1140"/>
        </w:tabs>
        <w:rPr>
          <w:noProof w:val="0"/>
        </w:rPr>
      </w:pPr>
      <w:r w:rsidRPr="00075492">
        <w:rPr>
          <w:noProof w:val="0"/>
        </w:rPr>
        <w:t>7.4.3</w:t>
      </w:r>
      <w:r w:rsidRPr="00075492">
        <w:rPr>
          <w:noProof w:val="0"/>
        </w:rPr>
        <w:tab/>
        <w:t>Fastställande av egenkontrollprogram</w:t>
      </w:r>
      <w:r w:rsidRPr="00075492">
        <w:rPr>
          <w:noProof w:val="0"/>
        </w:rPr>
        <w:tab/>
        <w:t>77</w:t>
      </w:r>
    </w:p>
    <w:p w:rsidR="00547E7E" w:rsidRPr="00075492" w:rsidRDefault="00547E7E">
      <w:pPr>
        <w:pStyle w:val="Innehll3"/>
        <w:tabs>
          <w:tab w:val="left" w:pos="1140"/>
        </w:tabs>
        <w:rPr>
          <w:noProof w:val="0"/>
        </w:rPr>
      </w:pPr>
      <w:r w:rsidRPr="00075492">
        <w:rPr>
          <w:noProof w:val="0"/>
        </w:rPr>
        <w:t>7.4.4</w:t>
      </w:r>
      <w:r w:rsidRPr="00075492">
        <w:rPr>
          <w:noProof w:val="0"/>
        </w:rPr>
        <w:tab/>
        <w:t>Inspektioner</w:t>
      </w:r>
      <w:r w:rsidRPr="00075492">
        <w:rPr>
          <w:noProof w:val="0"/>
        </w:rPr>
        <w:tab/>
        <w:t>77</w:t>
      </w:r>
    </w:p>
    <w:p w:rsidR="00547E7E" w:rsidRPr="00075492" w:rsidRDefault="00547E7E">
      <w:pPr>
        <w:pStyle w:val="Innehll3"/>
        <w:tabs>
          <w:tab w:val="left" w:pos="1140"/>
        </w:tabs>
        <w:rPr>
          <w:noProof w:val="0"/>
        </w:rPr>
      </w:pPr>
      <w:r w:rsidRPr="00075492">
        <w:rPr>
          <w:noProof w:val="0"/>
        </w:rPr>
        <w:t>7.4.5</w:t>
      </w:r>
      <w:r w:rsidRPr="00075492">
        <w:rPr>
          <w:noProof w:val="0"/>
        </w:rPr>
        <w:tab/>
        <w:t>Provtagning</w:t>
      </w:r>
      <w:r w:rsidRPr="00075492">
        <w:rPr>
          <w:noProof w:val="0"/>
        </w:rPr>
        <w:tab/>
        <w:t>79</w:t>
      </w:r>
    </w:p>
    <w:p w:rsidR="00547E7E" w:rsidRPr="00075492" w:rsidRDefault="00547E7E">
      <w:pPr>
        <w:pStyle w:val="Innehll3"/>
        <w:tabs>
          <w:tab w:val="left" w:pos="1140"/>
        </w:tabs>
        <w:rPr>
          <w:noProof w:val="0"/>
        </w:rPr>
      </w:pPr>
      <w:r w:rsidRPr="00075492">
        <w:rPr>
          <w:noProof w:val="0"/>
        </w:rPr>
        <w:t>7.4.6</w:t>
      </w:r>
      <w:r w:rsidRPr="00075492">
        <w:rPr>
          <w:noProof w:val="0"/>
        </w:rPr>
        <w:tab/>
        <w:t>Uppföljande åtgärd</w:t>
      </w:r>
      <w:r w:rsidRPr="00075492">
        <w:rPr>
          <w:noProof w:val="0"/>
        </w:rPr>
        <w:tab/>
        <w:t>79</w:t>
      </w:r>
    </w:p>
    <w:p w:rsidR="00547E7E" w:rsidRPr="00075492" w:rsidRDefault="00547E7E">
      <w:pPr>
        <w:pStyle w:val="Innehll2"/>
        <w:tabs>
          <w:tab w:val="left" w:pos="709"/>
        </w:tabs>
        <w:rPr>
          <w:noProof w:val="0"/>
        </w:rPr>
      </w:pPr>
      <w:r w:rsidRPr="00075492">
        <w:rPr>
          <w:noProof w:val="0"/>
        </w:rPr>
        <w:t>7.5</w:t>
      </w:r>
      <w:r w:rsidRPr="00075492">
        <w:rPr>
          <w:noProof w:val="0"/>
        </w:rPr>
        <w:tab/>
        <w:t>Kommunal samverkan</w:t>
      </w:r>
      <w:r w:rsidRPr="00075492">
        <w:rPr>
          <w:noProof w:val="0"/>
        </w:rPr>
        <w:tab/>
        <w:t>79</w:t>
      </w:r>
    </w:p>
    <w:p w:rsidR="00547E7E" w:rsidRPr="00075492" w:rsidRDefault="00547E7E">
      <w:pPr>
        <w:pStyle w:val="Innehll3"/>
        <w:tabs>
          <w:tab w:val="left" w:pos="1140"/>
        </w:tabs>
        <w:rPr>
          <w:noProof w:val="0"/>
        </w:rPr>
      </w:pPr>
      <w:r w:rsidRPr="00075492">
        <w:rPr>
          <w:noProof w:val="0"/>
        </w:rPr>
        <w:t>7.5.1</w:t>
      </w:r>
      <w:r w:rsidRPr="00075492">
        <w:rPr>
          <w:noProof w:val="0"/>
        </w:rPr>
        <w:tab/>
        <w:t>Inom kommunerna</w:t>
      </w:r>
      <w:r w:rsidRPr="00075492">
        <w:rPr>
          <w:noProof w:val="0"/>
        </w:rPr>
        <w:tab/>
        <w:t>79</w:t>
      </w:r>
    </w:p>
    <w:p w:rsidR="00547E7E" w:rsidRPr="00075492" w:rsidRDefault="00547E7E">
      <w:pPr>
        <w:pStyle w:val="Innehll3"/>
        <w:tabs>
          <w:tab w:val="left" w:pos="1140"/>
        </w:tabs>
        <w:rPr>
          <w:noProof w:val="0"/>
        </w:rPr>
      </w:pPr>
      <w:r w:rsidRPr="00075492">
        <w:rPr>
          <w:noProof w:val="0"/>
        </w:rPr>
        <w:t>7.5.2</w:t>
      </w:r>
      <w:r w:rsidRPr="00075492">
        <w:rPr>
          <w:noProof w:val="0"/>
        </w:rPr>
        <w:tab/>
        <w:t>Mellan kommunerna</w:t>
      </w:r>
      <w:r w:rsidRPr="00075492">
        <w:rPr>
          <w:noProof w:val="0"/>
        </w:rPr>
        <w:tab/>
        <w:t>80</w:t>
      </w:r>
    </w:p>
    <w:p w:rsidR="00547E7E" w:rsidRPr="00075492" w:rsidRDefault="00547E7E">
      <w:pPr>
        <w:pStyle w:val="Innehll2"/>
        <w:tabs>
          <w:tab w:val="left" w:pos="709"/>
        </w:tabs>
        <w:rPr>
          <w:noProof w:val="0"/>
        </w:rPr>
      </w:pPr>
      <w:r w:rsidRPr="00075492">
        <w:rPr>
          <w:noProof w:val="0"/>
        </w:rPr>
        <w:t>7.6</w:t>
      </w:r>
      <w:r w:rsidRPr="00075492">
        <w:rPr>
          <w:noProof w:val="0"/>
        </w:rPr>
        <w:tab/>
        <w:t>Sammanfattning</w:t>
      </w:r>
      <w:r w:rsidRPr="00075492">
        <w:rPr>
          <w:noProof w:val="0"/>
        </w:rPr>
        <w:tab/>
        <w:t>81</w:t>
      </w:r>
    </w:p>
    <w:p w:rsidR="00547E7E" w:rsidRPr="00075492" w:rsidRDefault="00547E7E">
      <w:pPr>
        <w:pStyle w:val="Innehll1"/>
        <w:tabs>
          <w:tab w:val="left" w:pos="380"/>
          <w:tab w:val="right" w:leader="dot" w:pos="5886"/>
        </w:tabs>
      </w:pPr>
      <w:r w:rsidRPr="00075492">
        <w:t>8</w:t>
      </w:r>
      <w:r w:rsidRPr="00075492">
        <w:tab/>
        <w:t>Finansieringssystem</w:t>
      </w:r>
      <w:r w:rsidRPr="00075492">
        <w:tab/>
        <w:t>83</w:t>
      </w:r>
    </w:p>
    <w:p w:rsidR="00547E7E" w:rsidRPr="00075492" w:rsidRDefault="00547E7E">
      <w:pPr>
        <w:pStyle w:val="Innehll2"/>
        <w:tabs>
          <w:tab w:val="left" w:pos="709"/>
        </w:tabs>
        <w:rPr>
          <w:noProof w:val="0"/>
        </w:rPr>
      </w:pPr>
      <w:r w:rsidRPr="00075492">
        <w:rPr>
          <w:noProof w:val="0"/>
        </w:rPr>
        <w:t>8.1</w:t>
      </w:r>
      <w:r w:rsidRPr="00075492">
        <w:rPr>
          <w:noProof w:val="0"/>
        </w:rPr>
        <w:tab/>
        <w:t>Inledning</w:t>
      </w:r>
      <w:r w:rsidRPr="00075492">
        <w:rPr>
          <w:noProof w:val="0"/>
        </w:rPr>
        <w:tab/>
        <w:t>83</w:t>
      </w:r>
    </w:p>
    <w:p w:rsidR="00547E7E" w:rsidRPr="00075492" w:rsidRDefault="00547E7E">
      <w:pPr>
        <w:pStyle w:val="Innehll2"/>
        <w:tabs>
          <w:tab w:val="left" w:pos="709"/>
        </w:tabs>
        <w:rPr>
          <w:noProof w:val="0"/>
        </w:rPr>
      </w:pPr>
      <w:r w:rsidRPr="00075492">
        <w:rPr>
          <w:noProof w:val="0"/>
        </w:rPr>
        <w:t>8.2</w:t>
      </w:r>
      <w:r w:rsidRPr="00075492">
        <w:rPr>
          <w:noProof w:val="0"/>
        </w:rPr>
        <w:tab/>
        <w:t>Riksdagens beslut år 1989 om finansiering</w:t>
      </w:r>
      <w:r w:rsidRPr="00075492">
        <w:rPr>
          <w:noProof w:val="0"/>
        </w:rPr>
        <w:tab/>
        <w:t>83</w:t>
      </w:r>
    </w:p>
    <w:p w:rsidR="00547E7E" w:rsidRPr="00075492" w:rsidRDefault="00547E7E">
      <w:pPr>
        <w:pStyle w:val="Innehll2"/>
        <w:tabs>
          <w:tab w:val="left" w:pos="709"/>
        </w:tabs>
        <w:rPr>
          <w:noProof w:val="0"/>
        </w:rPr>
      </w:pPr>
      <w:r w:rsidRPr="00075492">
        <w:rPr>
          <w:noProof w:val="0"/>
        </w:rPr>
        <w:t>8.3</w:t>
      </w:r>
      <w:r w:rsidRPr="00075492">
        <w:rPr>
          <w:noProof w:val="0"/>
        </w:rPr>
        <w:tab/>
        <w:t>Nuvarande finansieringssystem</w:t>
      </w:r>
      <w:r w:rsidRPr="00075492">
        <w:rPr>
          <w:noProof w:val="0"/>
        </w:rPr>
        <w:tab/>
        <w:t>84</w:t>
      </w:r>
    </w:p>
    <w:p w:rsidR="00547E7E" w:rsidRPr="00075492" w:rsidRDefault="00547E7E">
      <w:pPr>
        <w:pStyle w:val="Innehll3"/>
        <w:tabs>
          <w:tab w:val="left" w:pos="1140"/>
        </w:tabs>
        <w:rPr>
          <w:noProof w:val="0"/>
        </w:rPr>
      </w:pPr>
      <w:r w:rsidRPr="00075492">
        <w:rPr>
          <w:noProof w:val="0"/>
        </w:rPr>
        <w:t>8.3.1</w:t>
      </w:r>
      <w:r w:rsidRPr="00075492">
        <w:rPr>
          <w:noProof w:val="0"/>
        </w:rPr>
        <w:tab/>
        <w:t>Skatt</w:t>
      </w:r>
      <w:r w:rsidRPr="00075492">
        <w:rPr>
          <w:noProof w:val="0"/>
        </w:rPr>
        <w:tab/>
        <w:t>84</w:t>
      </w:r>
    </w:p>
    <w:p w:rsidR="00547E7E" w:rsidRPr="00075492" w:rsidRDefault="00547E7E">
      <w:pPr>
        <w:pStyle w:val="Innehll3"/>
        <w:tabs>
          <w:tab w:val="left" w:pos="1140"/>
        </w:tabs>
        <w:rPr>
          <w:noProof w:val="0"/>
        </w:rPr>
      </w:pPr>
      <w:r w:rsidRPr="00075492">
        <w:rPr>
          <w:noProof w:val="0"/>
        </w:rPr>
        <w:t>8.3.2</w:t>
      </w:r>
      <w:r w:rsidRPr="00075492">
        <w:rPr>
          <w:noProof w:val="0"/>
        </w:rPr>
        <w:tab/>
        <w:t>Avgifter</w:t>
      </w:r>
      <w:r w:rsidRPr="00075492">
        <w:rPr>
          <w:noProof w:val="0"/>
        </w:rPr>
        <w:tab/>
        <w:t>85</w:t>
      </w:r>
    </w:p>
    <w:p w:rsidR="00547E7E" w:rsidRPr="00075492" w:rsidRDefault="00547E7E">
      <w:pPr>
        <w:pStyle w:val="Innehll3"/>
        <w:rPr>
          <w:noProof w:val="0"/>
        </w:rPr>
      </w:pPr>
      <w:r w:rsidRPr="00075492">
        <w:rPr>
          <w:noProof w:val="0"/>
        </w:rPr>
        <w:t>Årlig tillsynsavgift</w:t>
      </w:r>
      <w:r w:rsidRPr="00075492">
        <w:rPr>
          <w:noProof w:val="0"/>
        </w:rPr>
        <w:tab/>
        <w:t>86</w:t>
      </w:r>
    </w:p>
    <w:p w:rsidR="00547E7E" w:rsidRPr="00075492" w:rsidRDefault="00547E7E">
      <w:pPr>
        <w:pStyle w:val="Innehll3"/>
        <w:tabs>
          <w:tab w:val="left" w:pos="1140"/>
        </w:tabs>
        <w:rPr>
          <w:noProof w:val="0"/>
        </w:rPr>
      </w:pPr>
      <w:r w:rsidRPr="00075492">
        <w:rPr>
          <w:noProof w:val="0"/>
        </w:rPr>
        <w:t>8.3.3</w:t>
      </w:r>
      <w:r w:rsidRPr="00075492">
        <w:rPr>
          <w:noProof w:val="0"/>
        </w:rPr>
        <w:tab/>
        <w:t>Förändringar av avgiftssystemet</w:t>
      </w:r>
      <w:r w:rsidRPr="00075492">
        <w:rPr>
          <w:noProof w:val="0"/>
        </w:rPr>
        <w:tab/>
        <w:t>89</w:t>
      </w:r>
    </w:p>
    <w:p w:rsidR="00547E7E" w:rsidRPr="00075492" w:rsidRDefault="00547E7E">
      <w:pPr>
        <w:pStyle w:val="Innehll2"/>
        <w:tabs>
          <w:tab w:val="left" w:pos="709"/>
        </w:tabs>
        <w:rPr>
          <w:noProof w:val="0"/>
        </w:rPr>
      </w:pPr>
      <w:r w:rsidRPr="00075492">
        <w:rPr>
          <w:noProof w:val="0"/>
        </w:rPr>
        <w:t>8.4</w:t>
      </w:r>
      <w:r w:rsidRPr="00075492">
        <w:rPr>
          <w:noProof w:val="0"/>
        </w:rPr>
        <w:tab/>
        <w:t>Aktuella förslag</w:t>
      </w:r>
      <w:r w:rsidRPr="00075492">
        <w:rPr>
          <w:noProof w:val="0"/>
        </w:rPr>
        <w:tab/>
        <w:t>90</w:t>
      </w:r>
    </w:p>
    <w:p w:rsidR="00547E7E" w:rsidRPr="00075492" w:rsidRDefault="00547E7E">
      <w:pPr>
        <w:pStyle w:val="Innehll3"/>
        <w:tabs>
          <w:tab w:val="left" w:pos="1140"/>
        </w:tabs>
        <w:rPr>
          <w:noProof w:val="0"/>
        </w:rPr>
      </w:pPr>
      <w:r w:rsidRPr="00075492">
        <w:rPr>
          <w:noProof w:val="0"/>
        </w:rPr>
        <w:t>8.4.1</w:t>
      </w:r>
      <w:r w:rsidRPr="00075492">
        <w:rPr>
          <w:noProof w:val="0"/>
        </w:rPr>
        <w:tab/>
        <w:t>Revisorernas iakttagelser vid en tidigare granskning</w:t>
      </w:r>
      <w:r w:rsidRPr="00075492">
        <w:rPr>
          <w:noProof w:val="0"/>
        </w:rPr>
        <w:tab/>
        <w:t>90</w:t>
      </w:r>
    </w:p>
    <w:p w:rsidR="00547E7E" w:rsidRPr="00075492" w:rsidRDefault="00547E7E">
      <w:pPr>
        <w:pStyle w:val="Innehll3"/>
        <w:tabs>
          <w:tab w:val="left" w:pos="1140"/>
        </w:tabs>
        <w:rPr>
          <w:noProof w:val="0"/>
        </w:rPr>
      </w:pPr>
      <w:r w:rsidRPr="00075492">
        <w:rPr>
          <w:noProof w:val="0"/>
        </w:rPr>
        <w:t>8.4.2</w:t>
      </w:r>
      <w:r w:rsidRPr="00075492">
        <w:rPr>
          <w:noProof w:val="0"/>
        </w:rPr>
        <w:tab/>
        <w:t>Utredningen om livsmedelstillsynen (SOU 1998:61)</w:t>
      </w:r>
      <w:r w:rsidRPr="00075492">
        <w:rPr>
          <w:noProof w:val="0"/>
        </w:rPr>
        <w:tab/>
        <w:t>90</w:t>
      </w:r>
    </w:p>
    <w:p w:rsidR="00547E7E" w:rsidRPr="00075492" w:rsidRDefault="00547E7E">
      <w:pPr>
        <w:pStyle w:val="Innehll3"/>
        <w:tabs>
          <w:tab w:val="left" w:pos="1140"/>
        </w:tabs>
        <w:rPr>
          <w:noProof w:val="0"/>
        </w:rPr>
      </w:pPr>
      <w:r w:rsidRPr="00075492">
        <w:rPr>
          <w:noProof w:val="0"/>
        </w:rPr>
        <w:t>8.4.3</w:t>
      </w:r>
      <w:r w:rsidRPr="00075492">
        <w:rPr>
          <w:noProof w:val="0"/>
        </w:rPr>
        <w:tab/>
        <w:t>Livsmedelsverkets rapport 9 – 2000</w:t>
      </w:r>
      <w:r w:rsidRPr="00075492">
        <w:rPr>
          <w:noProof w:val="0"/>
        </w:rPr>
        <w:tab/>
        <w:t>91</w:t>
      </w:r>
    </w:p>
    <w:p w:rsidR="00547E7E" w:rsidRPr="00075492" w:rsidRDefault="00547E7E">
      <w:pPr>
        <w:pStyle w:val="Innehll3"/>
        <w:tabs>
          <w:tab w:val="left" w:pos="1140"/>
        </w:tabs>
        <w:rPr>
          <w:noProof w:val="0"/>
        </w:rPr>
      </w:pPr>
      <w:r w:rsidRPr="00075492">
        <w:rPr>
          <w:noProof w:val="0"/>
        </w:rPr>
        <w:t>8.4.4</w:t>
      </w:r>
      <w:r w:rsidRPr="00075492">
        <w:rPr>
          <w:noProof w:val="0"/>
        </w:rPr>
        <w:tab/>
        <w:t>Svenska Kommunförbundet, skrivelse år 2001</w:t>
      </w:r>
      <w:r w:rsidRPr="00075492">
        <w:rPr>
          <w:noProof w:val="0"/>
        </w:rPr>
        <w:tab/>
        <w:t>91</w:t>
      </w:r>
    </w:p>
    <w:p w:rsidR="00547E7E" w:rsidRPr="00075492" w:rsidRDefault="00547E7E">
      <w:pPr>
        <w:pStyle w:val="Innehll3"/>
        <w:tabs>
          <w:tab w:val="left" w:pos="1140"/>
        </w:tabs>
        <w:rPr>
          <w:noProof w:val="0"/>
        </w:rPr>
      </w:pPr>
      <w:r w:rsidRPr="00075492">
        <w:rPr>
          <w:noProof w:val="0"/>
        </w:rPr>
        <w:t>8.4.5</w:t>
      </w:r>
      <w:r w:rsidRPr="00075492">
        <w:rPr>
          <w:noProof w:val="0"/>
        </w:rPr>
        <w:tab/>
        <w:t>Inga ställningstaganden till lämnade förslag</w:t>
      </w:r>
      <w:r w:rsidRPr="00075492">
        <w:rPr>
          <w:noProof w:val="0"/>
        </w:rPr>
        <w:tab/>
        <w:t>92</w:t>
      </w:r>
    </w:p>
    <w:p w:rsidR="00547E7E" w:rsidRPr="00075492" w:rsidRDefault="00547E7E">
      <w:pPr>
        <w:pStyle w:val="Innehll3"/>
        <w:tabs>
          <w:tab w:val="left" w:pos="1140"/>
        </w:tabs>
        <w:rPr>
          <w:noProof w:val="0"/>
        </w:rPr>
      </w:pPr>
      <w:r w:rsidRPr="00075492">
        <w:rPr>
          <w:noProof w:val="0"/>
        </w:rPr>
        <w:t>8.4.6</w:t>
      </w:r>
      <w:r w:rsidRPr="00075492">
        <w:rPr>
          <w:noProof w:val="0"/>
        </w:rPr>
        <w:tab/>
        <w:t>Finansiering av livsmedelstillsyn inom EU</w:t>
      </w:r>
      <w:r w:rsidRPr="00075492">
        <w:rPr>
          <w:noProof w:val="0"/>
        </w:rPr>
        <w:tab/>
        <w:t>93</w:t>
      </w:r>
    </w:p>
    <w:p w:rsidR="00547E7E" w:rsidRPr="00075492" w:rsidRDefault="00547E7E">
      <w:pPr>
        <w:pStyle w:val="Innehll2"/>
        <w:tabs>
          <w:tab w:val="left" w:pos="709"/>
        </w:tabs>
        <w:rPr>
          <w:noProof w:val="0"/>
        </w:rPr>
      </w:pPr>
      <w:r w:rsidRPr="00075492">
        <w:rPr>
          <w:noProof w:val="0"/>
        </w:rPr>
        <w:t>8.5</w:t>
      </w:r>
      <w:r w:rsidRPr="00075492">
        <w:rPr>
          <w:noProof w:val="0"/>
        </w:rPr>
        <w:tab/>
        <w:t>Problembeskrivning av nuvarande finansieringssystem</w:t>
      </w:r>
      <w:r w:rsidRPr="00075492">
        <w:rPr>
          <w:noProof w:val="0"/>
        </w:rPr>
        <w:tab/>
        <w:t>93</w:t>
      </w:r>
    </w:p>
    <w:p w:rsidR="00547E7E" w:rsidRPr="00075492" w:rsidRDefault="00547E7E">
      <w:pPr>
        <w:pStyle w:val="Innehll2"/>
        <w:tabs>
          <w:tab w:val="left" w:pos="709"/>
        </w:tabs>
        <w:rPr>
          <w:noProof w:val="0"/>
        </w:rPr>
      </w:pPr>
      <w:r w:rsidRPr="00075492">
        <w:rPr>
          <w:noProof w:val="0"/>
        </w:rPr>
        <w:t>8.6</w:t>
      </w:r>
      <w:r w:rsidRPr="00075492">
        <w:rPr>
          <w:noProof w:val="0"/>
        </w:rPr>
        <w:tab/>
        <w:t>Sammanfattning</w:t>
      </w:r>
      <w:r w:rsidRPr="00075492">
        <w:rPr>
          <w:noProof w:val="0"/>
        </w:rPr>
        <w:tab/>
        <w:t>95</w:t>
      </w:r>
    </w:p>
    <w:p w:rsidR="00547E7E" w:rsidRPr="00075492" w:rsidRDefault="00547E7E">
      <w:pPr>
        <w:pStyle w:val="Innehll1"/>
        <w:tabs>
          <w:tab w:val="left" w:pos="380"/>
          <w:tab w:val="right" w:leader="dot" w:pos="5886"/>
        </w:tabs>
      </w:pPr>
      <w:r w:rsidRPr="00075492">
        <w:t>9</w:t>
      </w:r>
      <w:r w:rsidRPr="00075492">
        <w:tab/>
        <w:t>Kostnader och intäkter för tillsynsmyndigheterna</w:t>
      </w:r>
      <w:r w:rsidRPr="00075492">
        <w:tab/>
        <w:t>96</w:t>
      </w:r>
    </w:p>
    <w:p w:rsidR="00547E7E" w:rsidRPr="00075492" w:rsidRDefault="00547E7E">
      <w:pPr>
        <w:pStyle w:val="Innehll2"/>
        <w:tabs>
          <w:tab w:val="left" w:pos="709"/>
        </w:tabs>
        <w:rPr>
          <w:noProof w:val="0"/>
        </w:rPr>
      </w:pPr>
      <w:r w:rsidRPr="00075492">
        <w:rPr>
          <w:noProof w:val="0"/>
        </w:rPr>
        <w:t>9.1</w:t>
      </w:r>
      <w:r w:rsidRPr="00075492">
        <w:rPr>
          <w:noProof w:val="0"/>
        </w:rPr>
        <w:tab/>
        <w:t>Inledning</w:t>
      </w:r>
      <w:r w:rsidRPr="00075492">
        <w:rPr>
          <w:noProof w:val="0"/>
        </w:rPr>
        <w:tab/>
        <w:t>96</w:t>
      </w:r>
    </w:p>
    <w:p w:rsidR="00547E7E" w:rsidRPr="00075492" w:rsidRDefault="00547E7E">
      <w:pPr>
        <w:pStyle w:val="Innehll2"/>
        <w:tabs>
          <w:tab w:val="left" w:pos="709"/>
        </w:tabs>
        <w:rPr>
          <w:noProof w:val="0"/>
        </w:rPr>
      </w:pPr>
      <w:r w:rsidRPr="00075492">
        <w:rPr>
          <w:noProof w:val="0"/>
        </w:rPr>
        <w:t>9.2</w:t>
      </w:r>
      <w:r w:rsidRPr="00075492">
        <w:rPr>
          <w:noProof w:val="0"/>
        </w:rPr>
        <w:tab/>
        <w:t>Livsmedelsverket</w:t>
      </w:r>
      <w:r w:rsidRPr="00075492">
        <w:rPr>
          <w:noProof w:val="0"/>
        </w:rPr>
        <w:tab/>
        <w:t>96</w:t>
      </w:r>
    </w:p>
    <w:p w:rsidR="00547E7E" w:rsidRPr="00075492" w:rsidRDefault="00547E7E">
      <w:pPr>
        <w:pStyle w:val="Innehll2"/>
        <w:tabs>
          <w:tab w:val="left" w:pos="709"/>
        </w:tabs>
        <w:rPr>
          <w:noProof w:val="0"/>
        </w:rPr>
      </w:pPr>
      <w:r w:rsidRPr="00075492">
        <w:rPr>
          <w:noProof w:val="0"/>
        </w:rPr>
        <w:t>9.3</w:t>
      </w:r>
      <w:r w:rsidRPr="00075492">
        <w:rPr>
          <w:noProof w:val="0"/>
        </w:rPr>
        <w:tab/>
        <w:t>Kommunerna</w:t>
      </w:r>
      <w:r w:rsidRPr="00075492">
        <w:rPr>
          <w:noProof w:val="0"/>
        </w:rPr>
        <w:tab/>
        <w:t>98</w:t>
      </w:r>
    </w:p>
    <w:p w:rsidR="00547E7E" w:rsidRPr="00075492" w:rsidRDefault="00547E7E">
      <w:pPr>
        <w:pStyle w:val="Innehll2"/>
        <w:tabs>
          <w:tab w:val="left" w:pos="709"/>
        </w:tabs>
        <w:rPr>
          <w:noProof w:val="0"/>
        </w:rPr>
      </w:pPr>
      <w:r w:rsidRPr="00075492">
        <w:rPr>
          <w:noProof w:val="0"/>
        </w:rPr>
        <w:t>9.4</w:t>
      </w:r>
      <w:r w:rsidRPr="00075492">
        <w:rPr>
          <w:noProof w:val="0"/>
        </w:rPr>
        <w:tab/>
        <w:t>Kostnadsredovisning i rapporteringssystemet</w:t>
      </w:r>
      <w:r w:rsidRPr="00075492">
        <w:rPr>
          <w:noProof w:val="0"/>
        </w:rPr>
        <w:tab/>
        <w:t>99</w:t>
      </w:r>
    </w:p>
    <w:p w:rsidR="00547E7E" w:rsidRPr="00075492" w:rsidRDefault="00547E7E">
      <w:pPr>
        <w:pStyle w:val="Innehll2"/>
        <w:tabs>
          <w:tab w:val="left" w:pos="709"/>
        </w:tabs>
        <w:rPr>
          <w:noProof w:val="0"/>
        </w:rPr>
      </w:pPr>
      <w:r w:rsidRPr="00075492">
        <w:rPr>
          <w:noProof w:val="0"/>
        </w:rPr>
        <w:t>9.5</w:t>
      </w:r>
      <w:r w:rsidRPr="00075492">
        <w:rPr>
          <w:noProof w:val="0"/>
        </w:rPr>
        <w:tab/>
        <w:t>Bedömning av de totala kostnaderna</w:t>
      </w:r>
      <w:r w:rsidRPr="00075492">
        <w:rPr>
          <w:noProof w:val="0"/>
        </w:rPr>
        <w:tab/>
        <w:t>99</w:t>
      </w:r>
    </w:p>
    <w:p w:rsidR="00547E7E" w:rsidRPr="00075492" w:rsidRDefault="00547E7E">
      <w:pPr>
        <w:pStyle w:val="Innehll2"/>
        <w:tabs>
          <w:tab w:val="left" w:pos="709"/>
        </w:tabs>
        <w:rPr>
          <w:noProof w:val="0"/>
        </w:rPr>
      </w:pPr>
      <w:r w:rsidRPr="00075492">
        <w:rPr>
          <w:noProof w:val="0"/>
        </w:rPr>
        <w:t>9.6</w:t>
      </w:r>
      <w:r w:rsidRPr="00075492">
        <w:rPr>
          <w:noProof w:val="0"/>
        </w:rPr>
        <w:tab/>
        <w:t>Sammanfattning</w:t>
      </w:r>
      <w:r w:rsidRPr="00075492">
        <w:rPr>
          <w:noProof w:val="0"/>
        </w:rPr>
        <w:tab/>
        <w:t>100</w:t>
      </w:r>
    </w:p>
    <w:p w:rsidR="00547E7E" w:rsidRPr="00075492" w:rsidRDefault="00547E7E">
      <w:pPr>
        <w:pStyle w:val="Innehll1"/>
        <w:tabs>
          <w:tab w:val="left" w:pos="380"/>
          <w:tab w:val="right" w:leader="dot" w:pos="5886"/>
        </w:tabs>
      </w:pPr>
      <w:r w:rsidRPr="00075492">
        <w:t>10</w:t>
      </w:r>
      <w:r w:rsidRPr="00075492">
        <w:tab/>
        <w:t>Företagens ansvar</w:t>
      </w:r>
      <w:r w:rsidRPr="00075492">
        <w:tab/>
        <w:t>101</w:t>
      </w:r>
    </w:p>
    <w:p w:rsidR="00547E7E" w:rsidRPr="00075492" w:rsidRDefault="00547E7E">
      <w:pPr>
        <w:pStyle w:val="Innehll2"/>
        <w:tabs>
          <w:tab w:val="left" w:pos="993"/>
        </w:tabs>
        <w:rPr>
          <w:noProof w:val="0"/>
        </w:rPr>
      </w:pPr>
      <w:r w:rsidRPr="00075492">
        <w:rPr>
          <w:noProof w:val="0"/>
        </w:rPr>
        <w:t>10.1</w:t>
      </w:r>
      <w:r w:rsidRPr="00075492">
        <w:rPr>
          <w:noProof w:val="0"/>
        </w:rPr>
        <w:tab/>
        <w:t>Inledning</w:t>
      </w:r>
      <w:r w:rsidRPr="00075492">
        <w:rPr>
          <w:noProof w:val="0"/>
        </w:rPr>
        <w:tab/>
        <w:t>101</w:t>
      </w:r>
    </w:p>
    <w:p w:rsidR="00547E7E" w:rsidRPr="00075492" w:rsidRDefault="00547E7E">
      <w:pPr>
        <w:pStyle w:val="Innehll2"/>
        <w:tabs>
          <w:tab w:val="left" w:pos="993"/>
        </w:tabs>
        <w:rPr>
          <w:noProof w:val="0"/>
        </w:rPr>
      </w:pPr>
      <w:r w:rsidRPr="00075492">
        <w:rPr>
          <w:noProof w:val="0"/>
        </w:rPr>
        <w:t>10.2</w:t>
      </w:r>
      <w:r w:rsidRPr="00075492">
        <w:rPr>
          <w:noProof w:val="0"/>
        </w:rPr>
        <w:tab/>
        <w:t>Livsmedelslagstiftningen</w:t>
      </w:r>
      <w:r w:rsidRPr="00075492">
        <w:rPr>
          <w:noProof w:val="0"/>
        </w:rPr>
        <w:tab/>
        <w:t>101</w:t>
      </w:r>
    </w:p>
    <w:p w:rsidR="00547E7E" w:rsidRPr="00075492" w:rsidRDefault="00547E7E">
      <w:pPr>
        <w:pStyle w:val="Innehll2"/>
        <w:tabs>
          <w:tab w:val="left" w:pos="993"/>
        </w:tabs>
        <w:rPr>
          <w:noProof w:val="0"/>
        </w:rPr>
      </w:pPr>
      <w:r w:rsidRPr="00075492">
        <w:rPr>
          <w:noProof w:val="0"/>
        </w:rPr>
        <w:t>10.3</w:t>
      </w:r>
      <w:r w:rsidRPr="00075492">
        <w:rPr>
          <w:noProof w:val="0"/>
        </w:rPr>
        <w:tab/>
        <w:t>Företagens egentillsyn</w:t>
      </w:r>
      <w:r w:rsidRPr="00075492">
        <w:rPr>
          <w:noProof w:val="0"/>
        </w:rPr>
        <w:tab/>
        <w:t>101</w:t>
      </w:r>
    </w:p>
    <w:p w:rsidR="00547E7E" w:rsidRPr="00075492" w:rsidRDefault="00547E7E">
      <w:pPr>
        <w:pStyle w:val="Innehll3"/>
        <w:tabs>
          <w:tab w:val="left" w:pos="1140"/>
        </w:tabs>
        <w:rPr>
          <w:noProof w:val="0"/>
        </w:rPr>
      </w:pPr>
      <w:r w:rsidRPr="00075492">
        <w:rPr>
          <w:noProof w:val="0"/>
        </w:rPr>
        <w:t>10.3.1</w:t>
      </w:r>
      <w:r w:rsidRPr="00075492">
        <w:rPr>
          <w:noProof w:val="0"/>
        </w:rPr>
        <w:tab/>
        <w:t>Riksdagsbeslutet år 1989</w:t>
      </w:r>
      <w:r w:rsidRPr="00075492">
        <w:rPr>
          <w:noProof w:val="0"/>
        </w:rPr>
        <w:tab/>
        <w:t>101</w:t>
      </w:r>
    </w:p>
    <w:p w:rsidR="00547E7E" w:rsidRPr="00075492" w:rsidRDefault="00547E7E">
      <w:pPr>
        <w:pStyle w:val="Innehll3"/>
        <w:tabs>
          <w:tab w:val="left" w:pos="1140"/>
        </w:tabs>
        <w:rPr>
          <w:noProof w:val="0"/>
        </w:rPr>
      </w:pPr>
      <w:r w:rsidRPr="00075492">
        <w:rPr>
          <w:noProof w:val="0"/>
        </w:rPr>
        <w:t>10.3.2</w:t>
      </w:r>
      <w:r w:rsidRPr="00075492">
        <w:rPr>
          <w:noProof w:val="0"/>
        </w:rPr>
        <w:tab/>
        <w:t>Nuvarande regler</w:t>
      </w:r>
      <w:r w:rsidRPr="00075492">
        <w:rPr>
          <w:noProof w:val="0"/>
        </w:rPr>
        <w:tab/>
        <w:t>102</w:t>
      </w:r>
    </w:p>
    <w:p w:rsidR="00547E7E" w:rsidRPr="00075492" w:rsidRDefault="00547E7E">
      <w:pPr>
        <w:pStyle w:val="Innehll2"/>
        <w:tabs>
          <w:tab w:val="left" w:pos="993"/>
        </w:tabs>
        <w:rPr>
          <w:noProof w:val="0"/>
        </w:rPr>
      </w:pPr>
      <w:r w:rsidRPr="00075492">
        <w:rPr>
          <w:noProof w:val="0"/>
        </w:rPr>
        <w:t>10.4</w:t>
      </w:r>
      <w:r w:rsidRPr="00075492">
        <w:rPr>
          <w:noProof w:val="0"/>
        </w:rPr>
        <w:tab/>
        <w:t>Tillämpningen av företagens egenkontroll</w:t>
      </w:r>
      <w:r w:rsidRPr="00075492">
        <w:rPr>
          <w:noProof w:val="0"/>
        </w:rPr>
        <w:tab/>
        <w:t>103</w:t>
      </w:r>
    </w:p>
    <w:p w:rsidR="00547E7E" w:rsidRPr="00075492" w:rsidRDefault="00547E7E">
      <w:pPr>
        <w:pStyle w:val="Innehll3"/>
        <w:tabs>
          <w:tab w:val="left" w:pos="1140"/>
        </w:tabs>
        <w:rPr>
          <w:noProof w:val="0"/>
        </w:rPr>
      </w:pPr>
      <w:r w:rsidRPr="00075492">
        <w:rPr>
          <w:noProof w:val="0"/>
        </w:rPr>
        <w:t>10.4.1</w:t>
      </w:r>
      <w:r w:rsidRPr="00075492">
        <w:rPr>
          <w:noProof w:val="0"/>
        </w:rPr>
        <w:tab/>
        <w:t>Utvärdering av egentillsynen</w:t>
      </w:r>
      <w:r w:rsidRPr="00075492">
        <w:rPr>
          <w:noProof w:val="0"/>
        </w:rPr>
        <w:tab/>
        <w:t>103</w:t>
      </w:r>
    </w:p>
    <w:p w:rsidR="00547E7E" w:rsidRPr="00075492" w:rsidRDefault="00547E7E">
      <w:pPr>
        <w:pStyle w:val="Innehll3"/>
        <w:tabs>
          <w:tab w:val="left" w:pos="1140"/>
        </w:tabs>
        <w:rPr>
          <w:noProof w:val="0"/>
        </w:rPr>
      </w:pPr>
      <w:r w:rsidRPr="00075492">
        <w:rPr>
          <w:noProof w:val="0"/>
        </w:rPr>
        <w:t>10.4.2</w:t>
      </w:r>
      <w:r w:rsidRPr="00075492">
        <w:rPr>
          <w:noProof w:val="0"/>
        </w:rPr>
        <w:tab/>
        <w:t>Var finns problemen?</w:t>
      </w:r>
      <w:r w:rsidRPr="00075492">
        <w:rPr>
          <w:noProof w:val="0"/>
        </w:rPr>
        <w:tab/>
        <w:t>104</w:t>
      </w:r>
    </w:p>
    <w:p w:rsidR="00547E7E" w:rsidRPr="00075492" w:rsidRDefault="00547E7E">
      <w:pPr>
        <w:pStyle w:val="Innehll3"/>
        <w:tabs>
          <w:tab w:val="left" w:pos="1140"/>
        </w:tabs>
        <w:rPr>
          <w:noProof w:val="0"/>
        </w:rPr>
      </w:pPr>
      <w:r w:rsidRPr="00075492">
        <w:rPr>
          <w:noProof w:val="0"/>
        </w:rPr>
        <w:t>10.4.3</w:t>
      </w:r>
      <w:r w:rsidRPr="00075492">
        <w:rPr>
          <w:noProof w:val="0"/>
        </w:rPr>
        <w:tab/>
        <w:t>Branschens krav på företagare och åtgärder för att förbättra egentillsynen</w:t>
      </w:r>
      <w:r w:rsidRPr="00075492">
        <w:rPr>
          <w:noProof w:val="0"/>
        </w:rPr>
        <w:tab/>
        <w:t>104</w:t>
      </w:r>
    </w:p>
    <w:p w:rsidR="00547E7E" w:rsidRPr="00075492" w:rsidRDefault="00547E7E">
      <w:pPr>
        <w:pStyle w:val="Innehll2"/>
        <w:tabs>
          <w:tab w:val="left" w:pos="993"/>
        </w:tabs>
        <w:rPr>
          <w:noProof w:val="0"/>
        </w:rPr>
      </w:pPr>
      <w:r w:rsidRPr="00075492">
        <w:rPr>
          <w:noProof w:val="0"/>
        </w:rPr>
        <w:t>10.5</w:t>
      </w:r>
      <w:r w:rsidRPr="00075492">
        <w:rPr>
          <w:noProof w:val="0"/>
        </w:rPr>
        <w:tab/>
        <w:t>Aktuella förslag om egenkontroll</w:t>
      </w:r>
      <w:r w:rsidRPr="00075492">
        <w:rPr>
          <w:noProof w:val="0"/>
        </w:rPr>
        <w:tab/>
        <w:t>106</w:t>
      </w:r>
    </w:p>
    <w:p w:rsidR="00547E7E" w:rsidRPr="00075492" w:rsidRDefault="00547E7E">
      <w:pPr>
        <w:pStyle w:val="Innehll2"/>
        <w:tabs>
          <w:tab w:val="left" w:pos="993"/>
        </w:tabs>
        <w:rPr>
          <w:noProof w:val="0"/>
        </w:rPr>
      </w:pPr>
      <w:r w:rsidRPr="00075492">
        <w:rPr>
          <w:noProof w:val="0"/>
        </w:rPr>
        <w:t>10.6</w:t>
      </w:r>
      <w:r w:rsidRPr="00075492">
        <w:rPr>
          <w:noProof w:val="0"/>
        </w:rPr>
        <w:tab/>
        <w:t>Sammanfattning</w:t>
      </w:r>
      <w:r w:rsidRPr="00075492">
        <w:rPr>
          <w:noProof w:val="0"/>
        </w:rPr>
        <w:tab/>
        <w:t>106</w:t>
      </w:r>
    </w:p>
    <w:p w:rsidR="00547E7E" w:rsidRPr="00075492" w:rsidRDefault="00547E7E">
      <w:pPr>
        <w:pStyle w:val="Innehll1"/>
        <w:tabs>
          <w:tab w:val="left" w:pos="380"/>
          <w:tab w:val="right" w:leader="dot" w:pos="5886"/>
        </w:tabs>
      </w:pPr>
      <w:r w:rsidRPr="00075492">
        <w:t>11</w:t>
      </w:r>
      <w:r w:rsidRPr="00075492">
        <w:tab/>
        <w:t>Sanktioner och andra åtgärder</w:t>
      </w:r>
      <w:r w:rsidRPr="00075492">
        <w:tab/>
        <w:t>108</w:t>
      </w:r>
    </w:p>
    <w:p w:rsidR="00547E7E" w:rsidRPr="00075492" w:rsidRDefault="00547E7E">
      <w:pPr>
        <w:pStyle w:val="Innehll2"/>
        <w:tabs>
          <w:tab w:val="left" w:pos="993"/>
        </w:tabs>
        <w:rPr>
          <w:noProof w:val="0"/>
        </w:rPr>
      </w:pPr>
      <w:r w:rsidRPr="00075492">
        <w:rPr>
          <w:noProof w:val="0"/>
        </w:rPr>
        <w:t>11.1</w:t>
      </w:r>
      <w:r w:rsidRPr="00075492">
        <w:rPr>
          <w:noProof w:val="0"/>
        </w:rPr>
        <w:tab/>
        <w:t>Inledning</w:t>
      </w:r>
      <w:r w:rsidRPr="00075492">
        <w:rPr>
          <w:noProof w:val="0"/>
        </w:rPr>
        <w:tab/>
        <w:t>108</w:t>
      </w:r>
    </w:p>
    <w:p w:rsidR="00547E7E" w:rsidRPr="00075492" w:rsidRDefault="00547E7E">
      <w:pPr>
        <w:pStyle w:val="Innehll2"/>
        <w:tabs>
          <w:tab w:val="left" w:pos="993"/>
        </w:tabs>
        <w:rPr>
          <w:noProof w:val="0"/>
        </w:rPr>
      </w:pPr>
      <w:r w:rsidRPr="00075492">
        <w:rPr>
          <w:noProof w:val="0"/>
        </w:rPr>
        <w:t>11.2</w:t>
      </w:r>
      <w:r w:rsidRPr="00075492">
        <w:rPr>
          <w:noProof w:val="0"/>
        </w:rPr>
        <w:tab/>
        <w:t>Sanktioner</w:t>
      </w:r>
      <w:r w:rsidRPr="00075492">
        <w:rPr>
          <w:noProof w:val="0"/>
        </w:rPr>
        <w:tab/>
        <w:t>108</w:t>
      </w:r>
    </w:p>
    <w:p w:rsidR="00547E7E" w:rsidRPr="00075492" w:rsidRDefault="00547E7E">
      <w:pPr>
        <w:pStyle w:val="Innehll2"/>
        <w:tabs>
          <w:tab w:val="left" w:pos="993"/>
        </w:tabs>
        <w:rPr>
          <w:noProof w:val="0"/>
        </w:rPr>
      </w:pPr>
      <w:r w:rsidRPr="00075492">
        <w:rPr>
          <w:noProof w:val="0"/>
        </w:rPr>
        <w:t>11.3</w:t>
      </w:r>
      <w:r w:rsidRPr="00075492">
        <w:rPr>
          <w:noProof w:val="0"/>
        </w:rPr>
        <w:tab/>
        <w:t>Tillämpning av sanktionssystemet –omfattning</w:t>
      </w:r>
      <w:r w:rsidRPr="00075492">
        <w:rPr>
          <w:noProof w:val="0"/>
        </w:rPr>
        <w:tab/>
        <w:t>109</w:t>
      </w:r>
    </w:p>
    <w:p w:rsidR="00547E7E" w:rsidRPr="00075492" w:rsidRDefault="00547E7E">
      <w:pPr>
        <w:pStyle w:val="Innehll3"/>
        <w:tabs>
          <w:tab w:val="left" w:pos="1140"/>
        </w:tabs>
        <w:rPr>
          <w:noProof w:val="0"/>
        </w:rPr>
      </w:pPr>
      <w:r w:rsidRPr="00075492">
        <w:rPr>
          <w:noProof w:val="0"/>
        </w:rPr>
        <w:t>11.3.1</w:t>
      </w:r>
      <w:r w:rsidRPr="00075492">
        <w:rPr>
          <w:noProof w:val="0"/>
        </w:rPr>
        <w:tab/>
        <w:t>Kommunernas uppgifter</w:t>
      </w:r>
      <w:r w:rsidRPr="00075492">
        <w:rPr>
          <w:noProof w:val="0"/>
        </w:rPr>
        <w:tab/>
        <w:t>109</w:t>
      </w:r>
    </w:p>
    <w:p w:rsidR="00547E7E" w:rsidRPr="00075492" w:rsidRDefault="00547E7E">
      <w:pPr>
        <w:pStyle w:val="Innehll3"/>
        <w:tabs>
          <w:tab w:val="left" w:pos="1140"/>
        </w:tabs>
        <w:rPr>
          <w:noProof w:val="0"/>
        </w:rPr>
      </w:pPr>
      <w:r w:rsidRPr="00075492">
        <w:rPr>
          <w:noProof w:val="0"/>
        </w:rPr>
        <w:t>11.3.2</w:t>
      </w:r>
      <w:r w:rsidRPr="00075492">
        <w:rPr>
          <w:noProof w:val="0"/>
        </w:rPr>
        <w:tab/>
        <w:t>Åtalsanmälan</w:t>
      </w:r>
      <w:r w:rsidRPr="00075492">
        <w:rPr>
          <w:noProof w:val="0"/>
        </w:rPr>
        <w:tab/>
        <w:t>109</w:t>
      </w:r>
    </w:p>
    <w:p w:rsidR="00547E7E" w:rsidRPr="00075492" w:rsidRDefault="00547E7E">
      <w:pPr>
        <w:pStyle w:val="Innehll2"/>
        <w:tabs>
          <w:tab w:val="left" w:pos="993"/>
        </w:tabs>
        <w:rPr>
          <w:noProof w:val="0"/>
        </w:rPr>
      </w:pPr>
      <w:r w:rsidRPr="00075492">
        <w:rPr>
          <w:noProof w:val="0"/>
        </w:rPr>
        <w:t>11.4</w:t>
      </w:r>
      <w:r w:rsidRPr="00075492">
        <w:rPr>
          <w:noProof w:val="0"/>
        </w:rPr>
        <w:tab/>
        <w:t>Erfarenheter av tillämpningen</w:t>
      </w:r>
      <w:r w:rsidRPr="00075492">
        <w:rPr>
          <w:noProof w:val="0"/>
        </w:rPr>
        <w:tab/>
        <w:t>110</w:t>
      </w:r>
    </w:p>
    <w:p w:rsidR="00547E7E" w:rsidRPr="00075492" w:rsidRDefault="00547E7E">
      <w:pPr>
        <w:pStyle w:val="Innehll3"/>
        <w:tabs>
          <w:tab w:val="left" w:pos="1140"/>
        </w:tabs>
        <w:rPr>
          <w:noProof w:val="0"/>
        </w:rPr>
      </w:pPr>
      <w:r w:rsidRPr="00075492">
        <w:rPr>
          <w:noProof w:val="0"/>
        </w:rPr>
        <w:t>11.4.1</w:t>
      </w:r>
      <w:r w:rsidRPr="00075492">
        <w:rPr>
          <w:noProof w:val="0"/>
        </w:rPr>
        <w:tab/>
        <w:t>Revisorernas iakttagelser vid en tidigare granskning</w:t>
      </w:r>
      <w:r w:rsidRPr="00075492">
        <w:rPr>
          <w:noProof w:val="0"/>
        </w:rPr>
        <w:tab/>
        <w:t>110</w:t>
      </w:r>
    </w:p>
    <w:p w:rsidR="00547E7E" w:rsidRPr="00075492" w:rsidRDefault="00547E7E">
      <w:pPr>
        <w:pStyle w:val="Innehll3"/>
        <w:tabs>
          <w:tab w:val="left" w:pos="1140"/>
        </w:tabs>
        <w:rPr>
          <w:noProof w:val="0"/>
        </w:rPr>
      </w:pPr>
      <w:r w:rsidRPr="00075492">
        <w:rPr>
          <w:noProof w:val="0"/>
        </w:rPr>
        <w:t>11.4.2</w:t>
      </w:r>
      <w:r w:rsidRPr="00075492">
        <w:rPr>
          <w:noProof w:val="0"/>
        </w:rPr>
        <w:tab/>
        <w:t>Livsmedelsverket</w:t>
      </w:r>
      <w:r w:rsidRPr="00075492">
        <w:rPr>
          <w:noProof w:val="0"/>
        </w:rPr>
        <w:tab/>
        <w:t>110</w:t>
      </w:r>
    </w:p>
    <w:p w:rsidR="00547E7E" w:rsidRPr="00075492" w:rsidRDefault="00547E7E">
      <w:pPr>
        <w:pStyle w:val="Innehll3"/>
        <w:tabs>
          <w:tab w:val="left" w:pos="1140"/>
        </w:tabs>
        <w:rPr>
          <w:noProof w:val="0"/>
        </w:rPr>
      </w:pPr>
      <w:r w:rsidRPr="00075492">
        <w:rPr>
          <w:noProof w:val="0"/>
        </w:rPr>
        <w:t>11.4.3</w:t>
      </w:r>
      <w:r w:rsidRPr="00075492">
        <w:rPr>
          <w:noProof w:val="0"/>
        </w:rPr>
        <w:tab/>
        <w:t>Exempel från tre kommuner</w:t>
      </w:r>
      <w:r w:rsidRPr="00075492">
        <w:rPr>
          <w:noProof w:val="0"/>
        </w:rPr>
        <w:tab/>
        <w:t>111</w:t>
      </w:r>
    </w:p>
    <w:p w:rsidR="00547E7E" w:rsidRPr="00075492" w:rsidRDefault="00547E7E">
      <w:pPr>
        <w:pStyle w:val="Innehll2"/>
        <w:tabs>
          <w:tab w:val="left" w:pos="993"/>
        </w:tabs>
        <w:rPr>
          <w:noProof w:val="0"/>
        </w:rPr>
      </w:pPr>
      <w:r w:rsidRPr="00075492">
        <w:rPr>
          <w:noProof w:val="0"/>
        </w:rPr>
        <w:t>11.5</w:t>
      </w:r>
      <w:r w:rsidRPr="00075492">
        <w:rPr>
          <w:noProof w:val="0"/>
        </w:rPr>
        <w:tab/>
        <w:t>Andra åtgärder</w:t>
      </w:r>
      <w:r w:rsidRPr="00075492">
        <w:rPr>
          <w:noProof w:val="0"/>
        </w:rPr>
        <w:tab/>
        <w:t>112</w:t>
      </w:r>
    </w:p>
    <w:p w:rsidR="00547E7E" w:rsidRPr="00075492" w:rsidRDefault="00547E7E">
      <w:pPr>
        <w:pStyle w:val="Innehll2"/>
        <w:tabs>
          <w:tab w:val="left" w:pos="993"/>
        </w:tabs>
        <w:rPr>
          <w:noProof w:val="0"/>
        </w:rPr>
      </w:pPr>
      <w:r w:rsidRPr="00075492">
        <w:rPr>
          <w:noProof w:val="0"/>
        </w:rPr>
        <w:t>11.6</w:t>
      </w:r>
      <w:r w:rsidRPr="00075492">
        <w:rPr>
          <w:noProof w:val="0"/>
        </w:rPr>
        <w:tab/>
        <w:t>Aktuella förslag</w:t>
      </w:r>
      <w:r w:rsidRPr="00075492">
        <w:rPr>
          <w:noProof w:val="0"/>
        </w:rPr>
        <w:tab/>
        <w:t>113</w:t>
      </w:r>
    </w:p>
    <w:p w:rsidR="00547E7E" w:rsidRPr="00075492" w:rsidRDefault="00547E7E">
      <w:pPr>
        <w:pStyle w:val="Innehll2"/>
        <w:tabs>
          <w:tab w:val="left" w:pos="993"/>
        </w:tabs>
        <w:rPr>
          <w:noProof w:val="0"/>
        </w:rPr>
      </w:pPr>
      <w:r w:rsidRPr="00075492">
        <w:rPr>
          <w:noProof w:val="0"/>
        </w:rPr>
        <w:t>11.7</w:t>
      </w:r>
      <w:r w:rsidRPr="00075492">
        <w:rPr>
          <w:noProof w:val="0"/>
        </w:rPr>
        <w:tab/>
        <w:t>Sammanfattning</w:t>
      </w:r>
      <w:r w:rsidRPr="00075492">
        <w:rPr>
          <w:noProof w:val="0"/>
        </w:rPr>
        <w:tab/>
        <w:t>113</w:t>
      </w:r>
    </w:p>
    <w:p w:rsidR="00547E7E" w:rsidRPr="00075492" w:rsidRDefault="00547E7E">
      <w:pPr>
        <w:pStyle w:val="Innehll1"/>
        <w:tabs>
          <w:tab w:val="left" w:pos="380"/>
          <w:tab w:val="right" w:leader="dot" w:pos="5886"/>
        </w:tabs>
      </w:pPr>
      <w:r w:rsidRPr="00075492">
        <w:t>12</w:t>
      </w:r>
      <w:r w:rsidRPr="00075492">
        <w:tab/>
        <w:t>Revisorernas överväganden och förslag</w:t>
      </w:r>
      <w:r w:rsidRPr="00075492">
        <w:tab/>
        <w:t>115</w:t>
      </w:r>
    </w:p>
    <w:p w:rsidR="00547E7E" w:rsidRPr="00075492" w:rsidRDefault="00547E7E">
      <w:pPr>
        <w:pStyle w:val="Innehll2"/>
        <w:rPr>
          <w:noProof w:val="0"/>
        </w:rPr>
      </w:pPr>
      <w:r w:rsidRPr="00075492">
        <w:rPr>
          <w:noProof w:val="0"/>
        </w:rPr>
        <w:t>Information om regelsystemet</w:t>
      </w:r>
      <w:r w:rsidRPr="00075492">
        <w:rPr>
          <w:noProof w:val="0"/>
        </w:rPr>
        <w:tab/>
        <w:t>115</w:t>
      </w:r>
    </w:p>
    <w:p w:rsidR="00547E7E" w:rsidRPr="00075492" w:rsidRDefault="00547E7E">
      <w:pPr>
        <w:pStyle w:val="Innehll2"/>
        <w:rPr>
          <w:noProof w:val="0"/>
        </w:rPr>
      </w:pPr>
      <w:r w:rsidRPr="00075492">
        <w:rPr>
          <w:noProof w:val="0"/>
        </w:rPr>
        <w:t>Reformera finansierings- och avgiftssystemet</w:t>
      </w:r>
      <w:r w:rsidRPr="00075492">
        <w:rPr>
          <w:noProof w:val="0"/>
        </w:rPr>
        <w:tab/>
        <w:t>116</w:t>
      </w:r>
    </w:p>
    <w:p w:rsidR="00547E7E" w:rsidRPr="00075492" w:rsidRDefault="00547E7E">
      <w:pPr>
        <w:pStyle w:val="Innehll2"/>
        <w:rPr>
          <w:noProof w:val="0"/>
        </w:rPr>
      </w:pPr>
      <w:r w:rsidRPr="00075492">
        <w:rPr>
          <w:noProof w:val="0"/>
        </w:rPr>
        <w:t>Redovisa kostnaderna</w:t>
      </w:r>
      <w:r w:rsidRPr="00075492">
        <w:rPr>
          <w:noProof w:val="0"/>
        </w:rPr>
        <w:tab/>
        <w:t>120</w:t>
      </w:r>
    </w:p>
    <w:p w:rsidR="00547E7E" w:rsidRPr="00075492" w:rsidRDefault="00547E7E">
      <w:pPr>
        <w:pStyle w:val="Innehll2"/>
        <w:rPr>
          <w:noProof w:val="0"/>
        </w:rPr>
      </w:pPr>
      <w:r w:rsidRPr="00075492">
        <w:rPr>
          <w:noProof w:val="0"/>
        </w:rPr>
        <w:t>Tydliggör företagens ansvar</w:t>
      </w:r>
      <w:r w:rsidRPr="00075492">
        <w:rPr>
          <w:noProof w:val="0"/>
        </w:rPr>
        <w:tab/>
        <w:t>120</w:t>
      </w:r>
    </w:p>
    <w:p w:rsidR="00547E7E" w:rsidRPr="00075492" w:rsidRDefault="00547E7E">
      <w:pPr>
        <w:pStyle w:val="Innehll2"/>
        <w:rPr>
          <w:noProof w:val="0"/>
        </w:rPr>
      </w:pPr>
      <w:r w:rsidRPr="00075492">
        <w:rPr>
          <w:noProof w:val="0"/>
        </w:rPr>
        <w:t>Livsmedelsverkets uppföljning och styrning behöver förbättras</w:t>
      </w:r>
      <w:r w:rsidRPr="00075492">
        <w:rPr>
          <w:noProof w:val="0"/>
        </w:rPr>
        <w:tab/>
        <w:t>121</w:t>
      </w:r>
    </w:p>
    <w:p w:rsidR="00547E7E" w:rsidRPr="00075492" w:rsidRDefault="00547E7E">
      <w:pPr>
        <w:pStyle w:val="Innehll2"/>
        <w:rPr>
          <w:noProof w:val="0"/>
        </w:rPr>
      </w:pPr>
      <w:r w:rsidRPr="00075492">
        <w:rPr>
          <w:noProof w:val="0"/>
        </w:rPr>
        <w:t>Ska länsstyrelsernas uppgifter kvarstå?</w:t>
      </w:r>
      <w:r w:rsidRPr="00075492">
        <w:rPr>
          <w:noProof w:val="0"/>
        </w:rPr>
        <w:tab/>
        <w:t>122</w:t>
      </w:r>
    </w:p>
    <w:p w:rsidR="00547E7E" w:rsidRPr="00075492" w:rsidRDefault="00547E7E">
      <w:pPr>
        <w:pStyle w:val="Innehll2"/>
        <w:rPr>
          <w:noProof w:val="0"/>
        </w:rPr>
      </w:pPr>
      <w:r w:rsidRPr="00075492">
        <w:rPr>
          <w:noProof w:val="0"/>
        </w:rPr>
        <w:t>Kommunernas resurser</w:t>
      </w:r>
      <w:r w:rsidRPr="00075492">
        <w:rPr>
          <w:noProof w:val="0"/>
        </w:rPr>
        <w:tab/>
        <w:t>123</w:t>
      </w:r>
    </w:p>
    <w:p w:rsidR="00547E7E" w:rsidRPr="00075492" w:rsidRDefault="00547E7E">
      <w:pPr>
        <w:pStyle w:val="Innehll2"/>
        <w:rPr>
          <w:noProof w:val="0"/>
        </w:rPr>
      </w:pPr>
      <w:r w:rsidRPr="00075492">
        <w:rPr>
          <w:noProof w:val="0"/>
        </w:rPr>
        <w:t>Rapporteringen behöver förbättras</w:t>
      </w:r>
      <w:r w:rsidRPr="00075492">
        <w:rPr>
          <w:noProof w:val="0"/>
        </w:rPr>
        <w:tab/>
        <w:t>125</w:t>
      </w:r>
    </w:p>
    <w:p w:rsidR="00547E7E" w:rsidRPr="00075492" w:rsidRDefault="00547E7E">
      <w:pPr>
        <w:pStyle w:val="Innehll2"/>
        <w:rPr>
          <w:noProof w:val="0"/>
        </w:rPr>
      </w:pPr>
      <w:r w:rsidRPr="00075492">
        <w:rPr>
          <w:noProof w:val="0"/>
        </w:rPr>
        <w:t>Hur används sanktionssystemet?</w:t>
      </w:r>
      <w:r w:rsidRPr="00075492">
        <w:rPr>
          <w:noProof w:val="0"/>
        </w:rPr>
        <w:tab/>
        <w:t>126</w:t>
      </w:r>
    </w:p>
    <w:p w:rsidR="00547E7E" w:rsidRPr="00075492" w:rsidRDefault="00547E7E">
      <w:pPr>
        <w:pStyle w:val="Innehll2"/>
        <w:rPr>
          <w:noProof w:val="0"/>
        </w:rPr>
      </w:pPr>
      <w:r w:rsidRPr="00075492">
        <w:rPr>
          <w:noProof w:val="0"/>
        </w:rPr>
        <w:t>Kommissionens utvärderingar av livsmedelstillsynen i Sverige</w:t>
      </w:r>
      <w:r w:rsidRPr="00075492">
        <w:rPr>
          <w:noProof w:val="0"/>
        </w:rPr>
        <w:tab/>
        <w:t>127</w:t>
      </w:r>
    </w:p>
    <w:p w:rsidR="00547E7E" w:rsidRPr="00075492" w:rsidRDefault="00547E7E">
      <w:pPr>
        <w:pStyle w:val="Innehll2"/>
        <w:rPr>
          <w:noProof w:val="0"/>
        </w:rPr>
      </w:pPr>
      <w:r w:rsidRPr="00075492">
        <w:rPr>
          <w:noProof w:val="0"/>
        </w:rPr>
        <w:t>Behöver ansvarsfördelningen mellan stat och kommun förändras?</w:t>
      </w:r>
      <w:r w:rsidRPr="00075492">
        <w:rPr>
          <w:noProof w:val="0"/>
        </w:rPr>
        <w:tab/>
        <w:t>128</w:t>
      </w:r>
    </w:p>
    <w:p w:rsidR="00547E7E" w:rsidRPr="00075492" w:rsidRDefault="00547E7E">
      <w:pPr>
        <w:pStyle w:val="Innehll2"/>
        <w:rPr>
          <w:noProof w:val="0"/>
        </w:rPr>
      </w:pPr>
      <w:r w:rsidRPr="00075492">
        <w:rPr>
          <w:noProof w:val="0"/>
        </w:rPr>
        <w:t>Referenser</w:t>
      </w:r>
      <w:r w:rsidRPr="00075492">
        <w:rPr>
          <w:noProof w:val="0"/>
        </w:rPr>
        <w:tab/>
        <w:t>129</w:t>
      </w:r>
    </w:p>
    <w:p w:rsidR="00547E7E" w:rsidRPr="00075492" w:rsidRDefault="00547E7E">
      <w:pPr>
        <w:pStyle w:val="Innehll2"/>
        <w:rPr>
          <w:noProof w:val="0"/>
        </w:rPr>
      </w:pPr>
      <w:r w:rsidRPr="00075492">
        <w:rPr>
          <w:noProof w:val="0"/>
        </w:rPr>
        <w:t>Intervjuer</w:t>
      </w:r>
      <w:r w:rsidRPr="00075492">
        <w:rPr>
          <w:noProof w:val="0"/>
        </w:rPr>
        <w:tab/>
        <w:t>132</w:t>
      </w:r>
    </w:p>
    <w:p w:rsidR="00547E7E" w:rsidRPr="00075492" w:rsidRDefault="00547E7E">
      <w:pPr>
        <w:pStyle w:val="Innehll1"/>
        <w:tabs>
          <w:tab w:val="left" w:pos="380"/>
          <w:tab w:val="right" w:leader="dot" w:pos="5886"/>
        </w:tabs>
      </w:pPr>
      <w:r w:rsidRPr="00075492">
        <w:t>Bilaga 1 – EG-förordningar om livsmedel</w:t>
      </w:r>
      <w:r w:rsidRPr="00075492">
        <w:tab/>
        <w:t>133</w:t>
      </w:r>
    </w:p>
    <w:p w:rsidR="00547E7E" w:rsidRPr="00075492" w:rsidRDefault="00547E7E">
      <w:pPr>
        <w:pStyle w:val="Innehll1"/>
        <w:tabs>
          <w:tab w:val="left" w:pos="380"/>
          <w:tab w:val="right" w:leader="dot" w:pos="5886"/>
        </w:tabs>
      </w:pPr>
      <w:r w:rsidRPr="00075492">
        <w:t>Bilaga 2 – Livsmedelssektorn</w:t>
      </w:r>
      <w:r w:rsidRPr="00075492">
        <w:tab/>
        <w:t>138</w:t>
      </w:r>
    </w:p>
    <w:p w:rsidR="00547E7E" w:rsidRPr="00075492" w:rsidRDefault="00547E7E">
      <w:pPr>
        <w:pStyle w:val="Innehll2"/>
        <w:rPr>
          <w:noProof w:val="0"/>
        </w:rPr>
      </w:pPr>
      <w:r w:rsidRPr="00075492">
        <w:rPr>
          <w:noProof w:val="0"/>
        </w:rPr>
        <w:t>Allmänt om livsmedelssektorn</w:t>
      </w:r>
      <w:r w:rsidRPr="00075492">
        <w:rPr>
          <w:noProof w:val="0"/>
        </w:rPr>
        <w:tab/>
        <w:t>138</w:t>
      </w:r>
    </w:p>
    <w:p w:rsidR="00547E7E" w:rsidRPr="00075492" w:rsidRDefault="00547E7E">
      <w:pPr>
        <w:pStyle w:val="Innehll2"/>
        <w:rPr>
          <w:noProof w:val="0"/>
        </w:rPr>
      </w:pPr>
      <w:r w:rsidRPr="00075492">
        <w:rPr>
          <w:noProof w:val="0"/>
        </w:rPr>
        <w:t>Förädlingsledet: Livsmedelsindustrin</w:t>
      </w:r>
      <w:r w:rsidRPr="00075492">
        <w:rPr>
          <w:noProof w:val="0"/>
        </w:rPr>
        <w:tab/>
        <w:t>138</w:t>
      </w:r>
    </w:p>
    <w:p w:rsidR="00547E7E" w:rsidRPr="00075492" w:rsidRDefault="00547E7E">
      <w:pPr>
        <w:pStyle w:val="Innehll2"/>
        <w:rPr>
          <w:noProof w:val="0"/>
        </w:rPr>
      </w:pPr>
      <w:r w:rsidRPr="00075492">
        <w:rPr>
          <w:noProof w:val="0"/>
        </w:rPr>
        <w:t>Distributionsledet: Parti- och detaljhandel</w:t>
      </w:r>
      <w:r w:rsidRPr="00075492">
        <w:rPr>
          <w:noProof w:val="0"/>
        </w:rPr>
        <w:tab/>
        <w:t>140</w:t>
      </w:r>
    </w:p>
    <w:p w:rsidR="00547E7E" w:rsidRPr="00075492" w:rsidRDefault="00547E7E">
      <w:pPr>
        <w:pStyle w:val="Innehll3"/>
        <w:rPr>
          <w:noProof w:val="0"/>
        </w:rPr>
      </w:pPr>
      <w:r w:rsidRPr="00075492">
        <w:rPr>
          <w:noProof w:val="0"/>
        </w:rPr>
        <w:t>Partihandeln</w:t>
      </w:r>
      <w:r w:rsidRPr="00075492">
        <w:rPr>
          <w:noProof w:val="0"/>
        </w:rPr>
        <w:tab/>
        <w:t>141</w:t>
      </w:r>
    </w:p>
    <w:p w:rsidR="00547E7E" w:rsidRPr="00075492" w:rsidRDefault="00547E7E">
      <w:pPr>
        <w:pStyle w:val="Innehll3"/>
        <w:rPr>
          <w:noProof w:val="0"/>
        </w:rPr>
      </w:pPr>
      <w:r w:rsidRPr="00075492">
        <w:rPr>
          <w:noProof w:val="0"/>
        </w:rPr>
        <w:t>Detaljhandeln</w:t>
      </w:r>
      <w:r w:rsidRPr="00075492">
        <w:rPr>
          <w:noProof w:val="0"/>
        </w:rPr>
        <w:tab/>
        <w:t>141</w:t>
      </w:r>
    </w:p>
    <w:p w:rsidR="00547E7E" w:rsidRPr="00075492" w:rsidRDefault="00547E7E">
      <w:pPr>
        <w:pStyle w:val="Innehll2"/>
        <w:rPr>
          <w:noProof w:val="0"/>
        </w:rPr>
      </w:pPr>
      <w:r w:rsidRPr="00075492">
        <w:rPr>
          <w:noProof w:val="0"/>
        </w:rPr>
        <w:t>Konsumtionsledet: Offentliga och privatägda storhushåll</w:t>
      </w:r>
      <w:r w:rsidRPr="00075492">
        <w:rPr>
          <w:noProof w:val="0"/>
        </w:rPr>
        <w:tab/>
      </w:r>
      <w:bookmarkStart w:id="885" w:name="_Hlt6824939"/>
      <w:r w:rsidRPr="00075492">
        <w:rPr>
          <w:noProof w:val="0"/>
        </w:rPr>
        <w:t>1</w:t>
      </w:r>
      <w:bookmarkStart w:id="886" w:name="_Hlt6824969"/>
      <w:r w:rsidRPr="00075492">
        <w:rPr>
          <w:noProof w:val="0"/>
        </w:rPr>
        <w:t>4</w:t>
      </w:r>
      <w:bookmarkEnd w:id="886"/>
      <w:r w:rsidRPr="00075492">
        <w:rPr>
          <w:noProof w:val="0"/>
        </w:rPr>
        <w:t>2</w:t>
      </w:r>
      <w:bookmarkEnd w:id="885"/>
    </w:p>
    <w:p w:rsidR="00547E7E" w:rsidRPr="00075492" w:rsidRDefault="00547E7E">
      <w:pPr>
        <w:pStyle w:val="Innehll1"/>
        <w:spacing w:before="120"/>
        <w:ind w:right="284"/>
        <w:rPr>
          <w:i/>
        </w:rPr>
      </w:pPr>
      <w:r w:rsidRPr="00075492">
        <w:rPr>
          <w:i/>
        </w:rPr>
        <w:t xml:space="preserve">Bilaga 2 </w:t>
      </w:r>
    </w:p>
    <w:p w:rsidR="00547E7E" w:rsidRPr="00075492" w:rsidRDefault="00547E7E">
      <w:pPr>
        <w:pStyle w:val="Innehll2"/>
        <w:rPr>
          <w:noProof w:val="0"/>
        </w:rPr>
      </w:pPr>
      <w:r w:rsidRPr="00075492">
        <w:rPr>
          <w:noProof w:val="0"/>
        </w:rPr>
        <w:t>Sammanfattning av remissyttranden</w:t>
      </w:r>
      <w:r w:rsidRPr="00075492">
        <w:rPr>
          <w:noProof w:val="0"/>
        </w:rPr>
        <w:tab/>
        <w:t>145</w:t>
      </w:r>
    </w:p>
    <w:p w:rsidR="00547E7E" w:rsidRPr="00075492" w:rsidRDefault="00547E7E">
      <w:pPr>
        <w:pStyle w:val="Normaltindrag"/>
      </w:pPr>
    </w:p>
    <w:p w:rsidR="00547E7E" w:rsidRPr="00075492" w:rsidRDefault="00547E7E">
      <w:pPr>
        <w:pStyle w:val="Normaltindrag"/>
      </w:pPr>
    </w:p>
    <w:p w:rsidR="00547E7E" w:rsidRPr="00075492" w:rsidRDefault="00547E7E">
      <w:pPr>
        <w:pStyle w:val="Tryckort"/>
        <w:framePr w:wrap="around"/>
      </w:pPr>
      <w:r w:rsidRPr="00075492">
        <w:t>Elanders Gotab, Stockholm  2002</w:t>
      </w:r>
    </w:p>
    <w:p w:rsidR="00547E7E" w:rsidRPr="00075492" w:rsidRDefault="00547E7E">
      <w:pPr>
        <w:pStyle w:val="Normaltindrag"/>
      </w:pPr>
    </w:p>
    <w:sectPr w:rsidR="00547E7E" w:rsidRPr="00075492">
      <w:headerReference w:type="default" r:id="rId19"/>
      <w:footerReference w:type="default" r:id="rId2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E7E" w:rsidRPr="00075492" w:rsidRDefault="00547E7E">
      <w:pPr>
        <w:spacing w:before="0" w:line="240" w:lineRule="auto"/>
      </w:pPr>
      <w:r w:rsidRPr="00075492">
        <w:separator/>
      </w:r>
    </w:p>
  </w:endnote>
  <w:endnote w:type="continuationSeparator" w:id="0">
    <w:p w:rsidR="00547E7E" w:rsidRPr="00075492" w:rsidRDefault="00547E7E">
      <w:pPr>
        <w:spacing w:before="0" w:line="240" w:lineRule="auto"/>
      </w:pPr>
      <w:r w:rsidRPr="00075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fotH"/>
      <w:framePr w:wrap="around"/>
    </w:pPr>
    <w:r w:rsidRPr="00075492">
      <w:fldChar w:fldCharType="begin" w:fldLock="1"/>
    </w:r>
    <w:r w:rsidRPr="00075492">
      <w:instrText xml:space="preserve"> PAGE </w:instrText>
    </w:r>
    <w:r w:rsidRPr="00075492">
      <w:fldChar w:fldCharType="separate"/>
    </w:r>
    <w:r w:rsidRPr="00075492">
      <w:t>1</w:t>
    </w:r>
    <w:r w:rsidRPr="00075492">
      <w:fldChar w:fldCharType="end"/>
    </w:r>
  </w:p>
  <w:p w:rsidR="00547E7E" w:rsidRPr="00075492" w:rsidRDefault="00547E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fotH"/>
      <w:framePr w:wrap="around"/>
    </w:pPr>
    <w:r w:rsidRPr="00075492">
      <w:fldChar w:fldCharType="begin" w:fldLock="1"/>
    </w:r>
    <w:r w:rsidRPr="00075492">
      <w:instrText xml:space="preserve"> if </w:instrText>
    </w:r>
    <w:r w:rsidRPr="00075492">
      <w:fldChar w:fldCharType="begin" w:fldLock="1"/>
    </w:r>
    <w:r w:rsidRPr="00075492">
      <w:instrText xml:space="preserve"> page</w:instrText>
    </w:r>
    <w:r w:rsidRPr="00075492">
      <w:fldChar w:fldCharType="separate"/>
    </w:r>
    <w:r w:rsidR="00075492">
      <w:rPr>
        <w:noProof/>
      </w:rPr>
      <w:instrText>56</w:instrText>
    </w:r>
    <w:r w:rsidRPr="00075492">
      <w:fldChar w:fldCharType="end"/>
    </w:r>
    <w:r w:rsidRPr="00075492">
      <w:instrText xml:space="preserve"> &gt; 0 "</w:instrText>
    </w:r>
    <w:r w:rsidRPr="00075492">
      <w:fldChar w:fldCharType="begin" w:fldLock="1"/>
    </w:r>
    <w:r w:rsidRPr="00075492">
      <w:instrText xml:space="preserve"> PAGE </w:instrText>
    </w:r>
    <w:r w:rsidRPr="00075492">
      <w:fldChar w:fldCharType="separate"/>
    </w:r>
    <w:r w:rsidR="00075492">
      <w:rPr>
        <w:noProof/>
      </w:rPr>
      <w:instrText>56</w:instrText>
    </w:r>
    <w:r w:rsidRPr="00075492">
      <w:fldChar w:fldCharType="end"/>
    </w:r>
    <w:r w:rsidRPr="00075492">
      <w:instrText>"</w:instrText>
    </w:r>
    <w:r w:rsidRPr="00075492">
      <w:fldChar w:fldCharType="separate"/>
    </w:r>
    <w:r w:rsidR="00075492">
      <w:rPr>
        <w:noProof/>
      </w:rPr>
      <w:t>56</w:t>
    </w:r>
    <w:r w:rsidRPr="00075492">
      <w:fldChar w:fldCharType="end"/>
    </w:r>
  </w:p>
  <w:p w:rsidR="00547E7E" w:rsidRPr="00075492" w:rsidRDefault="00547E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fotH"/>
      <w:framePr w:wrap="around"/>
    </w:pPr>
    <w:r w:rsidRPr="00075492">
      <w:fldChar w:fldCharType="begin" w:fldLock="1"/>
    </w:r>
    <w:r w:rsidRPr="00075492">
      <w:instrText xml:space="preserve"> if </w:instrText>
    </w:r>
    <w:r w:rsidRPr="00075492">
      <w:fldChar w:fldCharType="begin" w:fldLock="1"/>
    </w:r>
    <w:r w:rsidRPr="00075492">
      <w:instrText xml:space="preserve"> page</w:instrText>
    </w:r>
    <w:r w:rsidRPr="00075492">
      <w:fldChar w:fldCharType="separate"/>
    </w:r>
    <w:r w:rsidRPr="00075492">
      <w:instrText>137</w:instrText>
    </w:r>
    <w:r w:rsidRPr="00075492">
      <w:fldChar w:fldCharType="end"/>
    </w:r>
    <w:r w:rsidRPr="00075492">
      <w:instrText xml:space="preserve"> &gt; 0 "</w:instrText>
    </w:r>
    <w:r w:rsidRPr="00075492">
      <w:fldChar w:fldCharType="begin" w:fldLock="1"/>
    </w:r>
    <w:r w:rsidRPr="00075492">
      <w:instrText xml:space="preserve"> PAGE </w:instrText>
    </w:r>
    <w:r w:rsidRPr="00075492">
      <w:fldChar w:fldCharType="separate"/>
    </w:r>
    <w:r w:rsidRPr="00075492">
      <w:instrText>137</w:instrText>
    </w:r>
    <w:r w:rsidRPr="00075492">
      <w:fldChar w:fldCharType="end"/>
    </w:r>
    <w:r w:rsidRPr="00075492">
      <w:instrText>"</w:instrText>
    </w:r>
    <w:r w:rsidRPr="00075492">
      <w:fldChar w:fldCharType="separate"/>
    </w:r>
    <w:r w:rsidRPr="00075492">
      <w:t>137</w:t>
    </w:r>
    <w:r w:rsidRPr="00075492">
      <w:fldChar w:fldCharType="end"/>
    </w:r>
  </w:p>
  <w:p w:rsidR="00547E7E" w:rsidRPr="00075492" w:rsidRDefault="00547E7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fotH"/>
      <w:framePr w:wrap="around"/>
    </w:pPr>
    <w:r w:rsidRPr="00075492">
      <w:fldChar w:fldCharType="begin" w:fldLock="1"/>
    </w:r>
    <w:r w:rsidRPr="00075492">
      <w:instrText xml:space="preserve"> PAGE </w:instrText>
    </w:r>
    <w:r w:rsidRPr="00075492">
      <w:fldChar w:fldCharType="separate"/>
    </w:r>
    <w:r w:rsidRPr="00075492">
      <w:t>144</w:t>
    </w:r>
    <w:r w:rsidRPr="00075492">
      <w:fldChar w:fldCharType="end"/>
    </w:r>
  </w:p>
  <w:p w:rsidR="00547E7E" w:rsidRPr="00075492" w:rsidRDefault="00547E7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fotH"/>
      <w:framePr w:wrap="around"/>
    </w:pPr>
    <w:r w:rsidRPr="00075492">
      <w:fldChar w:fldCharType="begin" w:fldLock="1"/>
    </w:r>
    <w:r w:rsidRPr="00075492">
      <w:instrText xml:space="preserve"> PAGE </w:instrText>
    </w:r>
    <w:r w:rsidRPr="00075492">
      <w:fldChar w:fldCharType="separate"/>
    </w:r>
    <w:r w:rsidRPr="00075492">
      <w:t>160</w:t>
    </w:r>
    <w:r w:rsidRPr="00075492">
      <w:fldChar w:fldCharType="end"/>
    </w:r>
  </w:p>
  <w:p w:rsidR="00547E7E" w:rsidRPr="00075492" w:rsidRDefault="00547E7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fotH"/>
      <w:framePr w:wrap="around"/>
    </w:pPr>
    <w:r w:rsidRPr="00075492">
      <w:fldChar w:fldCharType="begin" w:fldLock="1"/>
    </w:r>
    <w:r w:rsidRPr="00075492">
      <w:instrText xml:space="preserve"> PAGE </w:instrText>
    </w:r>
    <w:r w:rsidRPr="00075492">
      <w:fldChar w:fldCharType="separate"/>
    </w:r>
    <w:r w:rsidRPr="00075492">
      <w:t>164</w:t>
    </w:r>
    <w:r w:rsidRPr="00075492">
      <w:fldChar w:fldCharType="end"/>
    </w:r>
  </w:p>
  <w:p w:rsidR="00547E7E" w:rsidRPr="00075492" w:rsidRDefault="00547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E7E" w:rsidRPr="00075492" w:rsidRDefault="00547E7E">
      <w:pPr>
        <w:pStyle w:val="Sidfot"/>
      </w:pPr>
    </w:p>
  </w:footnote>
  <w:footnote w:type="continuationSeparator" w:id="0">
    <w:p w:rsidR="00547E7E" w:rsidRPr="00075492" w:rsidRDefault="00547E7E">
      <w:pPr>
        <w:spacing w:before="0" w:line="240" w:lineRule="auto"/>
      </w:pPr>
      <w:r w:rsidRPr="00075492">
        <w:continuationSeparator/>
      </w:r>
    </w:p>
  </w:footnote>
  <w:footnote w:id="1">
    <w:p w:rsidR="00547E7E" w:rsidRPr="00075492" w:rsidRDefault="00547E7E">
      <w:pPr>
        <w:pStyle w:val="Fotnotstext"/>
      </w:pPr>
      <w:r w:rsidRPr="00075492">
        <w:rPr>
          <w:rStyle w:val="Fotnotsreferens"/>
        </w:rPr>
        <w:footnoteRef/>
      </w:r>
      <w:r w:rsidRPr="00075492">
        <w:t xml:space="preserve"> Landshövdingemötet 2001-09-07.</w:t>
      </w:r>
    </w:p>
  </w:footnote>
  <w:footnote w:id="2">
    <w:p w:rsidR="00547E7E" w:rsidRPr="00075492" w:rsidRDefault="00547E7E">
      <w:pPr>
        <w:pStyle w:val="Fotnotstext"/>
      </w:pPr>
      <w:r w:rsidRPr="00075492">
        <w:rPr>
          <w:rStyle w:val="Fotnotsreferens"/>
        </w:rPr>
        <w:footnoteRef/>
      </w:r>
      <w:r w:rsidRPr="00075492">
        <w:t xml:space="preserve"> Dir. 2000:62.</w:t>
      </w:r>
    </w:p>
  </w:footnote>
  <w:footnote w:id="3">
    <w:p w:rsidR="00547E7E" w:rsidRPr="00075492" w:rsidRDefault="00547E7E">
      <w:pPr>
        <w:pStyle w:val="Fotnotstext"/>
      </w:pPr>
      <w:r w:rsidRPr="00075492">
        <w:rPr>
          <w:rStyle w:val="Fotnotsreferens"/>
        </w:rPr>
        <w:footnoteRef/>
      </w:r>
      <w:r w:rsidRPr="00075492">
        <w:t xml:space="preserve"> EUR-Lex: http://europa.eu.int/eur-lex/</w:t>
      </w:r>
    </w:p>
  </w:footnote>
  <w:footnote w:id="4">
    <w:p w:rsidR="00547E7E" w:rsidRPr="00075492" w:rsidRDefault="00547E7E">
      <w:pPr>
        <w:pStyle w:val="Fotnotstext"/>
      </w:pPr>
      <w:r w:rsidRPr="00075492">
        <w:rPr>
          <w:rStyle w:val="Fotnotsreferens"/>
        </w:rPr>
        <w:footnoteRef/>
      </w:r>
      <w:r w:rsidRPr="00075492">
        <w:t xml:space="preserve"> Statskontorets rapport 2001:14, </w:t>
      </w:r>
      <w:r w:rsidRPr="00075492">
        <w:rPr>
          <w:i/>
        </w:rPr>
        <w:t>Analys av EU-medlemskapets effekter på svensk statlig tillsyn</w:t>
      </w:r>
      <w:r w:rsidRPr="00075492">
        <w:t xml:space="preserve"> (2001-09-14).</w:t>
      </w:r>
    </w:p>
  </w:footnote>
  <w:footnote w:id="5">
    <w:p w:rsidR="00547E7E" w:rsidRPr="00075492" w:rsidRDefault="00547E7E">
      <w:pPr>
        <w:pStyle w:val="Fotnotstext"/>
      </w:pPr>
      <w:r w:rsidRPr="00075492">
        <w:rPr>
          <w:rStyle w:val="Fotnotsreferens"/>
        </w:rPr>
        <w:footnoteRef/>
      </w:r>
      <w:r w:rsidRPr="00075492">
        <w:t xml:space="preserve"> SOU 1998:61, </w:t>
      </w:r>
      <w:r w:rsidRPr="00075492">
        <w:rPr>
          <w:i/>
        </w:rPr>
        <w:t>Livsmedelstillsynen i Sverige</w:t>
      </w:r>
      <w:r w:rsidRPr="00075492">
        <w:t>, s.51.</w:t>
      </w:r>
    </w:p>
  </w:footnote>
  <w:footnote w:id="6">
    <w:p w:rsidR="00547E7E" w:rsidRPr="00075492" w:rsidRDefault="00547E7E">
      <w:pPr>
        <w:pStyle w:val="Fotnotstext"/>
      </w:pPr>
      <w:r w:rsidRPr="00075492">
        <w:rPr>
          <w:rStyle w:val="Fotnotsreferens"/>
        </w:rPr>
        <w:footnoteRef/>
      </w:r>
      <w:r w:rsidRPr="00075492">
        <w:t xml:space="preserve"> HACCP (Hazard Analysis Critical Control Points) är principer som ska tillämpas för    egenkontroll.</w:t>
      </w:r>
    </w:p>
  </w:footnote>
  <w:footnote w:id="7">
    <w:p w:rsidR="00547E7E" w:rsidRPr="00075492" w:rsidRDefault="00547E7E">
      <w:pPr>
        <w:pStyle w:val="Fotnotstext"/>
      </w:pPr>
      <w:r w:rsidRPr="00075492">
        <w:rPr>
          <w:rStyle w:val="Fotnotsreferens"/>
        </w:rPr>
        <w:footnoteRef/>
      </w:r>
      <w:r w:rsidRPr="00075492">
        <w:t xml:space="preserve"> </w:t>
      </w:r>
      <w:r w:rsidRPr="00075492">
        <w:rPr>
          <w:i/>
        </w:rPr>
        <w:t>Vitbok om livsmedelssäkerhet</w:t>
      </w:r>
      <w:r w:rsidRPr="00075492">
        <w:t xml:space="preserve"> (KOM 99/719).</w:t>
      </w:r>
    </w:p>
  </w:footnote>
  <w:footnote w:id="8">
    <w:p w:rsidR="00547E7E" w:rsidRPr="00075492" w:rsidRDefault="00547E7E">
      <w:pPr>
        <w:pStyle w:val="Fotnotstext"/>
      </w:pPr>
      <w:r w:rsidRPr="00075492">
        <w:rPr>
          <w:rStyle w:val="Fotnotsreferens"/>
        </w:rPr>
        <w:footnoteRef/>
      </w:r>
      <w:r w:rsidRPr="00075492">
        <w:t xml:space="preserve"> </w:t>
      </w:r>
      <w:r w:rsidRPr="00075492">
        <w:rPr>
          <w:i/>
        </w:rPr>
        <w:t>Allmänna principer för livsmedelslagstiftningen i Europeiska unionen</w:t>
      </w:r>
      <w:r w:rsidRPr="00075492">
        <w:t xml:space="preserve"> (KOM 97/176).</w:t>
      </w:r>
    </w:p>
  </w:footnote>
  <w:footnote w:id="9">
    <w:p w:rsidR="00547E7E" w:rsidRPr="00075492" w:rsidRDefault="00547E7E">
      <w:pPr>
        <w:pStyle w:val="Fotnotstext"/>
      </w:pPr>
      <w:r w:rsidRPr="00075492">
        <w:rPr>
          <w:rStyle w:val="Fotnotsreferens"/>
        </w:rPr>
        <w:footnoteRef/>
      </w:r>
      <w:r w:rsidRPr="00075492">
        <w:t xml:space="preserve"> </w:t>
      </w:r>
      <w:r w:rsidRPr="00075492">
        <w:rPr>
          <w:i/>
        </w:rPr>
        <w:t>Styrelseformerna i EU – Vitbok</w:t>
      </w:r>
      <w:r w:rsidRPr="00075492">
        <w:t xml:space="preserve"> (KOM 2001/428).</w:t>
      </w:r>
    </w:p>
  </w:footnote>
  <w:footnote w:id="10">
    <w:p w:rsidR="00547E7E" w:rsidRPr="00075492" w:rsidRDefault="00547E7E">
      <w:pPr>
        <w:pStyle w:val="Fotnotstext"/>
      </w:pPr>
      <w:r w:rsidRPr="00075492">
        <w:rPr>
          <w:rStyle w:val="Fotnotsreferens"/>
        </w:rPr>
        <w:footnoteRef/>
      </w:r>
      <w:r w:rsidRPr="00075492">
        <w:t xml:space="preserve"> SOU 1998:61 s. 27.</w:t>
      </w:r>
    </w:p>
  </w:footnote>
  <w:footnote w:id="11">
    <w:p w:rsidR="00547E7E" w:rsidRPr="00075492" w:rsidRDefault="00547E7E">
      <w:pPr>
        <w:pStyle w:val="Fotnotstext"/>
      </w:pPr>
      <w:r w:rsidRPr="00075492">
        <w:rPr>
          <w:rStyle w:val="Fotnotsreferens"/>
        </w:rPr>
        <w:footnoteRef/>
      </w:r>
      <w:r w:rsidRPr="00075492">
        <w:t xml:space="preserve"> Uppgifterna avser år 2000 och de har hämtats från SCB. Dessa uppgifter stämmer inte överens med kommunernas rapportering som dock avser år 1999. Skillnaden kan bero på att det sker relativt stora förändringar mellan åren eller brister i statistiken. </w:t>
      </w:r>
    </w:p>
  </w:footnote>
  <w:footnote w:id="12">
    <w:p w:rsidR="00547E7E" w:rsidRPr="00075492" w:rsidRDefault="00547E7E">
      <w:pPr>
        <w:pStyle w:val="Fotnotstext"/>
      </w:pPr>
      <w:r w:rsidRPr="00075492">
        <w:rPr>
          <w:rStyle w:val="Fotnotsreferens"/>
        </w:rPr>
        <w:footnoteRef/>
      </w:r>
      <w:r w:rsidRPr="00075492">
        <w:t xml:space="preserve"> SOU 1998:61 s. 29. ff.</w:t>
      </w:r>
    </w:p>
  </w:footnote>
  <w:footnote w:id="13">
    <w:p w:rsidR="00547E7E" w:rsidRPr="00075492" w:rsidRDefault="00547E7E">
      <w:pPr>
        <w:pStyle w:val="Fotnotstext"/>
      </w:pPr>
      <w:r w:rsidRPr="00075492">
        <w:rPr>
          <w:rStyle w:val="Fotnotsreferens"/>
        </w:rPr>
        <w:footnoteRef/>
      </w:r>
      <w:r w:rsidRPr="00075492">
        <w:t xml:space="preserve"> SCB 2000. </w:t>
      </w:r>
      <w:r w:rsidRPr="00075492">
        <w:rPr>
          <w:i/>
        </w:rPr>
        <w:t>BASFAKTA 2000. Tabeller ur företagsregistret.</w:t>
      </w:r>
      <w:r w:rsidRPr="00075492">
        <w:t xml:space="preserve"> </w:t>
      </w:r>
    </w:p>
  </w:footnote>
  <w:footnote w:id="14">
    <w:p w:rsidR="00547E7E" w:rsidRPr="00075492" w:rsidRDefault="00547E7E">
      <w:pPr>
        <w:pStyle w:val="Fotnotstext"/>
      </w:pPr>
      <w:r w:rsidRPr="00075492">
        <w:rPr>
          <w:rStyle w:val="Fotnotsreferens"/>
        </w:rPr>
        <w:footnoteRef/>
      </w:r>
      <w:r w:rsidRPr="00075492">
        <w:t xml:space="preserve"> Delfi Marknadspartner AB 2000. </w:t>
      </w:r>
      <w:r w:rsidRPr="00075492">
        <w:rPr>
          <w:i/>
        </w:rPr>
        <w:t>Storhushållsguiden 2000.</w:t>
      </w:r>
      <w:r w:rsidRPr="00075492">
        <w:t xml:space="preserve"> s. 6. </w:t>
      </w:r>
    </w:p>
  </w:footnote>
  <w:footnote w:id="15">
    <w:p w:rsidR="00547E7E" w:rsidRPr="00075492" w:rsidRDefault="00547E7E">
      <w:pPr>
        <w:pStyle w:val="Fotnotstext"/>
      </w:pPr>
      <w:r w:rsidRPr="00075492">
        <w:rPr>
          <w:rStyle w:val="Fotnotsreferens"/>
        </w:rPr>
        <w:footnoteRef/>
      </w:r>
      <w:r w:rsidRPr="00075492">
        <w:t xml:space="preserve"> 1988/89: JoU14.</w:t>
      </w:r>
    </w:p>
  </w:footnote>
  <w:footnote w:id="16">
    <w:p w:rsidR="00547E7E" w:rsidRPr="00075492" w:rsidRDefault="00547E7E">
      <w:pPr>
        <w:pStyle w:val="Fotnotstext"/>
      </w:pPr>
      <w:r w:rsidRPr="00075492">
        <w:rPr>
          <w:rStyle w:val="Fotnotsreferens"/>
        </w:rPr>
        <w:footnoteRef/>
      </w:r>
      <w:r w:rsidRPr="00075492">
        <w:t xml:space="preserve"> 1988/89: rskr. 263.</w:t>
      </w:r>
    </w:p>
  </w:footnote>
  <w:footnote w:id="17">
    <w:p w:rsidR="00547E7E" w:rsidRPr="00075492" w:rsidRDefault="00547E7E">
      <w:pPr>
        <w:pStyle w:val="Fotnotstext"/>
      </w:pPr>
      <w:r w:rsidRPr="00075492">
        <w:rPr>
          <w:rStyle w:val="Fotnotsreferens"/>
        </w:rPr>
        <w:footnoteRef/>
      </w:r>
      <w:r w:rsidRPr="00075492">
        <w:t xml:space="preserve"> SFS 1971:807 omtryck 1990:310.</w:t>
      </w:r>
    </w:p>
  </w:footnote>
  <w:footnote w:id="18">
    <w:p w:rsidR="00547E7E" w:rsidRPr="00075492" w:rsidRDefault="00547E7E">
      <w:pPr>
        <w:pStyle w:val="Fotnotstext"/>
      </w:pPr>
      <w:r w:rsidRPr="00075492">
        <w:rPr>
          <w:rStyle w:val="Fotnotsreferens"/>
        </w:rPr>
        <w:footnoteRef/>
      </w:r>
      <w:r w:rsidRPr="00075492">
        <w:t xml:space="preserve"> Dir. 1997:25.</w:t>
      </w:r>
    </w:p>
  </w:footnote>
  <w:footnote w:id="19">
    <w:p w:rsidR="00547E7E" w:rsidRPr="00075492" w:rsidRDefault="00547E7E">
      <w:pPr>
        <w:pStyle w:val="Fotnotstext"/>
      </w:pPr>
      <w:r w:rsidRPr="00075492">
        <w:rPr>
          <w:rStyle w:val="Fotnotsreferens"/>
        </w:rPr>
        <w:footnoteRef/>
      </w:r>
      <w:r w:rsidRPr="00075492">
        <w:t xml:space="preserve"> Livsmedelsverket, Rapport 9-2000, Effektivare livsmedelstillsyn – förslag till arbetssätt, organisation och finansiering.</w:t>
      </w:r>
    </w:p>
  </w:footnote>
  <w:footnote w:id="20">
    <w:p w:rsidR="00547E7E" w:rsidRPr="00075492" w:rsidRDefault="00547E7E">
      <w:pPr>
        <w:pStyle w:val="Fotnotstext"/>
      </w:pPr>
      <w:r w:rsidRPr="00075492">
        <w:rPr>
          <w:rStyle w:val="Fotnotsreferens"/>
        </w:rPr>
        <w:footnoteRef/>
      </w:r>
      <w:r w:rsidRPr="00075492">
        <w:t xml:space="preserve"> Regeringsbeslut, 1999-07-22.</w:t>
      </w:r>
    </w:p>
  </w:footnote>
  <w:footnote w:id="21">
    <w:p w:rsidR="00547E7E" w:rsidRPr="00075492" w:rsidRDefault="00547E7E">
      <w:pPr>
        <w:pStyle w:val="Fotnotstext"/>
      </w:pPr>
      <w:r w:rsidRPr="00075492">
        <w:rPr>
          <w:rStyle w:val="Fotnotsreferens"/>
        </w:rPr>
        <w:footnoteRef/>
      </w:r>
      <w:r w:rsidRPr="00075492">
        <w:t xml:space="preserve"> Länsstyrelsernas arbetsgrupp för organisering av livsmedelstillsynen, PM 2001-08-30.</w:t>
      </w:r>
    </w:p>
  </w:footnote>
  <w:footnote w:id="22">
    <w:p w:rsidR="00547E7E" w:rsidRPr="00075492" w:rsidRDefault="00547E7E">
      <w:pPr>
        <w:pStyle w:val="Fotnotstext"/>
      </w:pPr>
      <w:r w:rsidRPr="00075492">
        <w:rPr>
          <w:rStyle w:val="Fotnotsreferens"/>
        </w:rPr>
        <w:footnoteRef/>
      </w:r>
      <w:r w:rsidRPr="00075492">
        <w:t xml:space="preserve"> Årsredovisning för 1993/94</w:t>
      </w:r>
    </w:p>
  </w:footnote>
  <w:footnote w:id="23">
    <w:p w:rsidR="00547E7E" w:rsidRPr="00075492" w:rsidRDefault="00547E7E">
      <w:pPr>
        <w:pStyle w:val="Fotnotstext"/>
      </w:pPr>
      <w:r w:rsidRPr="00075492">
        <w:rPr>
          <w:rStyle w:val="Fotnotsreferens"/>
        </w:rPr>
        <w:footnoteRef/>
      </w:r>
      <w:r w:rsidRPr="00075492">
        <w:t xml:space="preserve"> Intervju med företrädare för Livsmedelsverket</w:t>
      </w:r>
    </w:p>
  </w:footnote>
  <w:footnote w:id="24">
    <w:p w:rsidR="00547E7E" w:rsidRPr="00075492" w:rsidRDefault="00547E7E">
      <w:pPr>
        <w:pStyle w:val="Fotnotstext"/>
      </w:pPr>
      <w:r w:rsidRPr="00075492">
        <w:rPr>
          <w:rStyle w:val="Fotnotsreferens"/>
        </w:rPr>
        <w:footnoteRef/>
      </w:r>
      <w:r w:rsidRPr="00075492">
        <w:t xml:space="preserve"> SOU 1998:61, s. 223</w:t>
      </w:r>
    </w:p>
  </w:footnote>
  <w:footnote w:id="25">
    <w:p w:rsidR="00547E7E" w:rsidRPr="00075492" w:rsidRDefault="00547E7E">
      <w:pPr>
        <w:pStyle w:val="Fotnotstext"/>
      </w:pPr>
      <w:r w:rsidRPr="00075492">
        <w:rPr>
          <w:rStyle w:val="Fotnotsreferens"/>
        </w:rPr>
        <w:footnoteRef/>
      </w:r>
      <w:r w:rsidRPr="00075492">
        <w:t xml:space="preserve"> Årsredovisning 1999</w:t>
      </w:r>
    </w:p>
  </w:footnote>
  <w:footnote w:id="26">
    <w:p w:rsidR="00547E7E" w:rsidRPr="00075492" w:rsidRDefault="00547E7E">
      <w:pPr>
        <w:pStyle w:val="Fotnotstext"/>
      </w:pPr>
      <w:r w:rsidRPr="00075492">
        <w:rPr>
          <w:rStyle w:val="Fotnotsreferens"/>
        </w:rPr>
        <w:footnoteRef/>
      </w:r>
      <w:r w:rsidRPr="00075492">
        <w:t xml:space="preserve"> Uppgift vid intervju med företrädare för Livsmedelsverket</w:t>
      </w:r>
    </w:p>
  </w:footnote>
  <w:footnote w:id="27">
    <w:p w:rsidR="00547E7E" w:rsidRPr="00075492" w:rsidRDefault="00547E7E">
      <w:pPr>
        <w:pStyle w:val="Fotnotstext"/>
      </w:pPr>
      <w:r w:rsidRPr="00075492">
        <w:rPr>
          <w:rStyle w:val="Fotnotsreferens"/>
        </w:rPr>
        <w:footnoteRef/>
      </w:r>
      <w:r w:rsidRPr="00075492">
        <w:t xml:space="preserve"> Livsmedelsverket rapport 9 – 2000. </w:t>
      </w:r>
    </w:p>
  </w:footnote>
  <w:footnote w:id="28">
    <w:p w:rsidR="00547E7E" w:rsidRPr="00075492" w:rsidRDefault="00547E7E">
      <w:pPr>
        <w:pStyle w:val="Fotnotstext"/>
      </w:pPr>
      <w:r w:rsidRPr="00075492">
        <w:rPr>
          <w:rStyle w:val="Fotnotsreferens"/>
        </w:rPr>
        <w:footnoteRef/>
      </w:r>
      <w:r w:rsidRPr="00075492">
        <w:t xml:space="preserve"> Livsmedelsverket 2001-01-24 dnr 325/01.</w:t>
      </w:r>
    </w:p>
  </w:footnote>
  <w:footnote w:id="29">
    <w:p w:rsidR="00547E7E" w:rsidRPr="00075492" w:rsidRDefault="00547E7E">
      <w:pPr>
        <w:pStyle w:val="Fotnotstext"/>
      </w:pPr>
      <w:r w:rsidRPr="00075492">
        <w:rPr>
          <w:rStyle w:val="Fotnotsreferens"/>
        </w:rPr>
        <w:footnoteRef/>
      </w:r>
      <w:r w:rsidRPr="00075492">
        <w:t xml:space="preserve"> Regleringsbrev år 1999.</w:t>
      </w:r>
    </w:p>
  </w:footnote>
  <w:footnote w:id="30">
    <w:p w:rsidR="00547E7E" w:rsidRPr="00075492" w:rsidRDefault="00547E7E">
      <w:pPr>
        <w:pStyle w:val="Fotnotstext"/>
      </w:pPr>
      <w:r w:rsidRPr="00075492">
        <w:rPr>
          <w:rStyle w:val="Fotnotsreferens"/>
        </w:rPr>
        <w:footnoteRef/>
      </w:r>
      <w:r w:rsidRPr="00075492">
        <w:t xml:space="preserve"> Länsstyrelsernas årsredovisningar för år 2000.</w:t>
      </w:r>
    </w:p>
  </w:footnote>
  <w:footnote w:id="31">
    <w:p w:rsidR="00547E7E" w:rsidRPr="00075492" w:rsidRDefault="00547E7E">
      <w:pPr>
        <w:pStyle w:val="Fotnotstext"/>
      </w:pPr>
      <w:r w:rsidRPr="00075492">
        <w:rPr>
          <w:rStyle w:val="Fotnotsreferens"/>
        </w:rPr>
        <w:footnoteRef/>
      </w:r>
      <w:r w:rsidRPr="00075492">
        <w:t xml:space="preserve"> Livsmedelsverket, rapport 9 – 2000.</w:t>
      </w:r>
    </w:p>
  </w:footnote>
  <w:footnote w:id="32">
    <w:p w:rsidR="00547E7E" w:rsidRPr="00075492" w:rsidRDefault="00547E7E">
      <w:pPr>
        <w:pStyle w:val="Fotnotstext"/>
      </w:pPr>
      <w:r w:rsidRPr="00075492">
        <w:rPr>
          <w:rStyle w:val="Fotnotsreferens"/>
        </w:rPr>
        <w:footnoteRef/>
      </w:r>
      <w:r w:rsidRPr="00075492">
        <w:t xml:space="preserve"> Livsmedelsverket, rapport 9 –2000.</w:t>
      </w:r>
    </w:p>
  </w:footnote>
  <w:footnote w:id="33">
    <w:p w:rsidR="00547E7E" w:rsidRPr="00075492" w:rsidRDefault="00547E7E">
      <w:pPr>
        <w:pStyle w:val="Fotnotstext"/>
      </w:pPr>
      <w:r w:rsidRPr="00075492">
        <w:rPr>
          <w:rStyle w:val="Fotnotsreferens"/>
        </w:rPr>
        <w:footnoteRef/>
      </w:r>
      <w:r w:rsidRPr="00075492">
        <w:t xml:space="preserve"> SLVFS 1990 4§, 4a §.</w:t>
      </w:r>
    </w:p>
  </w:footnote>
  <w:footnote w:id="34">
    <w:p w:rsidR="00547E7E" w:rsidRPr="00075492" w:rsidRDefault="00547E7E">
      <w:pPr>
        <w:pStyle w:val="Fotnotstext"/>
      </w:pPr>
      <w:r w:rsidRPr="00075492">
        <w:rPr>
          <w:rStyle w:val="Fotnotsreferens"/>
        </w:rPr>
        <w:footnoteRef/>
      </w:r>
      <w:r w:rsidRPr="00075492">
        <w:t xml:space="preserve"> Livsmedelsverkets rapporter åren 1995–2000, Rapportering om livsmedelstillsynen.</w:t>
      </w:r>
    </w:p>
  </w:footnote>
  <w:footnote w:id="35">
    <w:p w:rsidR="00547E7E" w:rsidRPr="00075492" w:rsidRDefault="00547E7E">
      <w:pPr>
        <w:pStyle w:val="Fotnotstext"/>
      </w:pPr>
      <w:r w:rsidRPr="00075492">
        <w:rPr>
          <w:rStyle w:val="Fotnotsreferens"/>
        </w:rPr>
        <w:footnoteRef/>
      </w:r>
      <w:r w:rsidRPr="00075492">
        <w:t xml:space="preserve"> Livsmedelsverket, Rapport 20/98.</w:t>
      </w:r>
    </w:p>
  </w:footnote>
  <w:footnote w:id="36">
    <w:p w:rsidR="00547E7E" w:rsidRPr="00075492" w:rsidRDefault="00547E7E">
      <w:pPr>
        <w:pStyle w:val="Fotnotstext"/>
      </w:pPr>
      <w:r w:rsidRPr="00075492">
        <w:rPr>
          <w:rStyle w:val="Fotnotsreferens"/>
        </w:rPr>
        <w:footnoteRef/>
      </w:r>
      <w:r w:rsidRPr="00075492">
        <w:t xml:space="preserve"> SOU 1998:61.</w:t>
      </w:r>
    </w:p>
  </w:footnote>
  <w:footnote w:id="37">
    <w:p w:rsidR="00547E7E" w:rsidRPr="00075492" w:rsidRDefault="00547E7E">
      <w:pPr>
        <w:pStyle w:val="Fotnotstext"/>
      </w:pPr>
      <w:r w:rsidRPr="00075492">
        <w:rPr>
          <w:rStyle w:val="Fotnotsreferens"/>
        </w:rPr>
        <w:footnoteRef/>
      </w:r>
      <w:r w:rsidRPr="00075492">
        <w:t xml:space="preserve"> Mora och Orsa samt Mjölby och Boxholm.</w:t>
      </w:r>
    </w:p>
  </w:footnote>
  <w:footnote w:id="38">
    <w:p w:rsidR="00547E7E" w:rsidRPr="00075492" w:rsidRDefault="00547E7E">
      <w:pPr>
        <w:pStyle w:val="Fotnotstext"/>
      </w:pPr>
      <w:r w:rsidRPr="00075492">
        <w:rPr>
          <w:rStyle w:val="Fotnotsreferens"/>
        </w:rPr>
        <w:footnoteRef/>
      </w:r>
      <w:r w:rsidRPr="00075492">
        <w:t xml:space="preserve"> Svenska Kommunförbundet, Miljö- och hälsoskydd i kommunerna, en enkätunde</w:t>
      </w:r>
      <w:r w:rsidRPr="00075492">
        <w:t>r</w:t>
      </w:r>
      <w:r w:rsidRPr="00075492">
        <w:t>sökning, 2000.</w:t>
      </w:r>
    </w:p>
  </w:footnote>
  <w:footnote w:id="39">
    <w:p w:rsidR="00547E7E" w:rsidRPr="00075492" w:rsidRDefault="00547E7E">
      <w:pPr>
        <w:pStyle w:val="Fotnotstext"/>
      </w:pPr>
      <w:r w:rsidRPr="00075492">
        <w:rPr>
          <w:rStyle w:val="Fotnotsreferens"/>
        </w:rPr>
        <w:footnoteRef/>
      </w:r>
      <w:r w:rsidRPr="00075492">
        <w:t xml:space="preserve"> Naturvårdsverket, rapport 5127, Kommunernas organisation för miljöfarlig ver</w:t>
      </w:r>
      <w:r w:rsidRPr="00075492">
        <w:t>k</w:t>
      </w:r>
      <w:r w:rsidRPr="00075492">
        <w:t>samhet.</w:t>
      </w:r>
    </w:p>
  </w:footnote>
  <w:footnote w:id="40">
    <w:p w:rsidR="00547E7E" w:rsidRPr="00075492" w:rsidRDefault="00547E7E">
      <w:pPr>
        <w:pStyle w:val="Fotnotstext"/>
      </w:pPr>
      <w:r w:rsidRPr="00075492">
        <w:rPr>
          <w:rStyle w:val="Fotnotsreferens"/>
        </w:rPr>
        <w:footnoteRef/>
      </w:r>
      <w:r w:rsidRPr="00075492">
        <w:t xml:space="preserve"> Intervjuer med företrädare för Göteborgs, Bodens och Pajala kommuner.</w:t>
      </w:r>
    </w:p>
  </w:footnote>
  <w:footnote w:id="41">
    <w:p w:rsidR="00547E7E" w:rsidRPr="00075492" w:rsidRDefault="00547E7E">
      <w:pPr>
        <w:pStyle w:val="Fotnotstext"/>
      </w:pPr>
      <w:r w:rsidRPr="00075492">
        <w:rPr>
          <w:rStyle w:val="Fotnotsreferens"/>
        </w:rPr>
        <w:footnoteRef/>
      </w:r>
      <w:r w:rsidRPr="00075492">
        <w:t xml:space="preserve"> Livsmedelsverkets rapport 9 – 2000.</w:t>
      </w:r>
    </w:p>
    <w:p w:rsidR="00547E7E" w:rsidRPr="00075492" w:rsidRDefault="00547E7E">
      <w:pPr>
        <w:pStyle w:val="Fotnotstext"/>
      </w:pPr>
    </w:p>
  </w:footnote>
  <w:footnote w:id="42">
    <w:p w:rsidR="00547E7E" w:rsidRPr="00075492" w:rsidRDefault="00547E7E">
      <w:pPr>
        <w:pStyle w:val="Fotnotstext"/>
      </w:pPr>
      <w:r w:rsidRPr="00075492">
        <w:rPr>
          <w:rStyle w:val="Fotnotsreferens"/>
        </w:rPr>
        <w:footnoteRef/>
      </w:r>
      <w:r w:rsidRPr="00075492">
        <w:t xml:space="preserve"> Uppgifter vid intervju med företrädare för Göteborgs kommun.</w:t>
      </w:r>
    </w:p>
  </w:footnote>
  <w:footnote w:id="43">
    <w:p w:rsidR="00547E7E" w:rsidRPr="00075492" w:rsidRDefault="00547E7E">
      <w:pPr>
        <w:pStyle w:val="Fotnotstext"/>
      </w:pPr>
      <w:r w:rsidRPr="00075492">
        <w:rPr>
          <w:rStyle w:val="Fotnotsreferens"/>
        </w:rPr>
        <w:footnoteRef/>
      </w:r>
      <w:r w:rsidRPr="00075492">
        <w:t xml:space="preserve"> Naturvårdsverket, rapport 5127, Kommunernas organisation för tillsyn över milj</w:t>
      </w:r>
      <w:r w:rsidRPr="00075492">
        <w:t>ö</w:t>
      </w:r>
      <w:r w:rsidRPr="00075492">
        <w:t>farlig verksamhet.</w:t>
      </w:r>
    </w:p>
  </w:footnote>
  <w:footnote w:id="44">
    <w:p w:rsidR="00547E7E" w:rsidRPr="00075492" w:rsidRDefault="00547E7E">
      <w:pPr>
        <w:pStyle w:val="Fotnotstext"/>
      </w:pPr>
      <w:r w:rsidRPr="00075492">
        <w:rPr>
          <w:rStyle w:val="Fotnotsreferens"/>
        </w:rPr>
        <w:footnoteRef/>
      </w:r>
      <w:r w:rsidRPr="00075492">
        <w:t xml:space="preserve"> Prop. 1988/89:68. </w:t>
      </w:r>
    </w:p>
  </w:footnote>
  <w:footnote w:id="45">
    <w:p w:rsidR="00547E7E" w:rsidRPr="00075492" w:rsidRDefault="00547E7E">
      <w:pPr>
        <w:pStyle w:val="Fotnotstext"/>
      </w:pPr>
      <w:r w:rsidRPr="00075492">
        <w:rPr>
          <w:rStyle w:val="Fotnotsreferens"/>
        </w:rPr>
        <w:footnoteRef/>
      </w:r>
      <w:r w:rsidRPr="00075492">
        <w:t xml:space="preserve"> Prop. 1988/89:68, s. 51.</w:t>
      </w:r>
    </w:p>
  </w:footnote>
  <w:footnote w:id="46">
    <w:p w:rsidR="00547E7E" w:rsidRPr="00075492" w:rsidRDefault="00547E7E">
      <w:pPr>
        <w:pStyle w:val="Fotnotstext"/>
      </w:pPr>
      <w:r w:rsidRPr="00075492">
        <w:rPr>
          <w:rStyle w:val="Fotnotsreferens"/>
        </w:rPr>
        <w:footnoteRef/>
      </w:r>
      <w:r w:rsidRPr="00075492">
        <w:t xml:space="preserve"> Skr.1989/90:45.</w:t>
      </w:r>
    </w:p>
  </w:footnote>
  <w:footnote w:id="47">
    <w:p w:rsidR="00547E7E" w:rsidRPr="00075492" w:rsidRDefault="00547E7E">
      <w:pPr>
        <w:pStyle w:val="Fotnotstext"/>
      </w:pPr>
      <w:r w:rsidRPr="00075492">
        <w:rPr>
          <w:rStyle w:val="Fotnotsreferens"/>
        </w:rPr>
        <w:footnoteRef/>
      </w:r>
      <w:r w:rsidRPr="00075492">
        <w:t xml:space="preserve"> 1989/90:JoU8.</w:t>
      </w:r>
    </w:p>
  </w:footnote>
  <w:footnote w:id="48">
    <w:p w:rsidR="00547E7E" w:rsidRPr="00075492" w:rsidRDefault="00547E7E">
      <w:pPr>
        <w:pStyle w:val="Fotnotstext"/>
      </w:pPr>
      <w:r w:rsidRPr="00075492">
        <w:rPr>
          <w:rStyle w:val="Fotnotsreferens"/>
        </w:rPr>
        <w:footnoteRef/>
      </w:r>
      <w:r w:rsidRPr="00075492">
        <w:t xml:space="preserve"> Skr. 1989/90:83. </w:t>
      </w:r>
    </w:p>
  </w:footnote>
  <w:footnote w:id="49">
    <w:p w:rsidR="00547E7E" w:rsidRPr="00075492" w:rsidRDefault="00547E7E">
      <w:pPr>
        <w:pStyle w:val="Fotnotstext"/>
      </w:pPr>
      <w:r w:rsidRPr="00075492">
        <w:rPr>
          <w:rStyle w:val="Fotnotsreferens"/>
        </w:rPr>
        <w:footnoteRef/>
      </w:r>
      <w:r w:rsidRPr="00075492">
        <w:t xml:space="preserve"> SOU 1998:61, s. 155.</w:t>
      </w:r>
    </w:p>
  </w:footnote>
  <w:footnote w:id="50">
    <w:p w:rsidR="00547E7E" w:rsidRPr="00075492" w:rsidRDefault="00547E7E">
      <w:pPr>
        <w:pStyle w:val="Fotnotstext"/>
      </w:pPr>
      <w:r w:rsidRPr="00075492">
        <w:rPr>
          <w:rStyle w:val="Fotnotsreferens"/>
        </w:rPr>
        <w:footnoteRef/>
      </w:r>
      <w:r w:rsidRPr="00075492">
        <w:t xml:space="preserve"> Förordningen (1989:1110) om avgift för livsmedelstillsyn, kungörelse om kontroll vid utförsel av livsmedel (1974:271),  kungörelse om kontroll vid införsel av livsm</w:t>
      </w:r>
      <w:r w:rsidRPr="00075492">
        <w:t>e</w:t>
      </w:r>
      <w:r w:rsidRPr="00075492">
        <w:t>del (2000:269).</w:t>
      </w:r>
    </w:p>
  </w:footnote>
  <w:footnote w:id="51">
    <w:p w:rsidR="00547E7E" w:rsidRPr="00075492" w:rsidRDefault="00547E7E">
      <w:pPr>
        <w:pStyle w:val="Fotnotstext"/>
      </w:pPr>
      <w:r w:rsidRPr="00075492">
        <w:rPr>
          <w:rStyle w:val="Fotnotsreferens"/>
        </w:rPr>
        <w:footnoteRef/>
      </w:r>
      <w:r w:rsidRPr="00075492">
        <w:t xml:space="preserve"> Uppgift vid intervju med Livsmedelsverket.</w:t>
      </w:r>
    </w:p>
  </w:footnote>
  <w:footnote w:id="52">
    <w:p w:rsidR="00547E7E" w:rsidRPr="00075492" w:rsidRDefault="00547E7E">
      <w:pPr>
        <w:pStyle w:val="Fotnotstext"/>
      </w:pPr>
      <w:r w:rsidRPr="00075492">
        <w:rPr>
          <w:rStyle w:val="Fotnotsreferens"/>
        </w:rPr>
        <w:footnoteRef/>
      </w:r>
      <w:r w:rsidRPr="00075492">
        <w:t xml:space="preserve"> EG-direktiv 90/675/EEG, förordningen (2000:269) om kontroll av livsmedel som importeras från tredje land.</w:t>
      </w:r>
    </w:p>
  </w:footnote>
  <w:footnote w:id="53">
    <w:p w:rsidR="00547E7E" w:rsidRPr="00075492" w:rsidRDefault="00547E7E">
      <w:pPr>
        <w:pStyle w:val="Fotnotstext"/>
      </w:pPr>
      <w:r w:rsidRPr="00075492">
        <w:rPr>
          <w:rStyle w:val="Fotnotsreferens"/>
        </w:rPr>
        <w:footnoteRef/>
      </w:r>
      <w:r w:rsidRPr="00075492">
        <w:t xml:space="preserve"> SOU 1998:61, s. 12.</w:t>
      </w:r>
    </w:p>
  </w:footnote>
  <w:footnote w:id="54">
    <w:p w:rsidR="00547E7E" w:rsidRPr="00075492" w:rsidRDefault="00547E7E">
      <w:pPr>
        <w:pStyle w:val="Fotnotstext"/>
      </w:pPr>
      <w:r w:rsidRPr="00075492">
        <w:rPr>
          <w:rStyle w:val="Fotnotsreferens"/>
        </w:rPr>
        <w:footnoteRef/>
      </w:r>
      <w:r w:rsidRPr="00075492">
        <w:t xml:space="preserve"> Kommunförbundet, skrivelse dnr 2001/0414.</w:t>
      </w:r>
    </w:p>
  </w:footnote>
  <w:footnote w:id="55">
    <w:p w:rsidR="00547E7E" w:rsidRPr="00075492" w:rsidRDefault="00547E7E">
      <w:pPr>
        <w:pStyle w:val="Fotnotstext"/>
      </w:pPr>
      <w:r w:rsidRPr="00075492">
        <w:rPr>
          <w:rStyle w:val="Fotnotsreferens"/>
        </w:rPr>
        <w:footnoteRef/>
      </w:r>
      <w:r w:rsidRPr="00075492">
        <w:t xml:space="preserve"> Livsmedelsverket, 2001-10-09, dnr 731/01.</w:t>
      </w:r>
    </w:p>
  </w:footnote>
  <w:footnote w:id="56">
    <w:p w:rsidR="00547E7E" w:rsidRPr="00075492" w:rsidRDefault="00547E7E">
      <w:pPr>
        <w:pStyle w:val="Fotnotstext"/>
      </w:pPr>
      <w:r w:rsidRPr="00075492">
        <w:rPr>
          <w:rStyle w:val="Fotnotsreferens"/>
        </w:rPr>
        <w:footnoteRef/>
      </w:r>
      <w:r w:rsidRPr="00075492">
        <w:t xml:space="preserve"> Dok. SANCO/163R4/2000 Rev 3 och SLV rapport 2001-07-20.</w:t>
      </w:r>
    </w:p>
  </w:footnote>
  <w:footnote w:id="57">
    <w:p w:rsidR="00547E7E" w:rsidRPr="00075492" w:rsidRDefault="00547E7E">
      <w:pPr>
        <w:pStyle w:val="Fotnotstext"/>
      </w:pPr>
      <w:r w:rsidRPr="00075492">
        <w:rPr>
          <w:rStyle w:val="Fotnotsreferens"/>
        </w:rPr>
        <w:footnoteRef/>
      </w:r>
      <w:r w:rsidRPr="00075492">
        <w:t xml:space="preserve"> Livsmedelsverket, livsmedelstillsyn, information till företag som hanterar livsm</w:t>
      </w:r>
      <w:r w:rsidRPr="00075492">
        <w:t>e</w:t>
      </w:r>
      <w:r w:rsidRPr="00075492">
        <w:t>del, 1998.</w:t>
      </w:r>
    </w:p>
  </w:footnote>
  <w:footnote w:id="58">
    <w:p w:rsidR="00547E7E" w:rsidRPr="00075492" w:rsidRDefault="00547E7E">
      <w:pPr>
        <w:pStyle w:val="Fotnotstext"/>
      </w:pPr>
      <w:r w:rsidRPr="00075492">
        <w:rPr>
          <w:rStyle w:val="Fotnotsreferens"/>
        </w:rPr>
        <w:footnoteRef/>
      </w:r>
      <w:r w:rsidRPr="00075492">
        <w:t xml:space="preserve"> SOU 1998:61, s. 12.</w:t>
      </w:r>
    </w:p>
  </w:footnote>
  <w:footnote w:id="59">
    <w:p w:rsidR="00547E7E" w:rsidRPr="00075492" w:rsidRDefault="00547E7E">
      <w:pPr>
        <w:pStyle w:val="Fotnotstext"/>
      </w:pPr>
      <w:r w:rsidRPr="00075492">
        <w:rPr>
          <w:rStyle w:val="Fotnotsreferens"/>
        </w:rPr>
        <w:footnoteRef/>
      </w:r>
      <w:r w:rsidRPr="00075492">
        <w:t xml:space="preserve"> Prop. 1999/2000:1, utgiftsområde 23 s. 95.</w:t>
      </w:r>
    </w:p>
  </w:footnote>
  <w:footnote w:id="60">
    <w:p w:rsidR="00547E7E" w:rsidRPr="00075492" w:rsidRDefault="00547E7E">
      <w:pPr>
        <w:pStyle w:val="Fotnotstext"/>
      </w:pPr>
      <w:r w:rsidRPr="00075492">
        <w:rPr>
          <w:rStyle w:val="Fotnotsreferens"/>
        </w:rPr>
        <w:footnoteRef/>
      </w:r>
      <w:r w:rsidRPr="00075492">
        <w:t xml:space="preserve"> Budgetunderlag för åren 2001–2003.</w:t>
      </w:r>
    </w:p>
  </w:footnote>
  <w:footnote w:id="61">
    <w:p w:rsidR="00547E7E" w:rsidRPr="00075492" w:rsidRDefault="00547E7E">
      <w:pPr>
        <w:rPr>
          <w:sz w:val="17"/>
        </w:rPr>
      </w:pPr>
      <w:r w:rsidRPr="00075492">
        <w:rPr>
          <w:rStyle w:val="Fotnotsreferens"/>
          <w:sz w:val="17"/>
        </w:rPr>
        <w:footnoteRef/>
      </w:r>
      <w:r w:rsidRPr="00075492">
        <w:rPr>
          <w:sz w:val="17"/>
        </w:rPr>
        <w:t xml:space="preserve"> Prop. 2000/2001, Budgetproposition för år 2001, utgiftsområde 23.</w:t>
      </w:r>
    </w:p>
  </w:footnote>
  <w:footnote w:id="62">
    <w:p w:rsidR="00547E7E" w:rsidRPr="00075492" w:rsidRDefault="00547E7E">
      <w:pPr>
        <w:pStyle w:val="Fotnotstext"/>
      </w:pPr>
      <w:r w:rsidRPr="00075492">
        <w:rPr>
          <w:rStyle w:val="Fotnotsreferens"/>
        </w:rPr>
        <w:footnoteRef/>
      </w:r>
      <w:r w:rsidRPr="00075492">
        <w:t xml:space="preserve"> SOU 1998:61, s. 12.</w:t>
      </w:r>
    </w:p>
  </w:footnote>
  <w:footnote w:id="63">
    <w:p w:rsidR="00547E7E" w:rsidRPr="00075492" w:rsidRDefault="00547E7E">
      <w:pPr>
        <w:pStyle w:val="Fotnotstext"/>
      </w:pPr>
      <w:r w:rsidRPr="00075492">
        <w:rPr>
          <w:rStyle w:val="Fotnotsreferens"/>
        </w:rPr>
        <w:footnoteRef/>
      </w:r>
      <w:r w:rsidRPr="00075492">
        <w:t xml:space="preserve"> SOU 1998:61.</w:t>
      </w:r>
    </w:p>
  </w:footnote>
  <w:footnote w:id="64">
    <w:p w:rsidR="00547E7E" w:rsidRPr="00075492" w:rsidRDefault="00547E7E">
      <w:pPr>
        <w:pStyle w:val="Fotnotstext"/>
      </w:pPr>
      <w:r w:rsidRPr="00075492">
        <w:rPr>
          <w:rStyle w:val="Fotnotsreferens"/>
        </w:rPr>
        <w:footnoteRef/>
      </w:r>
      <w:r w:rsidRPr="00075492">
        <w:t xml:space="preserve"> Livsmedelsverkets rapport 9 – 2000, s. 31. </w:t>
      </w:r>
    </w:p>
  </w:footnote>
  <w:footnote w:id="65">
    <w:p w:rsidR="00547E7E" w:rsidRPr="00075492" w:rsidRDefault="00547E7E">
      <w:pPr>
        <w:pStyle w:val="Fotnotstext"/>
      </w:pPr>
      <w:r w:rsidRPr="00075492">
        <w:rPr>
          <w:rStyle w:val="Fotnotsreferens"/>
        </w:rPr>
        <w:footnoteRef/>
      </w:r>
      <w:r w:rsidRPr="00075492">
        <w:t xml:space="preserve"> Svenska kommunförbundet, promemoria 2001-10-29.</w:t>
      </w:r>
    </w:p>
  </w:footnote>
  <w:footnote w:id="66">
    <w:p w:rsidR="00547E7E" w:rsidRPr="00075492" w:rsidRDefault="00547E7E">
      <w:pPr>
        <w:pStyle w:val="Fotnotstext"/>
      </w:pPr>
      <w:r w:rsidRPr="00075492">
        <w:rPr>
          <w:rStyle w:val="Fotnotsreferens"/>
        </w:rPr>
        <w:footnoteRef/>
      </w:r>
      <w:r w:rsidRPr="00075492">
        <w:t xml:space="preserve"> Prop. 1988/89:68, s. 42.</w:t>
      </w:r>
    </w:p>
  </w:footnote>
  <w:footnote w:id="67">
    <w:p w:rsidR="00547E7E" w:rsidRPr="00075492" w:rsidRDefault="00547E7E">
      <w:pPr>
        <w:pStyle w:val="Fotnotstext"/>
      </w:pPr>
      <w:r w:rsidRPr="00075492">
        <w:rPr>
          <w:rStyle w:val="Fotnotsreferens"/>
        </w:rPr>
        <w:footnoteRef/>
      </w:r>
      <w:r w:rsidRPr="00075492">
        <w:t xml:space="preserve"> SLVFS 1990:10, 1 b §, 2 §, 3 § och 3 a §.</w:t>
      </w:r>
    </w:p>
  </w:footnote>
  <w:footnote w:id="68">
    <w:p w:rsidR="00547E7E" w:rsidRPr="00075492" w:rsidRDefault="00547E7E">
      <w:pPr>
        <w:pStyle w:val="Fotnotstext"/>
      </w:pPr>
      <w:r w:rsidRPr="00075492">
        <w:rPr>
          <w:rStyle w:val="Fotnotsreferens"/>
        </w:rPr>
        <w:footnoteRef/>
      </w:r>
      <w:r w:rsidRPr="00075492">
        <w:t xml:space="preserve"> Livsmedelsverket ABC för tillsynsvägledning.</w:t>
      </w:r>
    </w:p>
  </w:footnote>
  <w:footnote w:id="69">
    <w:p w:rsidR="00547E7E" w:rsidRPr="00075492" w:rsidRDefault="00547E7E">
      <w:pPr>
        <w:pStyle w:val="Fotnotstext"/>
      </w:pPr>
      <w:r w:rsidRPr="00075492">
        <w:rPr>
          <w:rStyle w:val="Fotnotsreferens"/>
        </w:rPr>
        <w:footnoteRef/>
      </w:r>
      <w:r w:rsidRPr="00075492">
        <w:t xml:space="preserve"> Förslag till riksdagen 1994/95:RR8</w:t>
      </w:r>
    </w:p>
  </w:footnote>
  <w:footnote w:id="70">
    <w:p w:rsidR="00547E7E" w:rsidRPr="00075492" w:rsidRDefault="00547E7E">
      <w:pPr>
        <w:pStyle w:val="Fotnotstext"/>
      </w:pPr>
      <w:r w:rsidRPr="00075492">
        <w:rPr>
          <w:rStyle w:val="Fotnotsreferens"/>
        </w:rPr>
        <w:footnoteRef/>
      </w:r>
      <w:r w:rsidRPr="00075492">
        <w:t xml:space="preserve"> SOU 1998:61</w:t>
      </w:r>
    </w:p>
  </w:footnote>
  <w:footnote w:id="71">
    <w:p w:rsidR="00547E7E" w:rsidRPr="00075492" w:rsidRDefault="00547E7E">
      <w:pPr>
        <w:pStyle w:val="Fotnotstext"/>
      </w:pPr>
      <w:r w:rsidRPr="00075492">
        <w:rPr>
          <w:rStyle w:val="Fotnotsreferens"/>
        </w:rPr>
        <w:footnoteRef/>
      </w:r>
      <w:r w:rsidRPr="00075492">
        <w:t xml:space="preserve"> SOU 1998:61, s.191.</w:t>
      </w:r>
    </w:p>
  </w:footnote>
  <w:footnote w:id="72">
    <w:p w:rsidR="00547E7E" w:rsidRPr="00075492" w:rsidRDefault="00547E7E">
      <w:pPr>
        <w:pStyle w:val="Fotnotstext"/>
      </w:pPr>
      <w:r w:rsidRPr="00075492">
        <w:rPr>
          <w:rStyle w:val="Fotnotsreferens"/>
        </w:rPr>
        <w:footnoteRef/>
      </w:r>
      <w:r w:rsidRPr="00075492">
        <w:t xml:space="preserve"> Livsmedelshandlareförbundet, SSLF, Sveriges hotell- och restaurangföretagare (SHR), KF, ICA och Vivo Stoc</w:t>
      </w:r>
      <w:r w:rsidRPr="00075492">
        <w:t>k</w:t>
      </w:r>
      <w:r w:rsidRPr="00075492">
        <w:t xml:space="preserve">holm. </w:t>
      </w:r>
    </w:p>
  </w:footnote>
  <w:footnote w:id="73">
    <w:p w:rsidR="00547E7E" w:rsidRPr="00075492" w:rsidRDefault="00547E7E">
      <w:pPr>
        <w:pStyle w:val="Fotnotstext"/>
      </w:pPr>
      <w:r w:rsidRPr="00075492">
        <w:rPr>
          <w:rStyle w:val="Fotnotsreferens"/>
        </w:rPr>
        <w:footnoteRef/>
      </w:r>
      <w:r w:rsidRPr="00075492">
        <w:t xml:space="preserve"> I SAMS ingår representanter för SHR, Landstingsförbundet, Svenska Kommunfö</w:t>
      </w:r>
      <w:r w:rsidRPr="00075492">
        <w:t>r</w:t>
      </w:r>
      <w:r w:rsidRPr="00075492">
        <w:t>bundet och Försvarsmaktens underhållscen</w:t>
      </w:r>
      <w:r w:rsidRPr="00075492">
        <w:t>t</w:t>
      </w:r>
      <w:r w:rsidRPr="00075492">
        <w:t>rum.</w:t>
      </w:r>
    </w:p>
    <w:p w:rsidR="00547E7E" w:rsidRPr="00075492" w:rsidRDefault="00547E7E">
      <w:pPr>
        <w:pStyle w:val="Fotnotstext"/>
      </w:pPr>
    </w:p>
  </w:footnote>
  <w:footnote w:id="74">
    <w:p w:rsidR="00547E7E" w:rsidRPr="00075492" w:rsidRDefault="00547E7E">
      <w:pPr>
        <w:pStyle w:val="Fotnotstext"/>
        <w:spacing w:before="0"/>
      </w:pPr>
      <w:r w:rsidRPr="00075492">
        <w:rPr>
          <w:rStyle w:val="Fotnotsreferens"/>
        </w:rPr>
        <w:footnoteRef/>
      </w:r>
      <w:r w:rsidRPr="00075492">
        <w:t xml:space="preserve"> Prop. 1988/89:68, s. 61</w:t>
      </w:r>
    </w:p>
  </w:footnote>
  <w:footnote w:id="75">
    <w:p w:rsidR="00547E7E" w:rsidRPr="00075492" w:rsidRDefault="00547E7E">
      <w:pPr>
        <w:pStyle w:val="Fotnotstext"/>
        <w:spacing w:before="0"/>
      </w:pPr>
      <w:r w:rsidRPr="00075492">
        <w:rPr>
          <w:rStyle w:val="Fotnotsreferens"/>
        </w:rPr>
        <w:footnoteRef/>
      </w:r>
      <w:r w:rsidRPr="00075492">
        <w:t xml:space="preserve"> Prop. 1988/89:68, s. 59</w:t>
      </w:r>
    </w:p>
  </w:footnote>
  <w:footnote w:id="76">
    <w:p w:rsidR="00547E7E" w:rsidRPr="00075492" w:rsidRDefault="00547E7E">
      <w:pPr>
        <w:pStyle w:val="Fotnotstext"/>
        <w:spacing w:before="0"/>
      </w:pPr>
      <w:r w:rsidRPr="00075492">
        <w:rPr>
          <w:rStyle w:val="Fotnotsreferens"/>
        </w:rPr>
        <w:footnoteRef/>
      </w:r>
      <w:r w:rsidRPr="00075492">
        <w:t xml:space="preserve"> JoU bet. 1988/89:14</w:t>
      </w:r>
    </w:p>
  </w:footnote>
  <w:footnote w:id="77">
    <w:p w:rsidR="00547E7E" w:rsidRPr="00075492" w:rsidRDefault="00547E7E">
      <w:pPr>
        <w:pStyle w:val="Fotnotstext"/>
      </w:pPr>
      <w:r w:rsidRPr="00075492">
        <w:rPr>
          <w:rStyle w:val="Fotnotsreferens"/>
        </w:rPr>
        <w:footnoteRef/>
      </w:r>
      <w:r w:rsidRPr="00075492">
        <w:t xml:space="preserve"> Livsmedelsverket, Rapport 9 – 2000, Effektivare livsmedelstillsyn, s. 113</w:t>
      </w:r>
    </w:p>
  </w:footnote>
  <w:footnote w:id="78">
    <w:p w:rsidR="00547E7E" w:rsidRPr="00075492" w:rsidRDefault="00547E7E">
      <w:pPr>
        <w:pStyle w:val="Fotnotstext"/>
      </w:pPr>
      <w:r w:rsidRPr="00075492">
        <w:rPr>
          <w:rStyle w:val="Fotnotsreferens"/>
        </w:rPr>
        <w:footnoteRef/>
      </w:r>
      <w:r w:rsidRPr="00075492">
        <w:t xml:space="preserve"> Pajala kommun, Plan och miljönämnden, protokoll 1998-04-08.</w:t>
      </w:r>
    </w:p>
  </w:footnote>
  <w:footnote w:id="79">
    <w:p w:rsidR="00547E7E" w:rsidRPr="00075492" w:rsidRDefault="00547E7E">
      <w:pPr>
        <w:pStyle w:val="Fotnotstext"/>
      </w:pPr>
      <w:r w:rsidRPr="00075492">
        <w:rPr>
          <w:rStyle w:val="Fotnotsreferens"/>
        </w:rPr>
        <w:footnoteRef/>
      </w:r>
      <w:r w:rsidRPr="00075492">
        <w:t xml:space="preserve"> Åklagarkammaren i Luleå, Lokal åklagare i Haparanda, beslut 1998-04-30, dnr C-2-317-98.</w:t>
      </w:r>
    </w:p>
  </w:footnote>
  <w:footnote w:id="80">
    <w:p w:rsidR="00547E7E" w:rsidRPr="00075492" w:rsidRDefault="00547E7E">
      <w:pPr>
        <w:pStyle w:val="Fotnotstext"/>
      </w:pPr>
      <w:r w:rsidRPr="00075492">
        <w:rPr>
          <w:rStyle w:val="Fotnotsreferens"/>
        </w:rPr>
        <w:footnoteRef/>
      </w:r>
      <w:r w:rsidRPr="00075492">
        <w:t xml:space="preserve"> Åklagarkammaren, Lokal åklagare i Haparanda, yttrande 1998-05-26.</w:t>
      </w:r>
    </w:p>
  </w:footnote>
  <w:footnote w:id="81">
    <w:p w:rsidR="00547E7E" w:rsidRPr="00075492" w:rsidRDefault="00547E7E">
      <w:pPr>
        <w:pStyle w:val="Fotnotstext"/>
      </w:pPr>
      <w:r w:rsidRPr="00075492">
        <w:rPr>
          <w:rStyle w:val="Fotnotsreferens"/>
        </w:rPr>
        <w:footnoteRef/>
      </w:r>
      <w:r w:rsidRPr="00075492">
        <w:t xml:space="preserve"> Göteborgsposten, 2001-09-23.</w:t>
      </w:r>
    </w:p>
  </w:footnote>
  <w:footnote w:id="82">
    <w:p w:rsidR="00547E7E" w:rsidRPr="00075492" w:rsidRDefault="00547E7E">
      <w:pPr>
        <w:pStyle w:val="Fotnotstext"/>
      </w:pPr>
      <w:r w:rsidRPr="00075492">
        <w:rPr>
          <w:rStyle w:val="Fotnotsreferens"/>
        </w:rPr>
        <w:footnoteRef/>
      </w:r>
      <w:r w:rsidRPr="00075492">
        <w:t xml:space="preserve"> SOU 1998:61.</w:t>
      </w:r>
    </w:p>
  </w:footnote>
  <w:footnote w:id="83">
    <w:p w:rsidR="00547E7E" w:rsidRPr="00075492" w:rsidRDefault="00547E7E">
      <w:pPr>
        <w:pStyle w:val="Fotnotstext"/>
      </w:pPr>
      <w:r w:rsidRPr="00075492">
        <w:rPr>
          <w:rStyle w:val="Fotnotsreferens"/>
        </w:rPr>
        <w:footnoteRef/>
      </w:r>
      <w:r w:rsidRPr="00075492">
        <w:t xml:space="preserve"> Livsmedelsverkets rapport 9-2000.</w:t>
      </w:r>
    </w:p>
    <w:p w:rsidR="00547E7E" w:rsidRPr="00075492" w:rsidRDefault="00547E7E">
      <w:pPr>
        <w:pStyle w:val="Fotnotstext"/>
      </w:pPr>
    </w:p>
  </w:footnote>
  <w:footnote w:id="84">
    <w:p w:rsidR="00547E7E" w:rsidRPr="00075492" w:rsidRDefault="00547E7E">
      <w:pPr>
        <w:pStyle w:val="Fotnotstext"/>
      </w:pPr>
      <w:r w:rsidRPr="00075492">
        <w:rPr>
          <w:rStyle w:val="Fotnotsreferens"/>
        </w:rPr>
        <w:footnoteRef/>
      </w:r>
      <w:r w:rsidRPr="00075492">
        <w:t xml:space="preserve"> SOU 1998:61, s. 12.</w:t>
      </w:r>
    </w:p>
  </w:footnote>
  <w:footnote w:id="85">
    <w:p w:rsidR="00547E7E" w:rsidRPr="00075492" w:rsidRDefault="00547E7E">
      <w:pPr>
        <w:pStyle w:val="Fotnotstext"/>
      </w:pPr>
      <w:r w:rsidRPr="00075492">
        <w:rPr>
          <w:rStyle w:val="Fotnotsreferens"/>
        </w:rPr>
        <w:footnoteRef/>
      </w:r>
      <w:r w:rsidRPr="00075492">
        <w:t xml:space="preserve"> Beskattningsmaktens gränser SOU 1993:40, s. 100.</w:t>
      </w:r>
    </w:p>
  </w:footnote>
  <w:footnote w:id="86">
    <w:p w:rsidR="00547E7E" w:rsidRPr="00075492" w:rsidRDefault="00547E7E">
      <w:pPr>
        <w:pStyle w:val="Fotnotstext"/>
      </w:pPr>
      <w:r w:rsidRPr="00075492">
        <w:rPr>
          <w:rStyle w:val="Fotnotsreferens"/>
        </w:rPr>
        <w:footnoteRef/>
      </w:r>
      <w:r w:rsidRPr="00075492">
        <w:t xml:space="preserve"> http://www.slv.se (01-09-24).</w:t>
      </w:r>
    </w:p>
  </w:footnote>
  <w:footnote w:id="87">
    <w:p w:rsidR="00547E7E" w:rsidRPr="00075492" w:rsidRDefault="00547E7E">
      <w:pPr>
        <w:pStyle w:val="Fotnotstext"/>
      </w:pPr>
      <w:r w:rsidRPr="00075492">
        <w:rPr>
          <w:rStyle w:val="Fotnotsreferens"/>
        </w:rPr>
        <w:footnoteRef/>
      </w:r>
      <w:r w:rsidRPr="00075492">
        <w:t xml:space="preserve"> SOU 1998:61 s. 27</w:t>
      </w:r>
    </w:p>
  </w:footnote>
  <w:footnote w:id="88">
    <w:p w:rsidR="00547E7E" w:rsidRPr="00075492" w:rsidRDefault="00547E7E">
      <w:pPr>
        <w:pStyle w:val="Fotnotstext"/>
      </w:pPr>
      <w:r w:rsidRPr="00075492">
        <w:rPr>
          <w:rStyle w:val="Fotnotsreferens"/>
        </w:rPr>
        <w:footnoteRef/>
      </w:r>
      <w:r w:rsidRPr="00075492">
        <w:t xml:space="preserve"> Gränserna är dock flytande mellan råvaruledet och övriga led. T.ex. är potatis och mjölk råvara när den lämnar gården medan kreatur blir råvara först när de slaktas.</w:t>
      </w:r>
    </w:p>
  </w:footnote>
  <w:footnote w:id="89">
    <w:p w:rsidR="00547E7E" w:rsidRPr="00075492" w:rsidRDefault="00547E7E">
      <w:pPr>
        <w:pStyle w:val="Fotnotstext"/>
      </w:pPr>
      <w:r w:rsidRPr="00075492">
        <w:rPr>
          <w:rStyle w:val="Fotnotsreferens"/>
        </w:rPr>
        <w:footnoteRef/>
      </w:r>
      <w:r w:rsidRPr="00075492">
        <w:t xml:space="preserve"> </w:t>
      </w:r>
      <w:hyperlink r:id="rId1" w:history="1">
        <w:r w:rsidRPr="00075492">
          <w:rPr>
            <w:rStyle w:val="Hyperlnk"/>
          </w:rPr>
          <w:t>www.livsmedelssverige.org/jordbord/industri.htm</w:t>
        </w:r>
      </w:hyperlink>
      <w:r w:rsidRPr="00075492">
        <w:t>. 2001-09-27.</w:t>
      </w:r>
    </w:p>
  </w:footnote>
  <w:footnote w:id="90">
    <w:p w:rsidR="00547E7E" w:rsidRPr="00075492" w:rsidRDefault="00547E7E">
      <w:pPr>
        <w:pStyle w:val="Fotnotstext"/>
      </w:pPr>
      <w:r w:rsidRPr="00075492">
        <w:rPr>
          <w:rStyle w:val="Fotnotsreferens"/>
        </w:rPr>
        <w:footnoteRef/>
      </w:r>
      <w:r w:rsidRPr="00075492">
        <w:t xml:space="preserve"> SOU 1998:61</w:t>
      </w:r>
    </w:p>
  </w:footnote>
  <w:footnote w:id="91">
    <w:p w:rsidR="00547E7E" w:rsidRPr="00075492" w:rsidRDefault="00547E7E">
      <w:pPr>
        <w:pStyle w:val="Fotnotstext"/>
      </w:pPr>
      <w:r w:rsidRPr="00075492">
        <w:rPr>
          <w:rStyle w:val="Fotnotsreferens"/>
        </w:rPr>
        <w:footnoteRef/>
      </w:r>
      <w:r w:rsidRPr="00075492">
        <w:t xml:space="preserve"> Livsmedelsindustriernas hemsida, </w:t>
      </w:r>
      <w:hyperlink r:id="rId2" w:history="1">
        <w:r w:rsidRPr="00075492">
          <w:rPr>
            <w:rStyle w:val="Hyperlnk"/>
          </w:rPr>
          <w:t>www.li.se/0-0.htm</w:t>
        </w:r>
      </w:hyperlink>
      <w:r w:rsidRPr="00075492">
        <w:t xml:space="preserve"> 2001-09-28</w:t>
      </w:r>
    </w:p>
  </w:footnote>
  <w:footnote w:id="92">
    <w:p w:rsidR="00547E7E" w:rsidRPr="00075492" w:rsidRDefault="00547E7E">
      <w:pPr>
        <w:pStyle w:val="Fotnotstext"/>
      </w:pPr>
      <w:r w:rsidRPr="00075492">
        <w:rPr>
          <w:rStyle w:val="Fotnotsreferens"/>
        </w:rPr>
        <w:footnoteRef/>
      </w:r>
      <w:r w:rsidRPr="00075492">
        <w:t xml:space="preserve"> SOU 1998:61 s. 28</w:t>
      </w:r>
    </w:p>
  </w:footnote>
  <w:footnote w:id="93">
    <w:p w:rsidR="00547E7E" w:rsidRPr="00075492" w:rsidRDefault="00547E7E">
      <w:pPr>
        <w:pStyle w:val="Fotnotstext"/>
      </w:pPr>
      <w:r w:rsidRPr="00075492">
        <w:rPr>
          <w:rStyle w:val="Fotnotsreferens"/>
        </w:rPr>
        <w:footnoteRef/>
      </w:r>
      <w:r w:rsidRPr="00075492">
        <w:t xml:space="preserve"> Konkurrensverket 2000. </w:t>
      </w:r>
      <w:r w:rsidRPr="00075492">
        <w:rPr>
          <w:i/>
        </w:rPr>
        <w:t xml:space="preserve">Konkurrensen i Sverige. </w:t>
      </w:r>
      <w:r w:rsidRPr="00075492">
        <w:t>s. 141</w:t>
      </w:r>
    </w:p>
  </w:footnote>
  <w:footnote w:id="94">
    <w:p w:rsidR="00547E7E" w:rsidRPr="00075492" w:rsidRDefault="00547E7E">
      <w:pPr>
        <w:pStyle w:val="Fotnotstext"/>
      </w:pPr>
      <w:r w:rsidRPr="00075492">
        <w:rPr>
          <w:rStyle w:val="Fotnotsreferens"/>
        </w:rPr>
        <w:footnoteRef/>
      </w:r>
      <w:r w:rsidRPr="00075492">
        <w:t xml:space="preserve"> Uppdelningen av statistiken på olika branscher är gjord enligt Svensk standard för svensk näringslivsinde</w:t>
      </w:r>
      <w:r w:rsidRPr="00075492">
        <w:t>l</w:t>
      </w:r>
      <w:r w:rsidRPr="00075492">
        <w:t>ning (SNI 92).</w:t>
      </w:r>
    </w:p>
  </w:footnote>
  <w:footnote w:id="95">
    <w:p w:rsidR="00547E7E" w:rsidRPr="00075492" w:rsidRDefault="00547E7E">
      <w:pPr>
        <w:pStyle w:val="Fotnotstext"/>
      </w:pPr>
      <w:r w:rsidRPr="00075492">
        <w:rPr>
          <w:rStyle w:val="Fotnotsreferens"/>
        </w:rPr>
        <w:footnoteRef/>
      </w:r>
      <w:r w:rsidRPr="00075492">
        <w:t xml:space="preserve"> SCB 2000. </w:t>
      </w:r>
      <w:r w:rsidRPr="00075492">
        <w:rPr>
          <w:i/>
        </w:rPr>
        <w:t>BASFAKTA 2000. Tabeller ur företagsregistret.</w:t>
      </w:r>
      <w:r w:rsidRPr="00075492">
        <w:t xml:space="preserve"> Tabell 2.</w:t>
      </w:r>
    </w:p>
  </w:footnote>
  <w:footnote w:id="96">
    <w:p w:rsidR="00547E7E" w:rsidRPr="00075492" w:rsidRDefault="00547E7E">
      <w:pPr>
        <w:pStyle w:val="Fotnotstext"/>
      </w:pPr>
      <w:r w:rsidRPr="00075492">
        <w:rPr>
          <w:rStyle w:val="Fotnotsreferens"/>
        </w:rPr>
        <w:footnoteRef/>
      </w:r>
      <w:r w:rsidRPr="00075492">
        <w:t xml:space="preserve"> SOU 1998:61 s. 29 ff.</w:t>
      </w:r>
    </w:p>
  </w:footnote>
  <w:footnote w:id="97">
    <w:p w:rsidR="00547E7E" w:rsidRPr="00075492" w:rsidRDefault="00547E7E">
      <w:pPr>
        <w:pStyle w:val="Fotnotstext"/>
      </w:pPr>
      <w:r w:rsidRPr="00075492">
        <w:rPr>
          <w:rStyle w:val="Fotnotsreferens"/>
        </w:rPr>
        <w:footnoteRef/>
      </w:r>
      <w:r w:rsidRPr="00075492">
        <w:t xml:space="preserve"> </w:t>
      </w:r>
      <w:hyperlink r:id="rId3" w:history="1">
        <w:r w:rsidRPr="00075492">
          <w:rPr>
            <w:rStyle w:val="Hyperlnk"/>
          </w:rPr>
          <w:t>www.axfood.se/om_axfood/om_axfood2.htm</w:t>
        </w:r>
      </w:hyperlink>
      <w:r w:rsidRPr="00075492">
        <w:t xml:space="preserve"> 2001-10-22</w:t>
      </w:r>
    </w:p>
  </w:footnote>
  <w:footnote w:id="98">
    <w:p w:rsidR="00547E7E" w:rsidRPr="00075492" w:rsidRDefault="00547E7E">
      <w:pPr>
        <w:pStyle w:val="Fotnotstext"/>
      </w:pPr>
      <w:r w:rsidRPr="00075492">
        <w:rPr>
          <w:rStyle w:val="Fotnotsreferens"/>
        </w:rPr>
        <w:footnoteRef/>
      </w:r>
      <w:r w:rsidRPr="00075492">
        <w:t xml:space="preserve"> </w:t>
      </w:r>
      <w:hyperlink r:id="rId4" w:history="1">
        <w:r w:rsidRPr="00075492">
          <w:rPr>
            <w:rStyle w:val="Hyperlnk"/>
          </w:rPr>
          <w:t>www.konsumentverket.se/html-sidor/statistik_2000/Omsattning.html</w:t>
        </w:r>
      </w:hyperlink>
      <w:r w:rsidRPr="00075492">
        <w:t xml:space="preserve"> 2001-09-27</w:t>
      </w:r>
    </w:p>
  </w:footnote>
  <w:footnote w:id="99">
    <w:p w:rsidR="00547E7E" w:rsidRPr="00075492" w:rsidRDefault="00547E7E">
      <w:pPr>
        <w:pStyle w:val="Fotnotstext"/>
      </w:pPr>
      <w:r w:rsidRPr="00075492">
        <w:rPr>
          <w:rStyle w:val="Fotnotsreferens"/>
        </w:rPr>
        <w:footnoteRef/>
      </w:r>
      <w:r w:rsidRPr="00075492">
        <w:t xml:space="preserve"> SCB 2000. </w:t>
      </w:r>
      <w:r w:rsidRPr="00075492">
        <w:rPr>
          <w:i/>
        </w:rPr>
        <w:t>När mat kommer på tal - tabeller om mat.</w:t>
      </w:r>
      <w:r w:rsidRPr="00075492">
        <w:t xml:space="preserve"> s. 38</w:t>
      </w:r>
    </w:p>
  </w:footnote>
  <w:footnote w:id="100">
    <w:p w:rsidR="00547E7E" w:rsidRPr="00075492" w:rsidRDefault="00547E7E">
      <w:pPr>
        <w:pStyle w:val="Fotnotstext"/>
      </w:pPr>
      <w:r w:rsidRPr="00075492">
        <w:rPr>
          <w:rStyle w:val="Fotnotsreferens"/>
        </w:rPr>
        <w:footnoteRef/>
      </w:r>
      <w:r w:rsidRPr="00075492">
        <w:t xml:space="preserve"> Konkurrensverket 2000. </w:t>
      </w:r>
      <w:r w:rsidRPr="00075492">
        <w:rPr>
          <w:i/>
        </w:rPr>
        <w:t>Konkurrensen i Sverige.</w:t>
      </w:r>
      <w:r w:rsidRPr="00075492">
        <w:t xml:space="preserve"> s. 141</w:t>
      </w:r>
    </w:p>
  </w:footnote>
  <w:footnote w:id="101">
    <w:p w:rsidR="00547E7E" w:rsidRPr="00075492" w:rsidRDefault="00547E7E">
      <w:pPr>
        <w:pStyle w:val="Fotnotstext"/>
      </w:pPr>
      <w:r w:rsidRPr="00075492">
        <w:rPr>
          <w:rStyle w:val="Fotnotsreferens"/>
        </w:rPr>
        <w:footnoteRef/>
      </w:r>
      <w:r w:rsidRPr="00075492">
        <w:t xml:space="preserve"> SCB 2000. </w:t>
      </w:r>
      <w:r w:rsidRPr="00075492">
        <w:rPr>
          <w:i/>
        </w:rPr>
        <w:t>BASFAKTA 2000. Tabeller ur företagsregistret.</w:t>
      </w:r>
      <w:r w:rsidRPr="00075492">
        <w:t xml:space="preserve"> Tabell 2.</w:t>
      </w:r>
    </w:p>
  </w:footnote>
  <w:footnote w:id="102">
    <w:p w:rsidR="00547E7E" w:rsidRPr="00075492" w:rsidRDefault="00547E7E">
      <w:pPr>
        <w:pStyle w:val="Fotnotstext"/>
      </w:pPr>
      <w:r w:rsidRPr="00075492">
        <w:rPr>
          <w:rStyle w:val="Fotnotsreferens"/>
        </w:rPr>
        <w:footnoteRef/>
      </w:r>
      <w:r w:rsidRPr="00075492">
        <w:t xml:space="preserve"> SCB 2000. </w:t>
      </w:r>
      <w:r w:rsidRPr="00075492">
        <w:rPr>
          <w:i/>
        </w:rPr>
        <w:t>BASFAKTA 2000. Tabeller ur företagsregistret.</w:t>
      </w:r>
      <w:r w:rsidRPr="00075492">
        <w:t xml:space="preserve"> Tabell 2. I denna statistik kallas inte kategorin ”dagligvarubranschen” utan ”SNI 5211. Butiker, varuhus och stormarknad. brett sortiment, mest livsmedel.” </w:t>
      </w:r>
    </w:p>
  </w:footnote>
  <w:footnote w:id="103">
    <w:p w:rsidR="00547E7E" w:rsidRPr="00075492" w:rsidRDefault="00547E7E">
      <w:pPr>
        <w:pStyle w:val="Fotnotstext"/>
      </w:pPr>
      <w:r w:rsidRPr="00075492">
        <w:rPr>
          <w:rStyle w:val="Fotnotsreferens"/>
        </w:rPr>
        <w:footnoteRef/>
      </w:r>
      <w:r w:rsidRPr="00075492">
        <w:t xml:space="preserve"> SCB 2000. </w:t>
      </w:r>
      <w:r w:rsidRPr="00075492">
        <w:rPr>
          <w:i/>
        </w:rPr>
        <w:t>När mat kommer på tal - tabeller om mat.</w:t>
      </w:r>
      <w:r w:rsidRPr="00075492">
        <w:t xml:space="preserve"> s. 38</w:t>
      </w:r>
    </w:p>
  </w:footnote>
  <w:footnote w:id="104">
    <w:p w:rsidR="00547E7E" w:rsidRPr="00075492" w:rsidRDefault="00547E7E">
      <w:pPr>
        <w:pStyle w:val="Fotnotstext"/>
      </w:pPr>
      <w:r w:rsidRPr="00075492">
        <w:rPr>
          <w:rStyle w:val="Fotnotsreferens"/>
        </w:rPr>
        <w:footnoteRef/>
      </w:r>
      <w:r w:rsidRPr="00075492">
        <w:t xml:space="preserve"> Delfi Marknadspartner AB 2000. </w:t>
      </w:r>
      <w:r w:rsidRPr="00075492">
        <w:rPr>
          <w:i/>
        </w:rPr>
        <w:t>Storhushållsguiden 2000.</w:t>
      </w:r>
      <w:r w:rsidRPr="00075492">
        <w:t xml:space="preserve"> s. 6. </w:t>
      </w:r>
    </w:p>
  </w:footnote>
  <w:footnote w:id="105">
    <w:p w:rsidR="00547E7E" w:rsidRPr="00075492" w:rsidRDefault="00547E7E">
      <w:pPr>
        <w:pStyle w:val="Fotnotstext"/>
      </w:pPr>
      <w:r w:rsidRPr="00075492">
        <w:rPr>
          <w:rStyle w:val="Fotnotsreferens"/>
        </w:rPr>
        <w:footnoteRef/>
      </w:r>
      <w:r w:rsidRPr="00075492">
        <w:t xml:space="preserve"> Ibid</w:t>
      </w:r>
      <w:r w:rsidRPr="00075492">
        <w:rPr>
          <w:i/>
        </w:rPr>
        <w:t>.</w:t>
      </w:r>
      <w:r w:rsidRPr="00075492">
        <w:t xml:space="preserve">  s. 78ff</w:t>
      </w:r>
    </w:p>
  </w:footnote>
  <w:footnote w:id="106">
    <w:p w:rsidR="00547E7E" w:rsidRPr="00075492" w:rsidRDefault="00547E7E">
      <w:pPr>
        <w:pStyle w:val="Fotnotstext"/>
        <w:spacing w:before="0"/>
      </w:pPr>
      <w:r w:rsidRPr="00075492">
        <w:rPr>
          <w:rStyle w:val="Fotnotsreferens"/>
        </w:rPr>
        <w:footnoteRef/>
      </w:r>
      <w:r w:rsidRPr="00075492">
        <w:t xml:space="preserve"> Ibid s. 6ff</w:t>
      </w:r>
    </w:p>
  </w:footnote>
  <w:footnote w:id="107">
    <w:p w:rsidR="00547E7E" w:rsidRPr="00075492" w:rsidRDefault="00547E7E">
      <w:pPr>
        <w:pStyle w:val="Fotnotstext"/>
        <w:spacing w:before="0"/>
      </w:pPr>
      <w:r w:rsidRPr="00075492">
        <w:rPr>
          <w:rStyle w:val="Fotnotsreferens"/>
        </w:rPr>
        <w:footnoteRef/>
      </w:r>
      <w:r w:rsidRPr="00075492">
        <w:t xml:space="preserve"> Ibid s. 19. Siffrorna avser 1999.</w:t>
      </w:r>
    </w:p>
  </w:footnote>
  <w:footnote w:id="108">
    <w:p w:rsidR="00547E7E" w:rsidRPr="00075492" w:rsidRDefault="00547E7E">
      <w:pPr>
        <w:pStyle w:val="Fotnotstext"/>
        <w:spacing w:before="0"/>
      </w:pPr>
      <w:r w:rsidRPr="00075492">
        <w:rPr>
          <w:rStyle w:val="Fotnotsreferens"/>
        </w:rPr>
        <w:footnoteRef/>
      </w:r>
      <w:r w:rsidRPr="00075492">
        <w:t xml:space="preserve"> Ibid s. 19. Siffrorna avser 1999.</w:t>
      </w:r>
    </w:p>
  </w:footnote>
  <w:footnote w:id="109">
    <w:p w:rsidR="00547E7E" w:rsidRPr="00075492" w:rsidRDefault="00547E7E">
      <w:pPr>
        <w:pStyle w:val="Fotnotstext"/>
        <w:spacing w:before="0"/>
      </w:pPr>
      <w:r w:rsidRPr="00075492">
        <w:rPr>
          <w:rStyle w:val="Fotnotsreferens"/>
        </w:rPr>
        <w:footnoteRef/>
      </w:r>
      <w:r w:rsidRPr="00075492">
        <w:t xml:space="preserve"> Ibid s. 6</w:t>
      </w:r>
    </w:p>
  </w:footnote>
  <w:footnote w:id="110">
    <w:p w:rsidR="00547E7E" w:rsidRPr="00075492" w:rsidRDefault="00547E7E">
      <w:pPr>
        <w:pStyle w:val="Fotnotstext"/>
      </w:pPr>
      <w:r w:rsidRPr="00075492">
        <w:rPr>
          <w:rStyle w:val="Fotnotsreferens"/>
        </w:rPr>
        <w:footnoteRef/>
      </w:r>
      <w:r w:rsidRPr="00075492">
        <w:t xml:space="preserve"> I tabellen inkluderas följande kategorier: restauranger, barer och pubar, persona</w:t>
      </w:r>
      <w:r w:rsidRPr="00075492">
        <w:t>l</w:t>
      </w:r>
      <w:r w:rsidRPr="00075492">
        <w:t>matsalar, cateringföretag, centralkök för sjukhus, skolor och andra institutioner. E</w:t>
      </w:r>
      <w:r w:rsidRPr="00075492">
        <w:t>x</w:t>
      </w:r>
      <w:r w:rsidRPr="00075492">
        <w:t>kluderas gör t.ex. förskolor-, skolor- och äldreomsorgsinstitutioner som inte har ce</w:t>
      </w:r>
      <w:r w:rsidRPr="00075492">
        <w:t>n</w:t>
      </w:r>
      <w:r w:rsidRPr="00075492">
        <w:t>tralkök samt andra verksamheter där storkök ingår men inte utgör huvudverksamh</w:t>
      </w:r>
      <w:r w:rsidRPr="00075492">
        <w:t>e</w:t>
      </w:r>
      <w:r w:rsidRPr="00075492">
        <w:t xml:space="preserve">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huvudKant"/>
      <w:framePr w:w="1758" w:h="2744" w:hRule="exact" w:wrap="around" w:vAnchor="page" w:hAnchor="page" w:x="7372" w:y="568" w:anchorLock="0"/>
    </w:pPr>
    <w:r w:rsidRPr="00075492">
      <w:t>2001/02:RR19</w:t>
    </w:r>
  </w:p>
  <w:p w:rsidR="00547E7E" w:rsidRPr="00075492" w:rsidRDefault="00547E7E">
    <w:pPr>
      <w:pStyle w:val="SidhuvudKantBilaga"/>
      <w:framePr w:w="1758" w:h="2744" w:hRule="exact" w:wrap="around" w:vAnchor="page" w:hAnchor="page" w:x="7372" w:y="568" w:anchorLock="0"/>
    </w:pPr>
  </w:p>
  <w:p w:rsidR="00547E7E" w:rsidRPr="00075492" w:rsidRDefault="00547E7E">
    <w:pPr>
      <w:pStyle w:val="SidhuvudKant"/>
      <w:framePr w:w="1758" w:h="2744" w:hRule="exact" w:wrap="around" w:vAnchor="page" w:hAnchor="page" w:x="7372" w:y="568" w:anchorLock="0"/>
    </w:pPr>
  </w:p>
  <w:p w:rsidR="00547E7E" w:rsidRPr="00075492" w:rsidRDefault="00547E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huvudKant"/>
      <w:framePr w:w="1758" w:h="2744" w:hRule="exact" w:wrap="around" w:vAnchor="page" w:hAnchor="page" w:x="7372" w:y="568" w:anchorLock="0"/>
    </w:pPr>
    <w:r w:rsidRPr="00075492">
      <w:t>2001/02:RR19</w:t>
    </w:r>
  </w:p>
  <w:p w:rsidR="00547E7E" w:rsidRPr="00075492" w:rsidRDefault="00547E7E">
    <w:pPr>
      <w:pStyle w:val="SidhuvudKantBilaga"/>
      <w:framePr w:w="1758" w:h="2744" w:hRule="exact" w:wrap="around" w:vAnchor="page" w:hAnchor="page" w:x="7372" w:y="568" w:anchorLock="0"/>
    </w:pPr>
    <w:r w:rsidRPr="00075492">
      <w:t>Bilaga 1</w:t>
    </w:r>
  </w:p>
  <w:p w:rsidR="00547E7E" w:rsidRPr="00075492" w:rsidRDefault="00547E7E">
    <w:pPr>
      <w:pStyle w:val="SidhuvudKant"/>
      <w:framePr w:w="1758" w:h="2744" w:hRule="exact" w:wrap="around" w:vAnchor="page" w:hAnchor="page" w:x="7372" w:y="568" w:anchorLock="0"/>
    </w:pPr>
  </w:p>
  <w:p w:rsidR="00547E7E" w:rsidRPr="00075492" w:rsidRDefault="00547E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huvudKant"/>
      <w:framePr w:w="1758" w:h="2744" w:hRule="exact" w:wrap="around" w:vAnchor="page" w:hAnchor="page" w:x="7372" w:y="568" w:anchorLock="0"/>
    </w:pPr>
    <w:r w:rsidRPr="00075492">
      <w:fldChar w:fldCharType="begin" w:fldLock="1"/>
    </w:r>
    <w:r w:rsidRPr="00075492">
      <w:instrText xml:space="preserve"> if </w:instrText>
    </w:r>
    <w:r w:rsidRPr="00075492">
      <w:fldChar w:fldCharType="begin" w:fldLock="1"/>
    </w:r>
    <w:r w:rsidRPr="00075492">
      <w:instrText xml:space="preserve"> page</w:instrText>
    </w:r>
    <w:r w:rsidRPr="00075492">
      <w:fldChar w:fldCharType="separate"/>
    </w:r>
    <w:r w:rsidRPr="00075492">
      <w:instrText>137</w:instrText>
    </w:r>
    <w:r w:rsidRPr="00075492">
      <w:fldChar w:fldCharType="end"/>
    </w:r>
    <w:r w:rsidRPr="00075492">
      <w:instrText xml:space="preserve"> &gt; 1 "</w:instrText>
    </w:r>
    <w:r w:rsidRPr="00075492">
      <w:fldChar w:fldCharType="begin" w:fldLock="1"/>
    </w:r>
    <w:r w:rsidRPr="00075492">
      <w:instrText xml:space="preserve"> DOCPROPERTY BetänkandeÅr</w:instrText>
    </w:r>
    <w:r w:rsidRPr="00075492">
      <w:fldChar w:fldCharType="separate"/>
    </w:r>
    <w:r w:rsidRPr="00075492">
      <w:instrText>2001/02</w:instrText>
    </w:r>
    <w:r w:rsidRPr="00075492">
      <w:fldChar w:fldCharType="end"/>
    </w:r>
    <w:r w:rsidRPr="00075492">
      <w:instrText>:</w:instrTex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instrText>RR19</w:instrText>
    </w:r>
    <w:r w:rsidRPr="00075492">
      <w:fldChar w:fldCharType="end"/>
    </w:r>
  </w:p>
  <w:p w:rsidR="00547E7E" w:rsidRPr="00075492" w:rsidRDefault="00547E7E">
    <w:pPr>
      <w:pStyle w:val="SidhuvudKantBilaga"/>
      <w:framePr w:w="1758" w:h="2744" w:hRule="exact" w:wrap="around" w:vAnchor="page" w:hAnchor="page" w:x="7372" w:y="568" w:anchorLock="0"/>
    </w:pPr>
    <w:r w:rsidRPr="00075492">
      <w:instrText>Bilaga 1</w:instrText>
    </w:r>
  </w:p>
  <w:p w:rsidR="00547E7E" w:rsidRPr="00075492" w:rsidRDefault="00547E7E">
    <w:pPr>
      <w:pStyle w:val="SidhuvudKant"/>
      <w:framePr w:w="1758" w:h="2744" w:hRule="exact" w:wrap="around" w:vAnchor="page" w:hAnchor="page" w:x="7372" w:y="568" w:anchorLock="0"/>
    </w:pPr>
    <w:r w:rsidRPr="00075492">
      <w:instrText>"</w:instrText>
    </w:r>
    <w:r w:rsidRPr="00075492">
      <w:fldChar w:fldCharType="separate"/>
    </w:r>
    <w:r w:rsidRPr="00075492">
      <w:fldChar w:fldCharType="begin" w:fldLock="1"/>
    </w:r>
    <w:r w:rsidRPr="00075492">
      <w:instrText xml:space="preserve"> DOCPROPERTY BetänkandeÅr</w:instrText>
    </w:r>
    <w:r w:rsidRPr="00075492">
      <w:fldChar w:fldCharType="separate"/>
    </w:r>
    <w:r w:rsidRPr="00075492">
      <w:t>2001/02</w:t>
    </w:r>
    <w:r w:rsidRPr="00075492">
      <w:fldChar w:fldCharType="end"/>
    </w:r>
    <w:r w:rsidRPr="00075492">
      <w:t>:</w: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t>RR19</w:t>
    </w:r>
    <w:r w:rsidRPr="00075492">
      <w:fldChar w:fldCharType="end"/>
    </w:r>
  </w:p>
  <w:p w:rsidR="00547E7E" w:rsidRPr="00075492" w:rsidRDefault="00547E7E">
    <w:pPr>
      <w:pStyle w:val="SidhuvudKantBilaga"/>
      <w:framePr w:w="1758" w:h="2744" w:hRule="exact" w:wrap="around" w:vAnchor="page" w:hAnchor="page" w:x="7372" w:y="568" w:anchorLock="0"/>
    </w:pPr>
    <w:r w:rsidRPr="00075492">
      <w:t>Bilaga 1</w:t>
    </w:r>
  </w:p>
  <w:p w:rsidR="00547E7E" w:rsidRPr="00075492" w:rsidRDefault="00547E7E">
    <w:pPr>
      <w:pStyle w:val="SidhuvudKant"/>
      <w:framePr w:w="1758" w:h="2744" w:hRule="exact" w:wrap="around" w:vAnchor="page" w:hAnchor="page" w:x="7372" w:y="568" w:anchorLock="0"/>
    </w:pPr>
    <w:r w:rsidRPr="00075492">
      <w:fldChar w:fldCharType="end"/>
    </w:r>
  </w:p>
  <w:p w:rsidR="00547E7E" w:rsidRPr="00075492" w:rsidRDefault="00547E7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huvudKant"/>
      <w:framePr w:w="1757" w:h="2744" w:hRule="exact" w:wrap="around" w:vAnchor="page" w:hAnchor="page" w:x="7371" w:y="567" w:anchorLock="0"/>
    </w:pPr>
    <w:r w:rsidRPr="00075492">
      <w:fldChar w:fldCharType="begin" w:fldLock="1"/>
    </w:r>
    <w:r w:rsidRPr="00075492">
      <w:instrText xml:space="preserve"> if </w:instrText>
    </w:r>
    <w:r w:rsidRPr="00075492">
      <w:fldChar w:fldCharType="begin" w:fldLock="1"/>
    </w:r>
    <w:r w:rsidRPr="00075492">
      <w:instrText xml:space="preserve"> page</w:instrText>
    </w:r>
    <w:r w:rsidRPr="00075492">
      <w:fldChar w:fldCharType="separate"/>
    </w:r>
    <w:r w:rsidRPr="00075492">
      <w:instrText>144</w:instrText>
    </w:r>
    <w:r w:rsidRPr="00075492">
      <w:fldChar w:fldCharType="end"/>
    </w:r>
    <w:r w:rsidRPr="00075492">
      <w:instrText xml:space="preserve"> &gt; 1 "</w:instrText>
    </w:r>
    <w:r w:rsidRPr="00075492">
      <w:fldChar w:fldCharType="begin" w:fldLock="1"/>
    </w:r>
    <w:r w:rsidRPr="00075492">
      <w:instrText xml:space="preserve"> DOCPROPERTY BetänkandeÅr</w:instrText>
    </w:r>
    <w:r w:rsidRPr="00075492">
      <w:fldChar w:fldCharType="separate"/>
    </w:r>
    <w:r w:rsidRPr="00075492">
      <w:instrText>2001/02</w:instrText>
    </w:r>
    <w:r w:rsidRPr="00075492">
      <w:fldChar w:fldCharType="end"/>
    </w:r>
    <w:r w:rsidRPr="00075492">
      <w:instrText>:</w:instrTex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instrText>RR19</w:instrText>
    </w:r>
    <w:r w:rsidRPr="00075492">
      <w:fldChar w:fldCharType="end"/>
    </w:r>
  </w:p>
  <w:p w:rsidR="00547E7E" w:rsidRPr="00075492" w:rsidRDefault="00547E7E">
    <w:pPr>
      <w:pStyle w:val="SidhuvudKantBilaga"/>
      <w:framePr w:w="1757" w:h="2744" w:hRule="exact" w:wrap="around" w:vAnchor="page" w:hAnchor="page" w:x="7371" w:y="567" w:anchorLock="0"/>
    </w:pPr>
    <w:r w:rsidRPr="00075492">
      <w:instrText>Bilaga 1</w:instrText>
    </w:r>
  </w:p>
  <w:p w:rsidR="00547E7E" w:rsidRPr="00075492" w:rsidRDefault="00547E7E">
    <w:pPr>
      <w:pStyle w:val="SidhuvudKant"/>
      <w:framePr w:w="1757" w:h="2744" w:hRule="exact" w:wrap="around" w:vAnchor="page" w:hAnchor="page" w:x="7371" w:y="567" w:anchorLock="0"/>
    </w:pPr>
    <w:r w:rsidRPr="00075492">
      <w:instrText>"</w:instrText>
    </w:r>
    <w:r w:rsidRPr="00075492">
      <w:fldChar w:fldCharType="separate"/>
    </w:r>
    <w:r w:rsidRPr="00075492">
      <w:fldChar w:fldCharType="begin" w:fldLock="1"/>
    </w:r>
    <w:r w:rsidRPr="00075492">
      <w:instrText xml:space="preserve"> DOCPROPERTY BetänkandeÅr</w:instrText>
    </w:r>
    <w:r w:rsidRPr="00075492">
      <w:fldChar w:fldCharType="separate"/>
    </w:r>
    <w:r w:rsidRPr="00075492">
      <w:t>2001/02</w:t>
    </w:r>
    <w:r w:rsidRPr="00075492">
      <w:fldChar w:fldCharType="end"/>
    </w:r>
    <w:r w:rsidRPr="00075492">
      <w:t>:</w: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t>RR19</w:t>
    </w:r>
    <w:r w:rsidRPr="00075492">
      <w:fldChar w:fldCharType="end"/>
    </w:r>
  </w:p>
  <w:p w:rsidR="00547E7E" w:rsidRPr="00075492" w:rsidRDefault="00547E7E">
    <w:pPr>
      <w:pStyle w:val="SidhuvudKantBilaga"/>
      <w:framePr w:w="1757" w:h="2744" w:hRule="exact" w:wrap="around" w:vAnchor="page" w:hAnchor="page" w:x="7371" w:y="567" w:anchorLock="0"/>
    </w:pPr>
    <w:r w:rsidRPr="00075492">
      <w:t>Bilaga 1</w:t>
    </w:r>
  </w:p>
  <w:p w:rsidR="00547E7E" w:rsidRPr="00075492" w:rsidRDefault="00547E7E">
    <w:pPr>
      <w:pStyle w:val="SidhuvudKant"/>
      <w:framePr w:w="1757" w:h="2744" w:hRule="exact" w:wrap="around" w:vAnchor="page" w:hAnchor="page" w:x="7371" w:y="567" w:anchorLock="0"/>
    </w:pPr>
    <w:r w:rsidRPr="00075492">
      <w:fldChar w:fldCharType="end"/>
    </w:r>
  </w:p>
  <w:p w:rsidR="00547E7E" w:rsidRPr="00075492" w:rsidRDefault="00547E7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huvudKant"/>
      <w:framePr w:w="1758" w:h="2744" w:hRule="exact" w:wrap="around" w:vAnchor="page" w:hAnchor="page" w:x="7372" w:y="568" w:anchorLock="0"/>
    </w:pPr>
    <w:r w:rsidRPr="00075492">
      <w:fldChar w:fldCharType="begin" w:fldLock="1"/>
    </w:r>
    <w:r w:rsidRPr="00075492">
      <w:instrText xml:space="preserve"> if </w:instrText>
    </w:r>
    <w:r w:rsidRPr="00075492">
      <w:fldChar w:fldCharType="begin" w:fldLock="1"/>
    </w:r>
    <w:r w:rsidRPr="00075492">
      <w:instrText xml:space="preserve"> page</w:instrText>
    </w:r>
    <w:r w:rsidRPr="00075492">
      <w:fldChar w:fldCharType="separate"/>
    </w:r>
    <w:r w:rsidRPr="00075492">
      <w:instrText>160</w:instrText>
    </w:r>
    <w:r w:rsidRPr="00075492">
      <w:fldChar w:fldCharType="end"/>
    </w:r>
    <w:r w:rsidRPr="00075492">
      <w:instrText xml:space="preserve"> &gt; 1 "</w:instrText>
    </w:r>
    <w:r w:rsidRPr="00075492">
      <w:fldChar w:fldCharType="begin" w:fldLock="1"/>
    </w:r>
    <w:r w:rsidRPr="00075492">
      <w:instrText xml:space="preserve"> DOCPROPERTY BetänkandeÅr</w:instrText>
    </w:r>
    <w:r w:rsidRPr="00075492">
      <w:fldChar w:fldCharType="separate"/>
    </w:r>
    <w:r w:rsidRPr="00075492">
      <w:instrText>2001/02</w:instrText>
    </w:r>
    <w:r w:rsidRPr="00075492">
      <w:fldChar w:fldCharType="end"/>
    </w:r>
    <w:r w:rsidRPr="00075492">
      <w:instrText>:</w:instrTex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instrText>RR19</w:instrText>
    </w:r>
    <w:r w:rsidRPr="00075492">
      <w:fldChar w:fldCharType="end"/>
    </w:r>
  </w:p>
  <w:p w:rsidR="00547E7E" w:rsidRPr="00075492" w:rsidRDefault="00547E7E">
    <w:pPr>
      <w:pStyle w:val="SidhuvudKantBilaga"/>
      <w:framePr w:w="1758" w:h="2744" w:hRule="exact" w:wrap="around" w:vAnchor="page" w:hAnchor="page" w:x="7372" w:y="568" w:anchorLock="0"/>
    </w:pPr>
    <w:r w:rsidRPr="00075492">
      <w:instrText>Bilaga 2</w:instrText>
    </w:r>
  </w:p>
  <w:p w:rsidR="00547E7E" w:rsidRPr="00075492" w:rsidRDefault="00547E7E">
    <w:pPr>
      <w:pStyle w:val="SidhuvudKant"/>
      <w:framePr w:w="1758" w:h="2744" w:hRule="exact" w:wrap="around" w:vAnchor="page" w:hAnchor="page" w:x="7372" w:y="568" w:anchorLock="0"/>
    </w:pPr>
    <w:r w:rsidRPr="00075492">
      <w:instrText>"</w:instrText>
    </w:r>
    <w:r w:rsidRPr="00075492">
      <w:fldChar w:fldCharType="separate"/>
    </w:r>
    <w:r w:rsidRPr="00075492">
      <w:fldChar w:fldCharType="begin" w:fldLock="1"/>
    </w:r>
    <w:r w:rsidRPr="00075492">
      <w:instrText xml:space="preserve"> DOCPROPERTY BetänkandeÅr</w:instrText>
    </w:r>
    <w:r w:rsidRPr="00075492">
      <w:fldChar w:fldCharType="separate"/>
    </w:r>
    <w:r w:rsidRPr="00075492">
      <w:t>2001/02</w:t>
    </w:r>
    <w:r w:rsidRPr="00075492">
      <w:fldChar w:fldCharType="end"/>
    </w:r>
    <w:r w:rsidRPr="00075492">
      <w:t>:</w: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t>RR19</w:t>
    </w:r>
    <w:r w:rsidRPr="00075492">
      <w:fldChar w:fldCharType="end"/>
    </w:r>
  </w:p>
  <w:p w:rsidR="00547E7E" w:rsidRPr="00075492" w:rsidRDefault="00547E7E">
    <w:pPr>
      <w:pStyle w:val="SidhuvudKantBilaga"/>
      <w:framePr w:w="1758" w:h="2744" w:hRule="exact" w:wrap="around" w:vAnchor="page" w:hAnchor="page" w:x="7372" w:y="568" w:anchorLock="0"/>
    </w:pPr>
    <w:r w:rsidRPr="00075492">
      <w:t>Bilaga 2</w:t>
    </w:r>
  </w:p>
  <w:p w:rsidR="00547E7E" w:rsidRPr="00075492" w:rsidRDefault="00547E7E">
    <w:pPr>
      <w:pStyle w:val="SidhuvudKant"/>
      <w:framePr w:w="1758" w:h="2744" w:hRule="exact" w:wrap="around" w:vAnchor="page" w:hAnchor="page" w:x="7372" w:y="568" w:anchorLock="0"/>
    </w:pPr>
    <w:r w:rsidRPr="00075492">
      <w:fldChar w:fldCharType="end"/>
    </w:r>
  </w:p>
  <w:p w:rsidR="00547E7E" w:rsidRPr="00075492" w:rsidRDefault="00547E7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7E" w:rsidRPr="00075492" w:rsidRDefault="00547E7E">
    <w:pPr>
      <w:pStyle w:val="SidhuvudKant"/>
      <w:framePr w:w="1758" w:h="2744" w:hRule="exact" w:wrap="around" w:vAnchor="page" w:hAnchor="page" w:x="7372" w:y="568" w:anchorLock="0"/>
    </w:pPr>
    <w:r w:rsidRPr="00075492">
      <w:fldChar w:fldCharType="begin" w:fldLock="1"/>
    </w:r>
    <w:r w:rsidRPr="00075492">
      <w:instrText xml:space="preserve"> if </w:instrText>
    </w:r>
    <w:r w:rsidRPr="00075492">
      <w:fldChar w:fldCharType="begin" w:fldLock="1"/>
    </w:r>
    <w:r w:rsidRPr="00075492">
      <w:instrText xml:space="preserve"> page</w:instrText>
    </w:r>
    <w:r w:rsidRPr="00075492">
      <w:fldChar w:fldCharType="separate"/>
    </w:r>
    <w:r w:rsidRPr="00075492">
      <w:instrText>164</w:instrText>
    </w:r>
    <w:r w:rsidRPr="00075492">
      <w:fldChar w:fldCharType="end"/>
    </w:r>
    <w:r w:rsidRPr="00075492">
      <w:instrText xml:space="preserve"> &gt; 1 "</w:instrText>
    </w:r>
    <w:r w:rsidRPr="00075492">
      <w:fldChar w:fldCharType="begin" w:fldLock="1"/>
    </w:r>
    <w:r w:rsidRPr="00075492">
      <w:instrText xml:space="preserve"> DOCPROPERTY BetänkandeÅr</w:instrText>
    </w:r>
    <w:r w:rsidRPr="00075492">
      <w:fldChar w:fldCharType="separate"/>
    </w:r>
    <w:r w:rsidRPr="00075492">
      <w:instrText>2001/02</w:instrText>
    </w:r>
    <w:r w:rsidRPr="00075492">
      <w:fldChar w:fldCharType="end"/>
    </w:r>
    <w:r w:rsidRPr="00075492">
      <w:instrText>:</w:instrTex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instrText>RR19</w:instrText>
    </w:r>
    <w:r w:rsidRPr="00075492">
      <w:fldChar w:fldCharType="end"/>
    </w:r>
  </w:p>
  <w:p w:rsidR="00547E7E" w:rsidRPr="00075492" w:rsidRDefault="00547E7E">
    <w:pPr>
      <w:pStyle w:val="SidhuvudKantBilaga"/>
      <w:framePr w:w="1758" w:h="2744" w:hRule="exact" w:wrap="around" w:vAnchor="page" w:hAnchor="page" w:x="7372" w:y="568" w:anchorLock="0"/>
    </w:pPr>
  </w:p>
  <w:p w:rsidR="00547E7E" w:rsidRPr="00075492" w:rsidRDefault="00547E7E">
    <w:pPr>
      <w:pStyle w:val="SidhuvudKant"/>
      <w:framePr w:w="1758" w:h="2744" w:hRule="exact" w:wrap="around" w:vAnchor="page" w:hAnchor="page" w:x="7372" w:y="568" w:anchorLock="0"/>
    </w:pPr>
    <w:r w:rsidRPr="00075492">
      <w:instrText>"</w:instrText>
    </w:r>
    <w:r w:rsidRPr="00075492">
      <w:fldChar w:fldCharType="separate"/>
    </w:r>
    <w:r w:rsidRPr="00075492">
      <w:fldChar w:fldCharType="begin" w:fldLock="1"/>
    </w:r>
    <w:r w:rsidRPr="00075492">
      <w:instrText xml:space="preserve"> DOCPROPERTY BetänkandeÅr</w:instrText>
    </w:r>
    <w:r w:rsidRPr="00075492">
      <w:fldChar w:fldCharType="separate"/>
    </w:r>
    <w:r w:rsidRPr="00075492">
      <w:t>2001/02</w:t>
    </w:r>
    <w:r w:rsidRPr="00075492">
      <w:fldChar w:fldCharType="end"/>
    </w:r>
    <w:r w:rsidRPr="00075492">
      <w:t>:</w:t>
    </w:r>
    <w:r w:rsidRPr="00075492">
      <w:fldChar w:fldCharType="begin" w:fldLock="1"/>
    </w:r>
    <w:r w:rsidRPr="00075492">
      <w:instrText xml:space="preserve"> DOCPROPERTY Betä</w:instrText>
    </w:r>
    <w:r w:rsidRPr="00075492">
      <w:instrText>n</w:instrText>
    </w:r>
    <w:r w:rsidRPr="00075492">
      <w:instrText>kandeNr</w:instrText>
    </w:r>
    <w:r w:rsidRPr="00075492">
      <w:fldChar w:fldCharType="separate"/>
    </w:r>
    <w:r w:rsidRPr="00075492">
      <w:t>RR19</w:t>
    </w:r>
    <w:r w:rsidRPr="00075492">
      <w:fldChar w:fldCharType="end"/>
    </w:r>
  </w:p>
  <w:p w:rsidR="00547E7E" w:rsidRPr="00075492" w:rsidRDefault="00547E7E">
    <w:pPr>
      <w:pStyle w:val="SidhuvudKantBilaga"/>
      <w:framePr w:w="1758" w:h="2744" w:hRule="exact" w:wrap="around" w:vAnchor="page" w:hAnchor="page" w:x="7372" w:y="568" w:anchorLock="0"/>
    </w:pPr>
  </w:p>
  <w:p w:rsidR="00547E7E" w:rsidRPr="00075492" w:rsidRDefault="00547E7E">
    <w:pPr>
      <w:pStyle w:val="SidhuvudKant"/>
      <w:framePr w:w="1758" w:h="2744" w:hRule="exact" w:wrap="around" w:vAnchor="page" w:hAnchor="page" w:x="7372" w:y="568" w:anchorLock="0"/>
    </w:pPr>
    <w:r w:rsidRPr="00075492">
      <w:fldChar w:fldCharType="end"/>
    </w:r>
  </w:p>
  <w:p w:rsidR="00547E7E" w:rsidRPr="00075492" w:rsidRDefault="00547E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1E2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C2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E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1365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4D25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6944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162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36E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0E66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570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94E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8D368E"/>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04E866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1D66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5AC53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5B75E14"/>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05EA150B"/>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06DB2E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7A161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7DB1F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8611F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95C3C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A326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A422E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AAA3B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B0C6DE2"/>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0B1C75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BEF7D53"/>
    <w:multiLevelType w:val="singleLevel"/>
    <w:tmpl w:val="FF3C253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C5C5D65"/>
    <w:multiLevelType w:val="singleLevel"/>
    <w:tmpl w:val="041D000F"/>
    <w:lvl w:ilvl="0">
      <w:start w:val="1"/>
      <w:numFmt w:val="decimal"/>
      <w:lvlText w:val="%1."/>
      <w:lvlJc w:val="left"/>
      <w:pPr>
        <w:tabs>
          <w:tab w:val="num" w:pos="360"/>
        </w:tabs>
        <w:ind w:left="360" w:hanging="360"/>
      </w:pPr>
    </w:lvl>
  </w:abstractNum>
  <w:abstractNum w:abstractNumId="30" w15:restartNumberingAfterBreak="0">
    <w:nsid w:val="0C7170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C9C7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D534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DF10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EB317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EFE6A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F5861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F6E1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F723F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FAE42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FBE1D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06C2C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0C468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1215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1ED75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2FA26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3985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39B60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3ED20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4040C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44B25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4C75C77"/>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15005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54" w15:restartNumberingAfterBreak="0">
    <w:nsid w:val="163650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64508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67960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69057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6B25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70608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177D52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17DF6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8953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8ED78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98F3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19F57C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1B814C3E"/>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1B9276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C9005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1CC02DCD"/>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1CCF6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1CDE27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1DB566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1E3E57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E4A43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F1C3EE1"/>
    <w:multiLevelType w:val="singleLevel"/>
    <w:tmpl w:val="041D000F"/>
    <w:lvl w:ilvl="0">
      <w:start w:val="1"/>
      <w:numFmt w:val="decimal"/>
      <w:lvlText w:val="%1."/>
      <w:lvlJc w:val="left"/>
      <w:pPr>
        <w:tabs>
          <w:tab w:val="num" w:pos="360"/>
        </w:tabs>
        <w:ind w:left="360" w:hanging="360"/>
      </w:pPr>
    </w:lvl>
  </w:abstractNum>
  <w:abstractNum w:abstractNumId="76" w15:restartNumberingAfterBreak="0">
    <w:nsid w:val="1F24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78" w15:restartNumberingAfterBreak="0">
    <w:nsid w:val="1FE07B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202279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209101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21CB2E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21E62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22BC379D"/>
    <w:multiLevelType w:val="singleLevel"/>
    <w:tmpl w:val="041D000F"/>
    <w:lvl w:ilvl="0">
      <w:start w:val="1"/>
      <w:numFmt w:val="decimal"/>
      <w:lvlText w:val="%1."/>
      <w:lvlJc w:val="left"/>
      <w:pPr>
        <w:tabs>
          <w:tab w:val="num" w:pos="360"/>
        </w:tabs>
        <w:ind w:left="360" w:hanging="360"/>
      </w:pPr>
    </w:lvl>
  </w:abstractNum>
  <w:abstractNum w:abstractNumId="84" w15:restartNumberingAfterBreak="0">
    <w:nsid w:val="22E034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236E6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25112B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25D920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26722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271B7E73"/>
    <w:multiLevelType w:val="singleLevel"/>
    <w:tmpl w:val="041D000F"/>
    <w:lvl w:ilvl="0">
      <w:start w:val="1"/>
      <w:numFmt w:val="decimal"/>
      <w:lvlText w:val="%1."/>
      <w:lvlJc w:val="left"/>
      <w:pPr>
        <w:tabs>
          <w:tab w:val="num" w:pos="360"/>
        </w:tabs>
        <w:ind w:left="360" w:hanging="360"/>
      </w:pPr>
    </w:lvl>
  </w:abstractNum>
  <w:abstractNum w:abstractNumId="90" w15:restartNumberingAfterBreak="0">
    <w:nsid w:val="276D4B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27B74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27D67D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28366C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28EA47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29916B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2A041E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2AF701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2B120944"/>
    <w:multiLevelType w:val="singleLevel"/>
    <w:tmpl w:val="FF3C253A"/>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2C9C1E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2CB856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2CBA0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2CDB7F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2CE34A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2D9153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DA07E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DA141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2DAF4B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2DE737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E955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2EAA75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2EE42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2F7F4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30387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15:restartNumberingAfterBreak="0">
    <w:nsid w:val="319260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31E438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31EB3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32CB4D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33E17A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33FF71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340842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345C5E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35301F0B"/>
    <w:multiLevelType w:val="singleLevel"/>
    <w:tmpl w:val="041D000F"/>
    <w:lvl w:ilvl="0">
      <w:start w:val="1"/>
      <w:numFmt w:val="decimal"/>
      <w:lvlText w:val="%1."/>
      <w:lvlJc w:val="left"/>
      <w:pPr>
        <w:tabs>
          <w:tab w:val="num" w:pos="360"/>
        </w:tabs>
        <w:ind w:left="360" w:hanging="360"/>
      </w:pPr>
    </w:lvl>
  </w:abstractNum>
  <w:abstractNum w:abstractNumId="124" w15:restartNumberingAfterBreak="0">
    <w:nsid w:val="35524B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356655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356A71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35CE58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362016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364249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36A93B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37601F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37F870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38154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382C31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383341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3A0045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3A034E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3A3011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3A771E8E"/>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3AB02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3B4C18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3B6A05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3C0E25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3C78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3CBA74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3CE429DB"/>
    <w:multiLevelType w:val="singleLevel"/>
    <w:tmpl w:val="041D000F"/>
    <w:lvl w:ilvl="0">
      <w:start w:val="1"/>
      <w:numFmt w:val="decimal"/>
      <w:lvlText w:val="%1."/>
      <w:lvlJc w:val="left"/>
      <w:pPr>
        <w:tabs>
          <w:tab w:val="num" w:pos="360"/>
        </w:tabs>
        <w:ind w:left="360" w:hanging="360"/>
      </w:pPr>
    </w:lvl>
  </w:abstractNum>
  <w:abstractNum w:abstractNumId="147" w15:restartNumberingAfterBreak="0">
    <w:nsid w:val="3D5641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3D5D52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3D6926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3FC947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40007C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40182A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404672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40FE0F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416C12EA"/>
    <w:multiLevelType w:val="singleLevel"/>
    <w:tmpl w:val="041D000F"/>
    <w:lvl w:ilvl="0">
      <w:start w:val="1"/>
      <w:numFmt w:val="decimal"/>
      <w:lvlText w:val="%1."/>
      <w:lvlJc w:val="left"/>
      <w:pPr>
        <w:tabs>
          <w:tab w:val="num" w:pos="360"/>
        </w:tabs>
        <w:ind w:left="360" w:hanging="360"/>
      </w:pPr>
    </w:lvl>
  </w:abstractNum>
  <w:abstractNum w:abstractNumId="156" w15:restartNumberingAfterBreak="0">
    <w:nsid w:val="418249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41971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41BF01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41EB2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42033D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427A0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43FB3B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469511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46C11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46C66E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481808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48593F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49B31D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49C84F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49D660AA"/>
    <w:multiLevelType w:val="singleLevel"/>
    <w:tmpl w:val="041D000F"/>
    <w:lvl w:ilvl="0">
      <w:start w:val="1"/>
      <w:numFmt w:val="decimal"/>
      <w:lvlText w:val="%1."/>
      <w:lvlJc w:val="left"/>
      <w:pPr>
        <w:tabs>
          <w:tab w:val="num" w:pos="360"/>
        </w:tabs>
        <w:ind w:left="360" w:hanging="360"/>
      </w:pPr>
    </w:lvl>
  </w:abstractNum>
  <w:abstractNum w:abstractNumId="171" w15:restartNumberingAfterBreak="0">
    <w:nsid w:val="4AC365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4AC404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4BA373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4BC505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4BE12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4BE966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4C6C06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4C976F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4D767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4DA97F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4DB26D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4E682D61"/>
    <w:multiLevelType w:val="singleLevel"/>
    <w:tmpl w:val="041D000F"/>
    <w:lvl w:ilvl="0">
      <w:start w:val="1"/>
      <w:numFmt w:val="decimal"/>
      <w:lvlText w:val="%1."/>
      <w:lvlJc w:val="left"/>
      <w:pPr>
        <w:tabs>
          <w:tab w:val="num" w:pos="360"/>
        </w:tabs>
        <w:ind w:left="360" w:hanging="360"/>
      </w:pPr>
    </w:lvl>
  </w:abstractNum>
  <w:abstractNum w:abstractNumId="183" w15:restartNumberingAfterBreak="0">
    <w:nsid w:val="4E722B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4EDF09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4EED1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4F3B4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4F4B3C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4F7A48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500E6402"/>
    <w:multiLevelType w:val="singleLevel"/>
    <w:tmpl w:val="041D000F"/>
    <w:lvl w:ilvl="0">
      <w:start w:val="1"/>
      <w:numFmt w:val="decimal"/>
      <w:lvlText w:val="%1."/>
      <w:lvlJc w:val="left"/>
      <w:pPr>
        <w:tabs>
          <w:tab w:val="num" w:pos="360"/>
        </w:tabs>
        <w:ind w:left="360" w:hanging="360"/>
      </w:pPr>
    </w:lvl>
  </w:abstractNum>
  <w:abstractNum w:abstractNumId="190" w15:restartNumberingAfterBreak="0">
    <w:nsid w:val="516434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51D363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529273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52D27B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53442C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53693D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538D06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53A825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53DB2D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54272E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550E2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552830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554759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555441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556A0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55C22FCA"/>
    <w:multiLevelType w:val="singleLevel"/>
    <w:tmpl w:val="041D000F"/>
    <w:lvl w:ilvl="0">
      <w:start w:val="1"/>
      <w:numFmt w:val="decimal"/>
      <w:lvlText w:val="%1."/>
      <w:lvlJc w:val="left"/>
      <w:pPr>
        <w:tabs>
          <w:tab w:val="num" w:pos="360"/>
        </w:tabs>
        <w:ind w:left="360" w:hanging="360"/>
      </w:pPr>
    </w:lvl>
  </w:abstractNum>
  <w:abstractNum w:abstractNumId="206" w15:restartNumberingAfterBreak="0">
    <w:nsid w:val="55C531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56525D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565674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567E56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573730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57616B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57983234"/>
    <w:multiLevelType w:val="singleLevel"/>
    <w:tmpl w:val="7250C4C0"/>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599572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5A71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5B144F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5BB62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5BF916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5CA86A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5CD358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5CE045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5D5010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5D5372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5D8C17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5E8F5B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5F0D4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5F452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5F8A6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5FB854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60206D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60C367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61373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61BE0E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61C517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62535E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62EA05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62F50B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34529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636A19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63767C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1" w15:restartNumberingAfterBreak="0">
    <w:nsid w:val="640844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642229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64CC33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650111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662E4F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664D763C"/>
    <w:multiLevelType w:val="singleLevel"/>
    <w:tmpl w:val="041D000F"/>
    <w:lvl w:ilvl="0">
      <w:start w:val="1"/>
      <w:numFmt w:val="decimal"/>
      <w:lvlText w:val="%1."/>
      <w:lvlJc w:val="left"/>
      <w:pPr>
        <w:tabs>
          <w:tab w:val="num" w:pos="360"/>
        </w:tabs>
        <w:ind w:left="360" w:hanging="360"/>
      </w:pPr>
    </w:lvl>
  </w:abstractNum>
  <w:abstractNum w:abstractNumId="247" w15:restartNumberingAfterBreak="0">
    <w:nsid w:val="664F3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665C16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66952D90"/>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250" w15:restartNumberingAfterBreak="0">
    <w:nsid w:val="66F504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688915D7"/>
    <w:multiLevelType w:val="multilevel"/>
    <w:tmpl w:val="7C54304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2" w15:restartNumberingAfterBreak="0">
    <w:nsid w:val="68A370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68DB5F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6A580C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6A7D0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6A8E16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6AE51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6B902E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6BC242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6BD100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6BD50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6C0C46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6C862C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6CE56382"/>
    <w:multiLevelType w:val="singleLevel"/>
    <w:tmpl w:val="041D000F"/>
    <w:lvl w:ilvl="0">
      <w:start w:val="1"/>
      <w:numFmt w:val="decimal"/>
      <w:lvlText w:val="%1."/>
      <w:lvlJc w:val="left"/>
      <w:pPr>
        <w:tabs>
          <w:tab w:val="num" w:pos="360"/>
        </w:tabs>
        <w:ind w:left="360" w:hanging="360"/>
      </w:pPr>
    </w:lvl>
  </w:abstractNum>
  <w:abstractNum w:abstractNumId="265" w15:restartNumberingAfterBreak="0">
    <w:nsid w:val="6D1B01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6D411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6D507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6E9E66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6EEE63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707B64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71785C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74DB4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751C0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75534C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755B6A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75A91EED"/>
    <w:multiLevelType w:val="singleLevel"/>
    <w:tmpl w:val="041D000F"/>
    <w:lvl w:ilvl="0">
      <w:start w:val="1"/>
      <w:numFmt w:val="decimal"/>
      <w:lvlText w:val="%1."/>
      <w:lvlJc w:val="left"/>
      <w:pPr>
        <w:tabs>
          <w:tab w:val="num" w:pos="360"/>
        </w:tabs>
        <w:ind w:left="360" w:hanging="360"/>
      </w:pPr>
    </w:lvl>
  </w:abstractNum>
  <w:abstractNum w:abstractNumId="277" w15:restartNumberingAfterBreak="0">
    <w:nsid w:val="75C846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760C07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763233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766C5E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76FF7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77250E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77497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77704F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77A540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77C62F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78745A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794B1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795214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797B4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7A0013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7A3C33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7CE541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7DA503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7DB9693B"/>
    <w:multiLevelType w:val="singleLevel"/>
    <w:tmpl w:val="041D000F"/>
    <w:lvl w:ilvl="0">
      <w:start w:val="1"/>
      <w:numFmt w:val="decimal"/>
      <w:lvlText w:val="%1."/>
      <w:lvlJc w:val="left"/>
      <w:pPr>
        <w:tabs>
          <w:tab w:val="num" w:pos="360"/>
        </w:tabs>
        <w:ind w:left="360" w:hanging="360"/>
      </w:pPr>
    </w:lvl>
  </w:abstractNum>
  <w:abstractNum w:abstractNumId="296" w15:restartNumberingAfterBreak="0">
    <w:nsid w:val="7DD80D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7EF70C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7F8F6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7FAF2BC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26628175">
    <w:abstractNumId w:val="251"/>
  </w:num>
  <w:num w:numId="2" w16cid:durableId="2083985950">
    <w:abstractNumId w:val="251"/>
  </w:num>
  <w:num w:numId="3" w16cid:durableId="876511032">
    <w:abstractNumId w:val="251"/>
  </w:num>
  <w:num w:numId="4" w16cid:durableId="1579366304">
    <w:abstractNumId w:val="251"/>
  </w:num>
  <w:num w:numId="5" w16cid:durableId="578750696">
    <w:abstractNumId w:val="251"/>
  </w:num>
  <w:num w:numId="6" w16cid:durableId="1867601815">
    <w:abstractNumId w:val="251"/>
  </w:num>
  <w:num w:numId="7" w16cid:durableId="1969816171">
    <w:abstractNumId w:val="251"/>
  </w:num>
  <w:num w:numId="8" w16cid:durableId="2004158219">
    <w:abstractNumId w:val="251"/>
  </w:num>
  <w:num w:numId="9" w16cid:durableId="1893467480">
    <w:abstractNumId w:val="246"/>
  </w:num>
  <w:num w:numId="10" w16cid:durableId="532426287">
    <w:abstractNumId w:val="123"/>
  </w:num>
  <w:num w:numId="11" w16cid:durableId="1918199465">
    <w:abstractNumId w:val="69"/>
  </w:num>
  <w:num w:numId="12" w16cid:durableId="858588782">
    <w:abstractNumId w:val="150"/>
  </w:num>
  <w:num w:numId="13" w16cid:durableId="1467553286">
    <w:abstractNumId w:val="113"/>
  </w:num>
  <w:num w:numId="14" w16cid:durableId="642736002">
    <w:abstractNumId w:val="109"/>
  </w:num>
  <w:num w:numId="15" w16cid:durableId="1277978184">
    <w:abstractNumId w:val="182"/>
  </w:num>
  <w:num w:numId="16" w16cid:durableId="637413380">
    <w:abstractNumId w:val="253"/>
  </w:num>
  <w:num w:numId="17" w16cid:durableId="1608195917">
    <w:abstractNumId w:val="72"/>
  </w:num>
  <w:num w:numId="18" w16cid:durableId="2040928103">
    <w:abstractNumId w:val="155"/>
  </w:num>
  <w:num w:numId="19" w16cid:durableId="304772902">
    <w:abstractNumId w:val="29"/>
  </w:num>
  <w:num w:numId="20" w16cid:durableId="753862797">
    <w:abstractNumId w:val="26"/>
  </w:num>
  <w:num w:numId="21" w16cid:durableId="766540262">
    <w:abstractNumId w:val="205"/>
  </w:num>
  <w:num w:numId="22" w16cid:durableId="1178740461">
    <w:abstractNumId w:val="240"/>
  </w:num>
  <w:num w:numId="23" w16cid:durableId="259486036">
    <w:abstractNumId w:val="77"/>
  </w:num>
  <w:num w:numId="24" w16cid:durableId="20015659">
    <w:abstractNumId w:val="53"/>
  </w:num>
  <w:num w:numId="25" w16cid:durableId="1036198363">
    <w:abstractNumId w:val="114"/>
  </w:num>
  <w:num w:numId="26" w16cid:durableId="426193514">
    <w:abstractNumId w:val="231"/>
  </w:num>
  <w:num w:numId="27" w16cid:durableId="958293696">
    <w:abstractNumId w:val="44"/>
  </w:num>
  <w:num w:numId="28" w16cid:durableId="479229391">
    <w:abstractNumId w:val="47"/>
  </w:num>
  <w:num w:numId="29" w16cid:durableId="1290088442">
    <w:abstractNumId w:val="281"/>
  </w:num>
  <w:num w:numId="30" w16cid:durableId="1120345777">
    <w:abstractNumId w:val="238"/>
  </w:num>
  <w:num w:numId="31" w16cid:durableId="462816302">
    <w:abstractNumId w:val="227"/>
  </w:num>
  <w:num w:numId="32" w16cid:durableId="379478432">
    <w:abstractNumId w:val="54"/>
  </w:num>
  <w:num w:numId="33" w16cid:durableId="170070685">
    <w:abstractNumId w:val="110"/>
  </w:num>
  <w:num w:numId="34" w16cid:durableId="1287271736">
    <w:abstractNumId w:val="31"/>
  </w:num>
  <w:num w:numId="35" w16cid:durableId="1366323786">
    <w:abstractNumId w:val="179"/>
  </w:num>
  <w:num w:numId="36" w16cid:durableId="1086921693">
    <w:abstractNumId w:val="46"/>
  </w:num>
  <w:num w:numId="37" w16cid:durableId="898055482">
    <w:abstractNumId w:val="43"/>
  </w:num>
  <w:num w:numId="38" w16cid:durableId="127938083">
    <w:abstractNumId w:val="48"/>
  </w:num>
  <w:num w:numId="39" w16cid:durableId="1113865380">
    <w:abstractNumId w:val="41"/>
  </w:num>
  <w:num w:numId="40" w16cid:durableId="484011870">
    <w:abstractNumId w:val="18"/>
  </w:num>
  <w:num w:numId="41" w16cid:durableId="824930952">
    <w:abstractNumId w:val="162"/>
  </w:num>
  <w:num w:numId="42" w16cid:durableId="512258074">
    <w:abstractNumId w:val="292"/>
  </w:num>
  <w:num w:numId="43" w16cid:durableId="1754277109">
    <w:abstractNumId w:val="86"/>
  </w:num>
  <w:num w:numId="44" w16cid:durableId="193005142">
    <w:abstractNumId w:val="134"/>
  </w:num>
  <w:num w:numId="45" w16cid:durableId="1107964929">
    <w:abstractNumId w:val="154"/>
  </w:num>
  <w:num w:numId="46" w16cid:durableId="925531998">
    <w:abstractNumId w:val="189"/>
  </w:num>
  <w:num w:numId="47" w16cid:durableId="528221195">
    <w:abstractNumId w:val="276"/>
  </w:num>
  <w:num w:numId="48" w16cid:durableId="965769510">
    <w:abstractNumId w:val="191"/>
  </w:num>
  <w:num w:numId="49" w16cid:durableId="2103641764">
    <w:abstractNumId w:val="84"/>
  </w:num>
  <w:num w:numId="50" w16cid:durableId="1754471556">
    <w:abstractNumId w:val="57"/>
  </w:num>
  <w:num w:numId="51" w16cid:durableId="745153066">
    <w:abstractNumId w:val="263"/>
  </w:num>
  <w:num w:numId="52" w16cid:durableId="1733500157">
    <w:abstractNumId w:val="287"/>
  </w:num>
  <w:num w:numId="53" w16cid:durableId="1224676970">
    <w:abstractNumId w:val="184"/>
  </w:num>
  <w:num w:numId="54" w16cid:durableId="582616269">
    <w:abstractNumId w:val="221"/>
  </w:num>
  <w:num w:numId="55" w16cid:durableId="1450978546">
    <w:abstractNumId w:val="146"/>
  </w:num>
  <w:num w:numId="56" w16cid:durableId="1830631432">
    <w:abstractNumId w:val="298"/>
  </w:num>
  <w:num w:numId="57" w16cid:durableId="1076971390">
    <w:abstractNumId w:val="11"/>
  </w:num>
  <w:num w:numId="58" w16cid:durableId="2105682918">
    <w:abstractNumId w:val="37"/>
  </w:num>
  <w:num w:numId="59" w16cid:durableId="1155099145">
    <w:abstractNumId w:val="232"/>
  </w:num>
  <w:num w:numId="60" w16cid:durableId="714890009">
    <w:abstractNumId w:val="156"/>
  </w:num>
  <w:num w:numId="61" w16cid:durableId="174854873">
    <w:abstractNumId w:val="175"/>
  </w:num>
  <w:num w:numId="62" w16cid:durableId="989556325">
    <w:abstractNumId w:val="247"/>
  </w:num>
  <w:num w:numId="63" w16cid:durableId="1868369517">
    <w:abstractNumId w:val="78"/>
  </w:num>
  <w:num w:numId="64" w16cid:durableId="472255399">
    <w:abstractNumId w:val="59"/>
  </w:num>
  <w:num w:numId="65" w16cid:durableId="1120956209">
    <w:abstractNumId w:val="9"/>
  </w:num>
  <w:num w:numId="66" w16cid:durableId="170023696">
    <w:abstractNumId w:val="85"/>
  </w:num>
  <w:num w:numId="67" w16cid:durableId="1205871257">
    <w:abstractNumId w:val="95"/>
  </w:num>
  <w:num w:numId="68" w16cid:durableId="310866833">
    <w:abstractNumId w:val="242"/>
  </w:num>
  <w:num w:numId="69" w16cid:durableId="1565097879">
    <w:abstractNumId w:val="35"/>
  </w:num>
  <w:num w:numId="70" w16cid:durableId="267398241">
    <w:abstractNumId w:val="50"/>
  </w:num>
  <w:num w:numId="71" w16cid:durableId="1046374539">
    <w:abstractNumId w:val="19"/>
  </w:num>
  <w:num w:numId="72" w16cid:durableId="1803116359">
    <w:abstractNumId w:val="148"/>
  </w:num>
  <w:num w:numId="73" w16cid:durableId="1623069944">
    <w:abstractNumId w:val="63"/>
  </w:num>
  <w:num w:numId="74" w16cid:durableId="803347213">
    <w:abstractNumId w:val="188"/>
  </w:num>
  <w:num w:numId="75" w16cid:durableId="1876236808">
    <w:abstractNumId w:val="161"/>
  </w:num>
  <w:num w:numId="76" w16cid:durableId="1443181842">
    <w:abstractNumId w:val="103"/>
  </w:num>
  <w:num w:numId="77" w16cid:durableId="516651307">
    <w:abstractNumId w:val="248"/>
  </w:num>
  <w:num w:numId="78" w16cid:durableId="1236356478">
    <w:abstractNumId w:val="108"/>
  </w:num>
  <w:num w:numId="79" w16cid:durableId="264653848">
    <w:abstractNumId w:val="81"/>
  </w:num>
  <w:num w:numId="80" w16cid:durableId="2069302207">
    <w:abstractNumId w:val="127"/>
  </w:num>
  <w:num w:numId="81" w16cid:durableId="1100444408">
    <w:abstractNumId w:val="38"/>
  </w:num>
  <w:num w:numId="82" w16cid:durableId="1941528767">
    <w:abstractNumId w:val="230"/>
  </w:num>
  <w:num w:numId="83" w16cid:durableId="1191987814">
    <w:abstractNumId w:val="272"/>
  </w:num>
  <w:num w:numId="84" w16cid:durableId="1766268926">
    <w:abstractNumId w:val="267"/>
  </w:num>
  <w:num w:numId="85" w16cid:durableId="375856615">
    <w:abstractNumId w:val="106"/>
  </w:num>
  <w:num w:numId="86" w16cid:durableId="1548566941">
    <w:abstractNumId w:val="213"/>
  </w:num>
  <w:num w:numId="87" w16cid:durableId="1696926729">
    <w:abstractNumId w:val="296"/>
  </w:num>
  <w:num w:numId="88" w16cid:durableId="1428960974">
    <w:abstractNumId w:val="176"/>
  </w:num>
  <w:num w:numId="89" w16cid:durableId="1277442793">
    <w:abstractNumId w:val="172"/>
  </w:num>
  <w:num w:numId="90" w16cid:durableId="1258977715">
    <w:abstractNumId w:val="10"/>
  </w:num>
  <w:num w:numId="91" w16cid:durableId="280573087">
    <w:abstractNumId w:val="209"/>
  </w:num>
  <w:num w:numId="92" w16cid:durableId="1950239082">
    <w:abstractNumId w:val="112"/>
  </w:num>
  <w:num w:numId="93" w16cid:durableId="717163106">
    <w:abstractNumId w:val="157"/>
  </w:num>
  <w:num w:numId="94" w16cid:durableId="283928467">
    <w:abstractNumId w:val="285"/>
  </w:num>
  <w:num w:numId="95" w16cid:durableId="940720980">
    <w:abstractNumId w:val="159"/>
  </w:num>
  <w:num w:numId="96" w16cid:durableId="894045870">
    <w:abstractNumId w:val="245"/>
  </w:num>
  <w:num w:numId="97" w16cid:durableId="1591892589">
    <w:abstractNumId w:val="214"/>
  </w:num>
  <w:num w:numId="98" w16cid:durableId="1410150147">
    <w:abstractNumId w:val="87"/>
  </w:num>
  <w:num w:numId="99" w16cid:durableId="803473612">
    <w:abstractNumId w:val="22"/>
  </w:num>
  <w:num w:numId="100" w16cid:durableId="740253596">
    <w:abstractNumId w:val="100"/>
  </w:num>
  <w:num w:numId="101" w16cid:durableId="541212924">
    <w:abstractNumId w:val="56"/>
  </w:num>
  <w:num w:numId="102" w16cid:durableId="1424103603">
    <w:abstractNumId w:val="228"/>
  </w:num>
  <w:num w:numId="103" w16cid:durableId="1260865860">
    <w:abstractNumId w:val="207"/>
  </w:num>
  <w:num w:numId="104" w16cid:durableId="1775901355">
    <w:abstractNumId w:val="6"/>
  </w:num>
  <w:num w:numId="105" w16cid:durableId="892615624">
    <w:abstractNumId w:val="15"/>
  </w:num>
  <w:num w:numId="106" w16cid:durableId="707493803">
    <w:abstractNumId w:val="131"/>
  </w:num>
  <w:num w:numId="107" w16cid:durableId="174928582">
    <w:abstractNumId w:val="64"/>
  </w:num>
  <w:num w:numId="108" w16cid:durableId="305860830">
    <w:abstractNumId w:val="92"/>
  </w:num>
  <w:num w:numId="109" w16cid:durableId="1217664812">
    <w:abstractNumId w:val="295"/>
  </w:num>
  <w:num w:numId="110" w16cid:durableId="491605939">
    <w:abstractNumId w:val="192"/>
  </w:num>
  <w:num w:numId="111" w16cid:durableId="1219708663">
    <w:abstractNumId w:val="210"/>
  </w:num>
  <w:num w:numId="112" w16cid:durableId="1191187104">
    <w:abstractNumId w:val="220"/>
  </w:num>
  <w:num w:numId="113" w16cid:durableId="1165364501">
    <w:abstractNumId w:val="132"/>
  </w:num>
  <w:num w:numId="114" w16cid:durableId="55397686">
    <w:abstractNumId w:val="121"/>
  </w:num>
  <w:num w:numId="115" w16cid:durableId="1271934310">
    <w:abstractNumId w:val="256"/>
  </w:num>
  <w:num w:numId="116" w16cid:durableId="1393426697">
    <w:abstractNumId w:val="241"/>
  </w:num>
  <w:num w:numId="117" w16cid:durableId="1550990911">
    <w:abstractNumId w:val="180"/>
  </w:num>
  <w:num w:numId="118" w16cid:durableId="917635426">
    <w:abstractNumId w:val="73"/>
  </w:num>
  <w:num w:numId="119" w16cid:durableId="1229654126">
    <w:abstractNumId w:val="284"/>
  </w:num>
  <w:num w:numId="120" w16cid:durableId="160780449">
    <w:abstractNumId w:val="122"/>
  </w:num>
  <w:num w:numId="121" w16cid:durableId="2097163727">
    <w:abstractNumId w:val="62"/>
  </w:num>
  <w:num w:numId="122" w16cid:durableId="164369125">
    <w:abstractNumId w:val="288"/>
  </w:num>
  <w:num w:numId="123" w16cid:durableId="366493677">
    <w:abstractNumId w:val="83"/>
  </w:num>
  <w:num w:numId="124" w16cid:durableId="922681872">
    <w:abstractNumId w:val="270"/>
  </w:num>
  <w:num w:numId="125" w16cid:durableId="1177695020">
    <w:abstractNumId w:val="60"/>
  </w:num>
  <w:num w:numId="126" w16cid:durableId="1470904994">
    <w:abstractNumId w:val="68"/>
  </w:num>
  <w:num w:numId="127" w16cid:durableId="644896219">
    <w:abstractNumId w:val="33"/>
  </w:num>
  <w:num w:numId="128" w16cid:durableId="2049451843">
    <w:abstractNumId w:val="28"/>
  </w:num>
  <w:num w:numId="129" w16cid:durableId="1864904359">
    <w:abstractNumId w:val="76"/>
  </w:num>
  <w:num w:numId="130" w16cid:durableId="1761952261">
    <w:abstractNumId w:val="198"/>
  </w:num>
  <w:num w:numId="131" w16cid:durableId="1876388595">
    <w:abstractNumId w:val="278"/>
  </w:num>
  <w:num w:numId="132" w16cid:durableId="1262028907">
    <w:abstractNumId w:val="119"/>
  </w:num>
  <w:num w:numId="133" w16cid:durableId="511605855">
    <w:abstractNumId w:val="194"/>
  </w:num>
  <w:num w:numId="134" w16cid:durableId="299461237">
    <w:abstractNumId w:val="151"/>
  </w:num>
  <w:num w:numId="135" w16cid:durableId="1169827005">
    <w:abstractNumId w:val="23"/>
  </w:num>
  <w:num w:numId="136" w16cid:durableId="550192650">
    <w:abstractNumId w:val="255"/>
  </w:num>
  <w:num w:numId="137" w16cid:durableId="684600901">
    <w:abstractNumId w:val="117"/>
  </w:num>
  <w:num w:numId="138" w16cid:durableId="1240359133">
    <w:abstractNumId w:val="61"/>
  </w:num>
  <w:num w:numId="139" w16cid:durableId="1240215282">
    <w:abstractNumId w:val="135"/>
  </w:num>
  <w:num w:numId="140" w16cid:durableId="1057240819">
    <w:abstractNumId w:val="261"/>
  </w:num>
  <w:num w:numId="141" w16cid:durableId="1386484818">
    <w:abstractNumId w:val="13"/>
  </w:num>
  <w:num w:numId="142" w16cid:durableId="837501166">
    <w:abstractNumId w:val="166"/>
  </w:num>
  <w:num w:numId="143" w16cid:durableId="586155810">
    <w:abstractNumId w:val="153"/>
  </w:num>
  <w:num w:numId="144" w16cid:durableId="1114591837">
    <w:abstractNumId w:val="206"/>
  </w:num>
  <w:num w:numId="145" w16cid:durableId="271013894">
    <w:abstractNumId w:val="216"/>
  </w:num>
  <w:num w:numId="146" w16cid:durableId="892228736">
    <w:abstractNumId w:val="193"/>
  </w:num>
  <w:num w:numId="147" w16cid:durableId="1783525006">
    <w:abstractNumId w:val="252"/>
  </w:num>
  <w:num w:numId="148" w16cid:durableId="429743603">
    <w:abstractNumId w:val="163"/>
  </w:num>
  <w:num w:numId="149" w16cid:durableId="1978992858">
    <w:abstractNumId w:val="130"/>
  </w:num>
  <w:num w:numId="150" w16cid:durableId="836967953">
    <w:abstractNumId w:val="97"/>
  </w:num>
  <w:num w:numId="151" w16cid:durableId="547454128">
    <w:abstractNumId w:val="177"/>
  </w:num>
  <w:num w:numId="152" w16cid:durableId="1148594949">
    <w:abstractNumId w:val="196"/>
  </w:num>
  <w:num w:numId="153" w16cid:durableId="441340652">
    <w:abstractNumId w:val="250"/>
  </w:num>
  <w:num w:numId="154" w16cid:durableId="1991668608">
    <w:abstractNumId w:val="88"/>
  </w:num>
  <w:num w:numId="155" w16cid:durableId="1389449904">
    <w:abstractNumId w:val="283"/>
  </w:num>
  <w:num w:numId="156" w16cid:durableId="2014452101">
    <w:abstractNumId w:val="133"/>
  </w:num>
  <w:num w:numId="157" w16cid:durableId="709453884">
    <w:abstractNumId w:val="169"/>
  </w:num>
  <w:num w:numId="158" w16cid:durableId="57482314">
    <w:abstractNumId w:val="7"/>
  </w:num>
  <w:num w:numId="159" w16cid:durableId="1848521483">
    <w:abstractNumId w:val="165"/>
  </w:num>
  <w:num w:numId="160" w16cid:durableId="1492674022">
    <w:abstractNumId w:val="32"/>
  </w:num>
  <w:num w:numId="161" w16cid:durableId="1949923679">
    <w:abstractNumId w:val="141"/>
  </w:num>
  <w:num w:numId="162" w16cid:durableId="1917013528">
    <w:abstractNumId w:val="259"/>
  </w:num>
  <w:num w:numId="163" w16cid:durableId="943347649">
    <w:abstractNumId w:val="82"/>
  </w:num>
  <w:num w:numId="164" w16cid:durableId="1234393018">
    <w:abstractNumId w:val="136"/>
  </w:num>
  <w:num w:numId="165" w16cid:durableId="1407921312">
    <w:abstractNumId w:val="65"/>
  </w:num>
  <w:num w:numId="166" w16cid:durableId="697320959">
    <w:abstractNumId w:val="235"/>
  </w:num>
  <w:num w:numId="167" w16cid:durableId="306863238">
    <w:abstractNumId w:val="120"/>
  </w:num>
  <w:num w:numId="168" w16cid:durableId="1216625336">
    <w:abstractNumId w:val="58"/>
  </w:num>
  <w:num w:numId="169" w16cid:durableId="1509439523">
    <w:abstractNumId w:val="200"/>
  </w:num>
  <w:num w:numId="170" w16cid:durableId="1314142188">
    <w:abstractNumId w:val="105"/>
  </w:num>
  <w:num w:numId="171" w16cid:durableId="573465968">
    <w:abstractNumId w:val="275"/>
  </w:num>
  <w:num w:numId="172" w16cid:durableId="1275358541">
    <w:abstractNumId w:val="260"/>
  </w:num>
  <w:num w:numId="173" w16cid:durableId="2010671170">
    <w:abstractNumId w:val="297"/>
  </w:num>
  <w:num w:numId="174" w16cid:durableId="75588971">
    <w:abstractNumId w:val="226"/>
  </w:num>
  <w:num w:numId="175" w16cid:durableId="133723118">
    <w:abstractNumId w:val="234"/>
  </w:num>
  <w:num w:numId="176" w16cid:durableId="818693116">
    <w:abstractNumId w:val="36"/>
  </w:num>
  <w:num w:numId="177" w16cid:durableId="1604418088">
    <w:abstractNumId w:val="17"/>
  </w:num>
  <w:num w:numId="178" w16cid:durableId="523633918">
    <w:abstractNumId w:val="55"/>
  </w:num>
  <w:num w:numId="179" w16cid:durableId="730349875">
    <w:abstractNumId w:val="144"/>
  </w:num>
  <w:num w:numId="180" w16cid:durableId="2070838276">
    <w:abstractNumId w:val="21"/>
  </w:num>
  <w:num w:numId="181" w16cid:durableId="2142111336">
    <w:abstractNumId w:val="282"/>
  </w:num>
  <w:num w:numId="182" w16cid:durableId="2041321792">
    <w:abstractNumId w:val="173"/>
  </w:num>
  <w:num w:numId="183" w16cid:durableId="1387609208">
    <w:abstractNumId w:val="24"/>
  </w:num>
  <w:num w:numId="184" w16cid:durableId="2106799456">
    <w:abstractNumId w:val="289"/>
  </w:num>
  <w:num w:numId="185" w16cid:durableId="1676689537">
    <w:abstractNumId w:val="197"/>
  </w:num>
  <w:num w:numId="186" w16cid:durableId="1653756564">
    <w:abstractNumId w:val="273"/>
  </w:num>
  <w:num w:numId="187" w16cid:durableId="916792916">
    <w:abstractNumId w:val="124"/>
  </w:num>
  <w:num w:numId="188" w16cid:durableId="619577569">
    <w:abstractNumId w:val="181"/>
  </w:num>
  <w:num w:numId="189" w16cid:durableId="1998027075">
    <w:abstractNumId w:val="138"/>
  </w:num>
  <w:num w:numId="190" w16cid:durableId="1562671441">
    <w:abstractNumId w:val="277"/>
  </w:num>
  <w:num w:numId="191" w16cid:durableId="1595429987">
    <w:abstractNumId w:val="233"/>
  </w:num>
  <w:num w:numId="192" w16cid:durableId="743800621">
    <w:abstractNumId w:val="190"/>
  </w:num>
  <w:num w:numId="193" w16cid:durableId="1208877349">
    <w:abstractNumId w:val="257"/>
  </w:num>
  <w:num w:numId="194" w16cid:durableId="538326749">
    <w:abstractNumId w:val="160"/>
  </w:num>
  <w:num w:numId="195" w16cid:durableId="1980453996">
    <w:abstractNumId w:val="52"/>
  </w:num>
  <w:num w:numId="196" w16cid:durableId="1860119773">
    <w:abstractNumId w:val="40"/>
  </w:num>
  <w:num w:numId="197" w16cid:durableId="1644043485">
    <w:abstractNumId w:val="71"/>
  </w:num>
  <w:num w:numId="198" w16cid:durableId="305941581">
    <w:abstractNumId w:val="222"/>
  </w:num>
  <w:num w:numId="199" w16cid:durableId="1996688909">
    <w:abstractNumId w:val="299"/>
  </w:num>
  <w:num w:numId="200" w16cid:durableId="942034094">
    <w:abstractNumId w:val="265"/>
  </w:num>
  <w:num w:numId="201" w16cid:durableId="82726811">
    <w:abstractNumId w:val="187"/>
  </w:num>
  <w:num w:numId="202" w16cid:durableId="877165155">
    <w:abstractNumId w:val="262"/>
  </w:num>
  <w:num w:numId="203" w16cid:durableId="1966545708">
    <w:abstractNumId w:val="167"/>
  </w:num>
  <w:num w:numId="204" w16cid:durableId="463086829">
    <w:abstractNumId w:val="147"/>
  </w:num>
  <w:num w:numId="205" w16cid:durableId="1483618034">
    <w:abstractNumId w:val="224"/>
  </w:num>
  <w:num w:numId="206" w16cid:durableId="860893206">
    <w:abstractNumId w:val="195"/>
  </w:num>
  <w:num w:numId="207" w16cid:durableId="166409257">
    <w:abstractNumId w:val="90"/>
  </w:num>
  <w:num w:numId="208" w16cid:durableId="1218786353">
    <w:abstractNumId w:val="70"/>
  </w:num>
  <w:num w:numId="209" w16cid:durableId="51857699">
    <w:abstractNumId w:val="243"/>
  </w:num>
  <w:num w:numId="210" w16cid:durableId="448472677">
    <w:abstractNumId w:val="290"/>
  </w:num>
  <w:num w:numId="211" w16cid:durableId="406347993">
    <w:abstractNumId w:val="137"/>
  </w:num>
  <w:num w:numId="212" w16cid:durableId="669719573">
    <w:abstractNumId w:val="223"/>
  </w:num>
  <w:num w:numId="213" w16cid:durableId="2069379071">
    <w:abstractNumId w:val="5"/>
  </w:num>
  <w:num w:numId="214" w16cid:durableId="1970629872">
    <w:abstractNumId w:val="286"/>
  </w:num>
  <w:num w:numId="215" w16cid:durableId="61681119">
    <w:abstractNumId w:val="294"/>
  </w:num>
  <w:num w:numId="216" w16cid:durableId="299120340">
    <w:abstractNumId w:val="185"/>
  </w:num>
  <w:num w:numId="217" w16cid:durableId="497696119">
    <w:abstractNumId w:val="129"/>
  </w:num>
  <w:num w:numId="218" w16cid:durableId="737829619">
    <w:abstractNumId w:val="125"/>
  </w:num>
  <w:num w:numId="219" w16cid:durableId="1407990794">
    <w:abstractNumId w:val="30"/>
  </w:num>
  <w:num w:numId="220" w16cid:durableId="164590825">
    <w:abstractNumId w:val="158"/>
  </w:num>
  <w:num w:numId="221" w16cid:durableId="1911497465">
    <w:abstractNumId w:val="34"/>
  </w:num>
  <w:num w:numId="222" w16cid:durableId="1656760983">
    <w:abstractNumId w:val="140"/>
  </w:num>
  <w:num w:numId="223" w16cid:durableId="712538983">
    <w:abstractNumId w:val="94"/>
  </w:num>
  <w:num w:numId="224" w16cid:durableId="1700624757">
    <w:abstractNumId w:val="116"/>
  </w:num>
  <w:num w:numId="225" w16cid:durableId="1590429685">
    <w:abstractNumId w:val="208"/>
  </w:num>
  <w:num w:numId="226" w16cid:durableId="1892764132">
    <w:abstractNumId w:val="274"/>
  </w:num>
  <w:num w:numId="227" w16cid:durableId="14115860">
    <w:abstractNumId w:val="118"/>
  </w:num>
  <w:num w:numId="228" w16cid:durableId="476992104">
    <w:abstractNumId w:val="145"/>
  </w:num>
  <w:num w:numId="229" w16cid:durableId="936643047">
    <w:abstractNumId w:val="239"/>
  </w:num>
  <w:num w:numId="230" w16cid:durableId="103504318">
    <w:abstractNumId w:val="171"/>
  </w:num>
  <w:num w:numId="231" w16cid:durableId="404187419">
    <w:abstractNumId w:val="143"/>
  </w:num>
  <w:num w:numId="232" w16cid:durableId="124010898">
    <w:abstractNumId w:val="204"/>
  </w:num>
  <w:num w:numId="233" w16cid:durableId="1332030975">
    <w:abstractNumId w:val="27"/>
  </w:num>
  <w:num w:numId="234" w16cid:durableId="1485201418">
    <w:abstractNumId w:val="244"/>
  </w:num>
  <w:num w:numId="235" w16cid:durableId="635062383">
    <w:abstractNumId w:val="266"/>
  </w:num>
  <w:num w:numId="236" w16cid:durableId="512376568">
    <w:abstractNumId w:val="279"/>
  </w:num>
  <w:num w:numId="237" w16cid:durableId="1944222450">
    <w:abstractNumId w:val="186"/>
  </w:num>
  <w:num w:numId="238" w16cid:durableId="1907446921">
    <w:abstractNumId w:val="217"/>
  </w:num>
  <w:num w:numId="239" w16cid:durableId="1232303798">
    <w:abstractNumId w:val="254"/>
  </w:num>
  <w:num w:numId="240" w16cid:durableId="1835105024">
    <w:abstractNumId w:val="25"/>
  </w:num>
  <w:num w:numId="241" w16cid:durableId="261030945">
    <w:abstractNumId w:val="67"/>
  </w:num>
  <w:num w:numId="242" w16cid:durableId="266347813">
    <w:abstractNumId w:val="115"/>
  </w:num>
  <w:num w:numId="243" w16cid:durableId="812671601">
    <w:abstractNumId w:val="104"/>
  </w:num>
  <w:num w:numId="244" w16cid:durableId="1326519563">
    <w:abstractNumId w:val="80"/>
  </w:num>
  <w:num w:numId="245" w16cid:durableId="56822268">
    <w:abstractNumId w:val="14"/>
  </w:num>
  <w:num w:numId="246" w16cid:durableId="1259558610">
    <w:abstractNumId w:val="2"/>
  </w:num>
  <w:num w:numId="247" w16cid:durableId="1825077137">
    <w:abstractNumId w:val="237"/>
  </w:num>
  <w:num w:numId="248" w16cid:durableId="973950390">
    <w:abstractNumId w:val="3"/>
  </w:num>
  <w:num w:numId="249" w16cid:durableId="164514058">
    <w:abstractNumId w:val="168"/>
  </w:num>
  <w:num w:numId="250" w16cid:durableId="1025904579">
    <w:abstractNumId w:val="111"/>
  </w:num>
  <w:num w:numId="251" w16cid:durableId="1279147478">
    <w:abstractNumId w:val="51"/>
  </w:num>
  <w:num w:numId="252" w16cid:durableId="2026864512">
    <w:abstractNumId w:val="12"/>
  </w:num>
  <w:num w:numId="253" w16cid:durableId="935165643">
    <w:abstractNumId w:val="75"/>
  </w:num>
  <w:num w:numId="254" w16cid:durableId="210381979">
    <w:abstractNumId w:val="264"/>
  </w:num>
  <w:num w:numId="255" w16cid:durableId="1759401049">
    <w:abstractNumId w:val="164"/>
  </w:num>
  <w:num w:numId="256" w16cid:durableId="587159835">
    <w:abstractNumId w:val="42"/>
  </w:num>
  <w:num w:numId="257" w16cid:durableId="893934389">
    <w:abstractNumId w:val="229"/>
  </w:num>
  <w:num w:numId="258" w16cid:durableId="1244535131">
    <w:abstractNumId w:val="174"/>
  </w:num>
  <w:num w:numId="259" w16cid:durableId="2065370471">
    <w:abstractNumId w:val="16"/>
  </w:num>
  <w:num w:numId="260" w16cid:durableId="1307511267">
    <w:abstractNumId w:val="1"/>
  </w:num>
  <w:num w:numId="261" w16cid:durableId="1851214394">
    <w:abstractNumId w:val="219"/>
  </w:num>
  <w:num w:numId="262" w16cid:durableId="1156263522">
    <w:abstractNumId w:val="215"/>
  </w:num>
  <w:num w:numId="263" w16cid:durableId="272372536">
    <w:abstractNumId w:val="203"/>
  </w:num>
  <w:num w:numId="264" w16cid:durableId="188959010">
    <w:abstractNumId w:val="101"/>
  </w:num>
  <w:num w:numId="265" w16cid:durableId="1600092210">
    <w:abstractNumId w:val="268"/>
  </w:num>
  <w:num w:numId="266" w16cid:durableId="1791196206">
    <w:abstractNumId w:val="0"/>
  </w:num>
  <w:num w:numId="267" w16cid:durableId="858542678">
    <w:abstractNumId w:val="107"/>
  </w:num>
  <w:num w:numId="268" w16cid:durableId="81076153">
    <w:abstractNumId w:val="98"/>
  </w:num>
  <w:num w:numId="269" w16cid:durableId="766387470">
    <w:abstractNumId w:val="66"/>
  </w:num>
  <w:num w:numId="270" w16cid:durableId="1224291202">
    <w:abstractNumId w:val="212"/>
  </w:num>
  <w:num w:numId="271" w16cid:durableId="823936272">
    <w:abstractNumId w:val="139"/>
  </w:num>
  <w:num w:numId="272" w16cid:durableId="1060444368">
    <w:abstractNumId w:val="249"/>
  </w:num>
  <w:num w:numId="273" w16cid:durableId="309288006">
    <w:abstractNumId w:val="142"/>
  </w:num>
  <w:num w:numId="274" w16cid:durableId="620459390">
    <w:abstractNumId w:val="128"/>
  </w:num>
  <w:num w:numId="275" w16cid:durableId="671757798">
    <w:abstractNumId w:val="126"/>
  </w:num>
  <w:num w:numId="276" w16cid:durableId="86584389">
    <w:abstractNumId w:val="93"/>
  </w:num>
  <w:num w:numId="277" w16cid:durableId="42293932">
    <w:abstractNumId w:val="211"/>
  </w:num>
  <w:num w:numId="278" w16cid:durableId="1335373095">
    <w:abstractNumId w:val="269"/>
  </w:num>
  <w:num w:numId="279" w16cid:durableId="1970625060">
    <w:abstractNumId w:val="183"/>
  </w:num>
  <w:num w:numId="280" w16cid:durableId="1722244264">
    <w:abstractNumId w:val="236"/>
  </w:num>
  <w:num w:numId="281" w16cid:durableId="1425953309">
    <w:abstractNumId w:val="4"/>
  </w:num>
  <w:num w:numId="282" w16cid:durableId="1861503503">
    <w:abstractNumId w:val="49"/>
  </w:num>
  <w:num w:numId="283" w16cid:durableId="1766534831">
    <w:abstractNumId w:val="218"/>
  </w:num>
  <w:num w:numId="284" w16cid:durableId="437335887">
    <w:abstractNumId w:val="178"/>
  </w:num>
  <w:num w:numId="285" w16cid:durableId="417025874">
    <w:abstractNumId w:val="291"/>
  </w:num>
  <w:num w:numId="286" w16cid:durableId="1029377568">
    <w:abstractNumId w:val="91"/>
  </w:num>
  <w:num w:numId="287" w16cid:durableId="361521705">
    <w:abstractNumId w:val="258"/>
  </w:num>
  <w:num w:numId="288" w16cid:durableId="169031333">
    <w:abstractNumId w:val="99"/>
  </w:num>
  <w:num w:numId="289" w16cid:durableId="363364115">
    <w:abstractNumId w:val="96"/>
  </w:num>
  <w:num w:numId="290" w16cid:durableId="1441030766">
    <w:abstractNumId w:val="45"/>
  </w:num>
  <w:num w:numId="291" w16cid:durableId="1431926280">
    <w:abstractNumId w:val="201"/>
  </w:num>
  <w:num w:numId="292" w16cid:durableId="1493914976">
    <w:abstractNumId w:val="152"/>
  </w:num>
  <w:num w:numId="293" w16cid:durableId="379087541">
    <w:abstractNumId w:val="39"/>
  </w:num>
  <w:num w:numId="294" w16cid:durableId="2055501629">
    <w:abstractNumId w:val="8"/>
  </w:num>
  <w:num w:numId="295" w16cid:durableId="1018658669">
    <w:abstractNumId w:val="271"/>
  </w:num>
  <w:num w:numId="296" w16cid:durableId="1338657035">
    <w:abstractNumId w:val="149"/>
  </w:num>
  <w:num w:numId="297" w16cid:durableId="1755977261">
    <w:abstractNumId w:val="293"/>
  </w:num>
  <w:num w:numId="298" w16cid:durableId="2036618230">
    <w:abstractNumId w:val="79"/>
  </w:num>
  <w:num w:numId="299" w16cid:durableId="1271012513">
    <w:abstractNumId w:val="102"/>
  </w:num>
  <w:num w:numId="300" w16cid:durableId="24597404">
    <w:abstractNumId w:val="225"/>
  </w:num>
  <w:num w:numId="301" w16cid:durableId="1642536342">
    <w:abstractNumId w:val="74"/>
  </w:num>
  <w:num w:numId="302" w16cid:durableId="1237663112">
    <w:abstractNumId w:val="202"/>
  </w:num>
  <w:num w:numId="303" w16cid:durableId="1463503384">
    <w:abstractNumId w:val="280"/>
  </w:num>
  <w:num w:numId="304" w16cid:durableId="769811645">
    <w:abstractNumId w:val="20"/>
  </w:num>
  <w:num w:numId="305" w16cid:durableId="1959946328">
    <w:abstractNumId w:val="199"/>
  </w:num>
  <w:num w:numId="306" w16cid:durableId="1194533804">
    <w:abstractNumId w:val="251"/>
  </w:num>
  <w:num w:numId="307" w16cid:durableId="1144199461">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639720379">
    <w:abstractNumId w:val="89"/>
  </w:num>
  <w:num w:numId="309" w16cid:durableId="698626812">
    <w:abstractNumId w:val="170"/>
  </w:num>
  <w:num w:numId="310" w16cid:durableId="996572863">
    <w:abstractNumId w:val="2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0D6475"/>
    <w:rsid w:val="00075492"/>
    <w:rsid w:val="000D6475"/>
    <w:rsid w:val="00547E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47612-042C-47B3-8035-C377C1E6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310"/>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Id w:val="306"/>
      </w:numPr>
      <w:tabs>
        <w:tab w:val="left" w:pos="340"/>
      </w:tabs>
      <w:spacing w:before="360" w:line="256" w:lineRule="exact"/>
      <w:ind w:left="340" w:hanging="340"/>
      <w:outlineLvl w:val="1"/>
    </w:pPr>
    <w:rPr>
      <w:sz w:val="23"/>
    </w:rPr>
  </w:style>
  <w:style w:type="paragraph" w:styleId="Rubrik3">
    <w:name w:val="heading 3"/>
    <w:basedOn w:val="Rubrik1"/>
    <w:next w:val="Normal"/>
    <w:qFormat/>
    <w:pPr>
      <w:numPr>
        <w:ilvl w:val="2"/>
      </w:numPr>
      <w:tabs>
        <w:tab w:val="clear" w:pos="720"/>
      </w:tabs>
      <w:spacing w:before="398" w:line="214" w:lineRule="exact"/>
      <w:ind w:left="567" w:hanging="567"/>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0"/>
        <w:numId w:val="0"/>
      </w:num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right" w:leader="dot" w:pos="5953"/>
      </w:tabs>
      <w:spacing w:before="0"/>
      <w:ind w:left="380" w:right="283" w:hanging="380"/>
      <w:jc w:val="left"/>
    </w:pPr>
  </w:style>
  <w:style w:type="paragraph" w:styleId="Innehll2">
    <w:name w:val="toc 2"/>
    <w:basedOn w:val="Normal"/>
    <w:next w:val="Normal"/>
    <w:semiHidden/>
    <w:pPr>
      <w:tabs>
        <w:tab w:val="right" w:leader="dot" w:pos="5886"/>
        <w:tab w:val="right" w:leader="dot" w:pos="5953"/>
      </w:tabs>
      <w:spacing w:before="0"/>
      <w:ind w:left="709" w:right="283" w:hanging="425"/>
      <w:jc w:val="left"/>
    </w:pPr>
    <w:rPr>
      <w:noProof/>
    </w:rPr>
  </w:style>
  <w:style w:type="paragraph" w:styleId="Innehll3">
    <w:name w:val="toc 3"/>
    <w:basedOn w:val="Normal"/>
    <w:next w:val="Normal"/>
    <w:autoRedefine/>
    <w:semiHidden/>
    <w:pPr>
      <w:tabs>
        <w:tab w:val="left" w:pos="993"/>
        <w:tab w:val="right" w:leader="dot" w:pos="5886"/>
        <w:tab w:val="right" w:leader="dot" w:pos="5953"/>
      </w:tabs>
      <w:spacing w:before="0"/>
      <w:ind w:left="993" w:right="284" w:hanging="568"/>
      <w:jc w:val="left"/>
    </w:pPr>
    <w:rPr>
      <w:noProof/>
    </w:r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2-Utannumrering">
    <w:name w:val="Rubrik 2 - Utan numrering"/>
    <w:basedOn w:val="Rubrik2"/>
    <w:next w:val="Normal"/>
    <w:pPr>
      <w:numPr>
        <w:ilvl w:val="0"/>
        <w:numId w:val="0"/>
      </w:numPr>
      <w:tabs>
        <w:tab w:val="clear" w:pos="227"/>
        <w:tab w:val="clear" w:pos="340"/>
      </w:tabs>
    </w:pPr>
  </w:style>
  <w:style w:type="paragraph" w:customStyle="1" w:styleId="Rubrik3-Utannumrering">
    <w:name w:val="Rubrik 3 - Utan numrering"/>
    <w:basedOn w:val="Rubrik3"/>
    <w:next w:val="Normal"/>
    <w:pPr>
      <w:numPr>
        <w:ilvl w:val="0"/>
        <w:numId w:val="0"/>
      </w:numPr>
      <w:tabs>
        <w:tab w:val="clear" w:pos="227"/>
      </w:tabs>
      <w:spacing w:before="300"/>
    </w:pPr>
  </w:style>
  <w:style w:type="paragraph" w:customStyle="1" w:styleId="Tryckort">
    <w:name w:val="Tryckort"/>
    <w:basedOn w:val="Normal"/>
    <w:pPr>
      <w:framePr w:wrap="around" w:hAnchor="text" w:yAlign="bottom"/>
      <w:spacing w:before="0" w:line="160" w:lineRule="exact"/>
    </w:pPr>
    <w:rPr>
      <w:sz w:val="16"/>
    </w:rPr>
  </w:style>
  <w:style w:type="character" w:styleId="Hyperlnk">
    <w:name w:val="Hyperlink"/>
    <w:basedOn w:val="Standardstycketeckensnitt"/>
    <w:semiHidden/>
    <w:rPr>
      <w:color w:val="0000FF"/>
      <w:u w:val="single"/>
    </w:rPr>
  </w:style>
  <w:style w:type="character" w:styleId="Fotnotsreferens">
    <w:name w:val="footnote reference"/>
    <w:basedOn w:val="Standardstycketeckensnitt"/>
    <w:semiHidden/>
    <w:rPr>
      <w:vertAlign w:val="superscript"/>
    </w:rPr>
  </w:style>
  <w:style w:type="paragraph" w:styleId="Beskrivning">
    <w:name w:val="caption"/>
    <w:basedOn w:val="Normal"/>
    <w:next w:val="Normal"/>
    <w:qFormat/>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xfood.se/om_axfood/om_axfood2.htm" TargetMode="External"/><Relationship Id="rId2" Type="http://schemas.openxmlformats.org/officeDocument/2006/relationships/hyperlink" Target="http://www.li.se/0-0.htm" TargetMode="External"/><Relationship Id="rId1" Type="http://schemas.openxmlformats.org/officeDocument/2006/relationships/hyperlink" Target="http://www.livsmedelssverige.org/jordbord/industri.htm" TargetMode="External"/><Relationship Id="rId4" Type="http://schemas.openxmlformats.org/officeDocument/2006/relationships/hyperlink" Target="http://www.konsumentverket.se/html-sidor/statistik_2000/Omsattning.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47527</Words>
  <Characters>319383</Characters>
  <Application>Microsoft Office Word</Application>
  <DocSecurity>4</DocSecurity>
  <Lines>7258</Lines>
  <Paragraphs>3109</Paragraphs>
  <ScaleCrop>false</ScaleCrop>
  <HeadingPairs>
    <vt:vector size="4" baseType="variant">
      <vt:variant>
        <vt:lpstr>Title</vt:lpstr>
      </vt:variant>
      <vt:variant>
        <vt:i4>1</vt:i4>
      </vt:variant>
      <vt:variant>
        <vt:lpstr>Rubriker</vt:lpstr>
      </vt:variant>
      <vt:variant>
        <vt:i4>46</vt:i4>
      </vt:variant>
    </vt:vector>
  </HeadingPairs>
  <TitlesOfParts>
    <vt:vector size="47" baseType="lpstr">
      <vt:lpstr>Förslag till riksdagen</vt:lpstr>
      <vt:lpstr>Revisorernas granskning</vt:lpstr>
      <vt:lpstr>Revisorernas iakttagelser </vt:lpstr>
      <vt:lpstr>Ny information </vt:lpstr>
      <vt:lpstr>Revisorernas överväganden och förslag</vt:lpstr>
      <vt:lpstr>    Information om regelverket</vt:lpstr>
      <vt:lpstr>    Europeiska kommissionens utvärderingar  </vt:lpstr>
      <vt:lpstr>    Reformera finansierings- och avgiftssystemet</vt:lpstr>
      <vt:lpstr>    Redovisa kostnaderna</vt:lpstr>
      <vt:lpstr>    Tydliggör företagens ansvar</vt:lpstr>
      <vt:lpstr>    Livsmedelsverkets styrning och uppföljning</vt:lpstr>
      <vt:lpstr>    Länsstyrelsernas uppgifter</vt:lpstr>
      <vt:lpstr>    Kommunernas resurser</vt:lpstr>
      <vt:lpstr>    Rapporteringen behöver förbättras</vt:lpstr>
      <vt:lpstr>    Sanktioner</vt:lpstr>
      <vt:lpstr>    Ansvarsfördelningen mellan stat och kommun</vt:lpstr>
      <vt:lpstr>    Övriga frågor</vt:lpstr>
      <vt:lpstr/>
      <vt:lpstr>Förord</vt:lpstr>
      <vt:lpstr/>
      <vt:lpstr>Sammanfattning</vt:lpstr>
      <vt:lpstr>Bakgrund och uppläggning</vt:lpstr>
      <vt:lpstr>    Bakgrund</vt:lpstr>
      <vt:lpstr>    Rapportens syfte och metod </vt:lpstr>
      <vt:lpstr>        Syfte</vt:lpstr>
      <vt:lpstr>        Metod</vt:lpstr>
      <vt:lpstr>EU:s livsmedelslagstiftning</vt:lpstr>
      <vt:lpstr>    Inledning</vt:lpstr>
      <vt:lpstr>    EG:s rättsakter</vt:lpstr>
      <vt:lpstr>    Organisation </vt:lpstr>
      <vt:lpstr>    EU:s regelverk</vt:lpstr>
      <vt:lpstr>        Förordningar inom livsmedelsområdet</vt:lpstr>
      <vt:lpstr>        Direktiv inom livsmedelsområdet</vt:lpstr>
      <vt:lpstr>        Problem med EU:s lagstiftning </vt:lpstr>
      <vt:lpstr>    Kommissionens utvärderingar</vt:lpstr>
      <vt:lpstr>        Utvärderingar av livsmedelstillsynen i Sverige</vt:lpstr>
      <vt:lpstr>        Granskningar inom olika områden av livsmedelstillsynen</vt:lpstr>
      <vt:lpstr>        Livsmedelsverkets svar på kritiken</vt:lpstr>
      <vt:lpstr>        Livsmedelsverkets åtgärder med anledning av kritiken</vt:lpstr>
      <vt:lpstr>        Kritik mot andra medlemsländer</vt:lpstr>
      <vt:lpstr>    Rapportering till EU</vt:lpstr>
      <vt:lpstr>    Förändringar av EU:s lagstiftning</vt:lpstr>
      <vt:lpstr>    Sammanfattning</vt:lpstr>
      <vt:lpstr>Livsmedelssektorn</vt:lpstr>
      <vt:lpstr>    Allmänt om livsmedelssektorn</vt:lpstr>
      <vt:lpstr>Livsmedelssektorn kan delas in i fyra led som motsvarar olika skeden i livsmedel</vt:lpstr>
      <vt:lpstr>    Livsmedelsindustrin</vt:lpstr>
    </vt:vector>
  </TitlesOfParts>
  <Company>Riksdagen</Company>
  <LinksUpToDate>false</LinksUpToDate>
  <CharactersWithSpaces>363801</CharactersWithSpaces>
  <SharedDoc>false</SharedDoc>
  <HLinks>
    <vt:vector size="24" baseType="variant">
      <vt:variant>
        <vt:i4>2818067</vt:i4>
      </vt:variant>
      <vt:variant>
        <vt:i4>9</vt:i4>
      </vt:variant>
      <vt:variant>
        <vt:i4>0</vt:i4>
      </vt:variant>
      <vt:variant>
        <vt:i4>5</vt:i4>
      </vt:variant>
      <vt:variant>
        <vt:lpwstr>http://www.konsumentverket.se/html-sidor/statistik_2000/Omsattning.html</vt:lpwstr>
      </vt:variant>
      <vt:variant>
        <vt:lpwstr/>
      </vt:variant>
      <vt:variant>
        <vt:i4>5373962</vt:i4>
      </vt:variant>
      <vt:variant>
        <vt:i4>6</vt:i4>
      </vt:variant>
      <vt:variant>
        <vt:i4>0</vt:i4>
      </vt:variant>
      <vt:variant>
        <vt:i4>5</vt:i4>
      </vt:variant>
      <vt:variant>
        <vt:lpwstr>http://www.axfood.se/om_axfood/om_axfood2.htm</vt:lpwstr>
      </vt:variant>
      <vt:variant>
        <vt:lpwstr/>
      </vt:variant>
      <vt:variant>
        <vt:i4>589842</vt:i4>
      </vt:variant>
      <vt:variant>
        <vt:i4>3</vt:i4>
      </vt:variant>
      <vt:variant>
        <vt:i4>0</vt:i4>
      </vt:variant>
      <vt:variant>
        <vt:i4>5</vt:i4>
      </vt:variant>
      <vt:variant>
        <vt:lpwstr>http://www.li.se/0-0.htm</vt:lpwstr>
      </vt:variant>
      <vt:variant>
        <vt:lpwstr/>
      </vt:variant>
      <vt:variant>
        <vt:i4>6422655</vt:i4>
      </vt:variant>
      <vt:variant>
        <vt:i4>0</vt:i4>
      </vt:variant>
      <vt:variant>
        <vt:i4>0</vt:i4>
      </vt:variant>
      <vt:variant>
        <vt:i4>5</vt:i4>
      </vt:variant>
      <vt:variant>
        <vt:lpwstr>http://www.livsmedelssverige.org/jordbord/industri.htm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2002-04-18T06:48:00Z</cp:lastPrinted>
  <dcterms:created xsi:type="dcterms:W3CDTF">2025-12-16T00:53:00Z</dcterms:created>
  <dcterms:modified xsi:type="dcterms:W3CDTF">2025-12-16T00:53:00Z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RR19</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