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B581C77646489088245EFCD8D07BB6"/>
        </w:placeholder>
        <w:text/>
      </w:sdtPr>
      <w:sdtEndPr/>
      <w:sdtContent>
        <w:p w:rsidRPr="009B062B" w:rsidR="00AF30DD" w:rsidP="00E23E32" w:rsidRDefault="00AF30DD" w14:paraId="6D3E1E29" w14:textId="77777777">
          <w:pPr>
            <w:pStyle w:val="Rubrik1"/>
            <w:spacing w:after="300"/>
          </w:pPr>
          <w:r w:rsidRPr="009B062B">
            <w:t>Förslag till riksdagsbeslut</w:t>
          </w:r>
        </w:p>
      </w:sdtContent>
    </w:sdt>
    <w:sdt>
      <w:sdtPr>
        <w:alias w:val="Yrkande 1"/>
        <w:tag w:val="a3612042-d7bb-429a-a398-a63e0bf42274"/>
        <w:id w:val="1692416256"/>
        <w:lock w:val="sdtLocked"/>
      </w:sdtPr>
      <w:sdtEndPr/>
      <w:sdtContent>
        <w:p w:rsidR="008C5644" w:rsidRDefault="00B42DAE" w14:paraId="6D3E1E2A" w14:textId="77777777">
          <w:pPr>
            <w:pStyle w:val="Frslagstext"/>
            <w:numPr>
              <w:ilvl w:val="0"/>
              <w:numId w:val="0"/>
            </w:numPr>
          </w:pPr>
          <w:r>
            <w:t>Riksdagen ställer sig bakom det som anförs i motionen om möjligheten att åberopa berättelser i tidiga förhör som bevis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2E226F822342C6A6D0A3BBE75B3AA8"/>
        </w:placeholder>
        <w:text/>
      </w:sdtPr>
      <w:sdtEndPr/>
      <w:sdtContent>
        <w:p w:rsidRPr="009B062B" w:rsidR="006D79C9" w:rsidP="00333E95" w:rsidRDefault="006D79C9" w14:paraId="6D3E1E2B" w14:textId="77777777">
          <w:pPr>
            <w:pStyle w:val="Rubrik1"/>
          </w:pPr>
          <w:r>
            <w:t>Motivering</w:t>
          </w:r>
        </w:p>
      </w:sdtContent>
    </w:sdt>
    <w:p w:rsidR="00DD0F4E" w:rsidP="00DD0F4E" w:rsidRDefault="00DD0F4E" w14:paraId="6D3E1E2C" w14:textId="4C007657">
      <w:pPr>
        <w:pStyle w:val="Normalutanindragellerluft"/>
      </w:pPr>
      <w:r w:rsidRPr="00DD0F4E">
        <w:t xml:space="preserve">Det är vanligt att misstänkta gärningsmän tiger genom förundersökningen. Vare sig det beror på en utbredd tystnadskultur i den organiserade brottsligheten eller normer för unga brottsaktiva utgör fenomenet ett problem för rättsväsendet. Åtalade har efter avslutad förundersökning en rätt att ta del av förundersökningsmaterialet, vilket i sig är en förutsättning för att </w:t>
      </w:r>
      <w:r w:rsidR="00F30805">
        <w:t>de</w:t>
      </w:r>
      <w:r w:rsidRPr="00DD0F4E">
        <w:t xml:space="preserve"> ska kunna försvara sig vid rättegången. Problematiken ligger i att den åtalade parten utan att ha återgett sin historia under förundersökningen sedan kan konstruera en historia som ger svar på åklagarens bevismaterial i efterhand. En tidigare utredning, SOU 2017:98, har till del lagt fram förslag på hur en sådan problematik kan bemötas</w:t>
      </w:r>
      <w:r>
        <w:t>. Regeringen har nu lagt fram förslag som till del tillgodoser de behov som har uppkommit, vilket är välkommet.</w:t>
      </w:r>
    </w:p>
    <w:p w:rsidR="00DD0F4E" w:rsidP="00DD0F4E" w:rsidRDefault="00DD0F4E" w14:paraId="6D3E1E2D" w14:textId="77777777"/>
    <w:p w:rsidRPr="00AF3A76" w:rsidR="00AF3A76" w:rsidP="00AF3A76" w:rsidRDefault="004377E0" w14:paraId="6D3E1E2E" w14:textId="77777777">
      <w:pPr>
        <w:pStyle w:val="Rubrik2"/>
      </w:pPr>
      <w:r>
        <w:t>Möjligheten att åberopa berättelser i tidiga förhör som bevis</w:t>
      </w:r>
    </w:p>
    <w:p w:rsidRPr="00DD0F4E" w:rsidR="00DD0F4E" w:rsidP="009715A4" w:rsidRDefault="004377E0" w14:paraId="6D3E1E31" w14:textId="0BA66063">
      <w:pPr>
        <w:pStyle w:val="Normalutanindragellerluft"/>
      </w:pPr>
      <w:r>
        <w:t>Just frågan om senare tillrättalagda berättelser under domstolsförhandlingar har utgjort ett problem. Regeringen väljer i denna fråga att frångå utredningens förslag, vilket kritiseras av bl.a. Åklagarmyndigheten. Regeringen väljer att föreslå att detta kan ske när så är lämpligt, snarare än att inte acceptera det när det är olämpligt. Åklagar</w:t>
      </w:r>
      <w:r w:rsidR="00311BB4">
        <w:softHyphen/>
      </w:r>
      <w:bookmarkStart w:name="_GoBack" w:id="1"/>
      <w:bookmarkEnd w:id="1"/>
      <w:r>
        <w:t xml:space="preserve">myndigheten påpekar rätteligen att en sådan ordning skapar förutsättningar att invända </w:t>
      </w:r>
      <w:r>
        <w:lastRenderedPageBreak/>
        <w:t xml:space="preserve">mot lämpligheten och därmed riskera exempelvis inställda huvudförhandlingar. Givet de problem som </w:t>
      </w:r>
      <w:r w:rsidR="00AF3A76">
        <w:t>ansvariga myndigheter noterar finns det skäl att i</w:t>
      </w:r>
      <w:r w:rsidR="00F30805">
        <w:t xml:space="preserve"> </w:t>
      </w:r>
      <w:r w:rsidR="00AF3A76">
        <w:t xml:space="preserve">stället genomföra utredningens förslag i denna del. </w:t>
      </w:r>
    </w:p>
    <w:sdt>
      <w:sdtPr>
        <w:alias w:val="CC_Underskrifter"/>
        <w:tag w:val="CC_Underskrifter"/>
        <w:id w:val="583496634"/>
        <w:lock w:val="sdtContentLocked"/>
        <w:placeholder>
          <w:docPart w:val="3D054CB77FF94B92BCF8C7249517DD83"/>
        </w:placeholder>
      </w:sdtPr>
      <w:sdtEndPr/>
      <w:sdtContent>
        <w:p w:rsidR="00E23E32" w:rsidP="00B64D8D" w:rsidRDefault="00E23E32" w14:paraId="6D3E1E32" w14:textId="77777777"/>
        <w:p w:rsidRPr="008E0FE2" w:rsidR="004801AC" w:rsidP="00B64D8D" w:rsidRDefault="00311BB4" w14:paraId="6D3E1E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264FB1" w:rsidRDefault="00264FB1" w14:paraId="6D3E1E3D" w14:textId="77777777"/>
    <w:sectPr w:rsidR="00264F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E1E3F" w14:textId="77777777" w:rsidR="00DD0F4E" w:rsidRDefault="00DD0F4E" w:rsidP="000C1CAD">
      <w:pPr>
        <w:spacing w:line="240" w:lineRule="auto"/>
      </w:pPr>
      <w:r>
        <w:separator/>
      </w:r>
    </w:p>
  </w:endnote>
  <w:endnote w:type="continuationSeparator" w:id="0">
    <w:p w14:paraId="6D3E1E40" w14:textId="77777777" w:rsidR="00DD0F4E" w:rsidRDefault="00DD0F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E1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E1E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E1E4E" w14:textId="77777777" w:rsidR="00262EA3" w:rsidRPr="00B64D8D" w:rsidRDefault="00262EA3" w:rsidP="00B64D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E1E3D" w14:textId="77777777" w:rsidR="00DD0F4E" w:rsidRDefault="00DD0F4E" w:rsidP="000C1CAD">
      <w:pPr>
        <w:spacing w:line="240" w:lineRule="auto"/>
      </w:pPr>
      <w:r>
        <w:separator/>
      </w:r>
    </w:p>
  </w:footnote>
  <w:footnote w:type="continuationSeparator" w:id="0">
    <w:p w14:paraId="6D3E1E3E" w14:textId="77777777" w:rsidR="00DD0F4E" w:rsidRDefault="00DD0F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3E1E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3E1E50" wp14:anchorId="6D3E1E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1BB4" w14:paraId="6D3E1E53" w14:textId="77777777">
                          <w:pPr>
                            <w:jc w:val="right"/>
                          </w:pPr>
                          <w:sdt>
                            <w:sdtPr>
                              <w:alias w:val="CC_Noformat_Partikod"/>
                              <w:tag w:val="CC_Noformat_Partikod"/>
                              <w:id w:val="-53464382"/>
                              <w:placeholder>
                                <w:docPart w:val="1D186010B093470E98B49E0F99982CAE"/>
                              </w:placeholder>
                              <w:text/>
                            </w:sdtPr>
                            <w:sdtEndPr/>
                            <w:sdtContent>
                              <w:r w:rsidR="00DD0F4E">
                                <w:t>SD</w:t>
                              </w:r>
                            </w:sdtContent>
                          </w:sdt>
                          <w:sdt>
                            <w:sdtPr>
                              <w:alias w:val="CC_Noformat_Partinummer"/>
                              <w:tag w:val="CC_Noformat_Partinummer"/>
                              <w:id w:val="-1709555926"/>
                              <w:placeholder>
                                <w:docPart w:val="A6888FA279284730957459A0A54D18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3E1E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1BB4" w14:paraId="6D3E1E53" w14:textId="77777777">
                    <w:pPr>
                      <w:jc w:val="right"/>
                    </w:pPr>
                    <w:sdt>
                      <w:sdtPr>
                        <w:alias w:val="CC_Noformat_Partikod"/>
                        <w:tag w:val="CC_Noformat_Partikod"/>
                        <w:id w:val="-53464382"/>
                        <w:placeholder>
                          <w:docPart w:val="1D186010B093470E98B49E0F99982CAE"/>
                        </w:placeholder>
                        <w:text/>
                      </w:sdtPr>
                      <w:sdtEndPr/>
                      <w:sdtContent>
                        <w:r w:rsidR="00DD0F4E">
                          <w:t>SD</w:t>
                        </w:r>
                      </w:sdtContent>
                    </w:sdt>
                    <w:sdt>
                      <w:sdtPr>
                        <w:alias w:val="CC_Noformat_Partinummer"/>
                        <w:tag w:val="CC_Noformat_Partinummer"/>
                        <w:id w:val="-1709555926"/>
                        <w:placeholder>
                          <w:docPart w:val="A6888FA279284730957459A0A54D18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3E1E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3E1E43" w14:textId="77777777">
    <w:pPr>
      <w:jc w:val="right"/>
    </w:pPr>
  </w:p>
  <w:p w:rsidR="00262EA3" w:rsidP="00776B74" w:rsidRDefault="00262EA3" w14:paraId="6D3E1E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1BB4" w14:paraId="6D3E1E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3E1E52" wp14:anchorId="6D3E1E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1BB4" w14:paraId="6D3E1E4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D0F4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1BB4" w14:paraId="6D3E1E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1BB4" w14:paraId="6D3E1E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w:t>
        </w:r>
      </w:sdtContent>
    </w:sdt>
  </w:p>
  <w:p w:rsidR="00262EA3" w:rsidP="00E03A3D" w:rsidRDefault="00311BB4" w14:paraId="6D3E1E4B"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B42DAE" w14:paraId="6D3E1E4C" w14:textId="550A034D">
        <w:pPr>
          <w:pStyle w:val="FSHRub2"/>
        </w:pPr>
        <w:r>
          <w:t>med anledning av prop. 2020/21:209 Utökade möjligheter att använda tidiga förhör</w:t>
        </w:r>
      </w:p>
    </w:sdtContent>
  </w:sdt>
  <w:sdt>
    <w:sdtPr>
      <w:alias w:val="CC_Boilerplate_3"/>
      <w:tag w:val="CC_Boilerplate_3"/>
      <w:id w:val="1606463544"/>
      <w:lock w:val="sdtContentLocked"/>
      <w15:appearance w15:val="hidden"/>
      <w:text w:multiLine="1"/>
    </w:sdtPr>
    <w:sdtEndPr/>
    <w:sdtContent>
      <w:p w:rsidR="00262EA3" w:rsidP="00283E0F" w:rsidRDefault="00262EA3" w14:paraId="6D3E1E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D0F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65F"/>
    <w:rsid w:val="00263A75"/>
    <w:rsid w:val="00263B31"/>
    <w:rsid w:val="00263CFF"/>
    <w:rsid w:val="002643C2"/>
    <w:rsid w:val="0026451C"/>
    <w:rsid w:val="00264811"/>
    <w:rsid w:val="00264FB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B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8C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E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AF"/>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D18"/>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644"/>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A4"/>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76"/>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DAE"/>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8D"/>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F4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E32"/>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80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3E1E28"/>
  <w15:chartTrackingRefBased/>
  <w15:docId w15:val="{4E198F4F-453C-4C68-9893-E6ED9141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B581C77646489088245EFCD8D07BB6"/>
        <w:category>
          <w:name w:val="Allmänt"/>
          <w:gallery w:val="placeholder"/>
        </w:category>
        <w:types>
          <w:type w:val="bbPlcHdr"/>
        </w:types>
        <w:behaviors>
          <w:behavior w:val="content"/>
        </w:behaviors>
        <w:guid w:val="{A6EC0F16-626C-4498-9027-882A0EC83335}"/>
      </w:docPartPr>
      <w:docPartBody>
        <w:p w:rsidR="00F44E4F" w:rsidRDefault="00F44E4F">
          <w:pPr>
            <w:pStyle w:val="24B581C77646489088245EFCD8D07BB6"/>
          </w:pPr>
          <w:r w:rsidRPr="005A0A93">
            <w:rPr>
              <w:rStyle w:val="Platshllartext"/>
            </w:rPr>
            <w:t>Förslag till riksdagsbeslut</w:t>
          </w:r>
        </w:p>
      </w:docPartBody>
    </w:docPart>
    <w:docPart>
      <w:docPartPr>
        <w:name w:val="482E226F822342C6A6D0A3BBE75B3AA8"/>
        <w:category>
          <w:name w:val="Allmänt"/>
          <w:gallery w:val="placeholder"/>
        </w:category>
        <w:types>
          <w:type w:val="bbPlcHdr"/>
        </w:types>
        <w:behaviors>
          <w:behavior w:val="content"/>
        </w:behaviors>
        <w:guid w:val="{AF97965B-5E3F-4043-84A8-F67A6CC607A7}"/>
      </w:docPartPr>
      <w:docPartBody>
        <w:p w:rsidR="00F44E4F" w:rsidRDefault="00F44E4F">
          <w:pPr>
            <w:pStyle w:val="482E226F822342C6A6D0A3BBE75B3AA8"/>
          </w:pPr>
          <w:r w:rsidRPr="005A0A93">
            <w:rPr>
              <w:rStyle w:val="Platshllartext"/>
            </w:rPr>
            <w:t>Motivering</w:t>
          </w:r>
        </w:p>
      </w:docPartBody>
    </w:docPart>
    <w:docPart>
      <w:docPartPr>
        <w:name w:val="1D186010B093470E98B49E0F99982CAE"/>
        <w:category>
          <w:name w:val="Allmänt"/>
          <w:gallery w:val="placeholder"/>
        </w:category>
        <w:types>
          <w:type w:val="bbPlcHdr"/>
        </w:types>
        <w:behaviors>
          <w:behavior w:val="content"/>
        </w:behaviors>
        <w:guid w:val="{AC7834A9-96C8-47A9-A829-60BFA525CE2C}"/>
      </w:docPartPr>
      <w:docPartBody>
        <w:p w:rsidR="00F44E4F" w:rsidRDefault="00F44E4F">
          <w:pPr>
            <w:pStyle w:val="1D186010B093470E98B49E0F99982CAE"/>
          </w:pPr>
          <w:r>
            <w:rPr>
              <w:rStyle w:val="Platshllartext"/>
            </w:rPr>
            <w:t xml:space="preserve"> </w:t>
          </w:r>
        </w:p>
      </w:docPartBody>
    </w:docPart>
    <w:docPart>
      <w:docPartPr>
        <w:name w:val="A6888FA279284730957459A0A54D1896"/>
        <w:category>
          <w:name w:val="Allmänt"/>
          <w:gallery w:val="placeholder"/>
        </w:category>
        <w:types>
          <w:type w:val="bbPlcHdr"/>
        </w:types>
        <w:behaviors>
          <w:behavior w:val="content"/>
        </w:behaviors>
        <w:guid w:val="{35ACB436-1079-43CB-83CA-8D4562CD66D0}"/>
      </w:docPartPr>
      <w:docPartBody>
        <w:p w:rsidR="00F44E4F" w:rsidRDefault="00F44E4F">
          <w:pPr>
            <w:pStyle w:val="A6888FA279284730957459A0A54D1896"/>
          </w:pPr>
          <w:r>
            <w:t xml:space="preserve"> </w:t>
          </w:r>
        </w:p>
      </w:docPartBody>
    </w:docPart>
    <w:docPart>
      <w:docPartPr>
        <w:name w:val="3D054CB77FF94B92BCF8C7249517DD83"/>
        <w:category>
          <w:name w:val="Allmänt"/>
          <w:gallery w:val="placeholder"/>
        </w:category>
        <w:types>
          <w:type w:val="bbPlcHdr"/>
        </w:types>
        <w:behaviors>
          <w:behavior w:val="content"/>
        </w:behaviors>
        <w:guid w:val="{27F96B75-3AB2-46CE-AFE9-3B7BD4255B38}"/>
      </w:docPartPr>
      <w:docPartBody>
        <w:p w:rsidR="00A76D41" w:rsidRDefault="00A76D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4F"/>
    <w:rsid w:val="00A76D41"/>
    <w:rsid w:val="00F44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B581C77646489088245EFCD8D07BB6">
    <w:name w:val="24B581C77646489088245EFCD8D07BB6"/>
  </w:style>
  <w:style w:type="paragraph" w:customStyle="1" w:styleId="21B5CEE2A3124DCFA5C25209A6220614">
    <w:name w:val="21B5CEE2A3124DCFA5C25209A62206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247539B1424CAB95486D8734A4C500">
    <w:name w:val="9A247539B1424CAB95486D8734A4C500"/>
  </w:style>
  <w:style w:type="paragraph" w:customStyle="1" w:styleId="482E226F822342C6A6D0A3BBE75B3AA8">
    <w:name w:val="482E226F822342C6A6D0A3BBE75B3AA8"/>
  </w:style>
  <w:style w:type="paragraph" w:customStyle="1" w:styleId="859A5C128D054B169C63B39713F5A8CC">
    <w:name w:val="859A5C128D054B169C63B39713F5A8CC"/>
  </w:style>
  <w:style w:type="paragraph" w:customStyle="1" w:styleId="73E70A13B6E34880AC375488B7AC0450">
    <w:name w:val="73E70A13B6E34880AC375488B7AC0450"/>
  </w:style>
  <w:style w:type="paragraph" w:customStyle="1" w:styleId="1D186010B093470E98B49E0F99982CAE">
    <w:name w:val="1D186010B093470E98B49E0F99982CAE"/>
  </w:style>
  <w:style w:type="paragraph" w:customStyle="1" w:styleId="A6888FA279284730957459A0A54D1896">
    <w:name w:val="A6888FA279284730957459A0A54D1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F6852-971B-454B-AF9A-4F13216D6813}"/>
</file>

<file path=customXml/itemProps2.xml><?xml version="1.0" encoding="utf-8"?>
<ds:datastoreItem xmlns:ds="http://schemas.openxmlformats.org/officeDocument/2006/customXml" ds:itemID="{A1493F06-5CF1-4DEA-B900-324FA2D8C99E}"/>
</file>

<file path=customXml/itemProps3.xml><?xml version="1.0" encoding="utf-8"?>
<ds:datastoreItem xmlns:ds="http://schemas.openxmlformats.org/officeDocument/2006/customXml" ds:itemID="{0DCFE67C-34F4-46C7-8C6E-E0911B0C2F92}"/>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1548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21 209   Utökade möjligheter att använda tidiga förhör</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