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66D78" w:rsidRPr="00166D78" w:rsidRDefault="00166D78">
      <w:pPr>
        <w:pStyle w:val="Frslagsrubrik"/>
      </w:pPr>
      <w:r w:rsidRPr="00166D78">
        <w:t>Förslag till riksdagsbeslut</w:t>
      </w:r>
    </w:p>
    <w:p w:rsidR="00166D78" w:rsidRPr="00166D78" w:rsidRDefault="00166D78">
      <w:pPr>
        <w:pStyle w:val="Hemstlatt"/>
        <w:ind w:left="0"/>
      </w:pPr>
      <w:r w:rsidRPr="00166D78">
        <w:t>Riksdagen tillkännager för regeringen som sin mening vad som anförs i motionen om Sydostlänken.</w:t>
      </w:r>
    </w:p>
    <w:p w:rsidR="00166D78" w:rsidRPr="00166D78" w:rsidRDefault="00166D78">
      <w:pPr>
        <w:pStyle w:val="Rubrik1"/>
      </w:pPr>
      <w:r w:rsidRPr="00166D78">
        <w:t>Motivering</w:t>
      </w:r>
    </w:p>
    <w:p w:rsidR="00166D78" w:rsidRPr="00166D78" w:rsidRDefault="00166D78">
      <w:r w:rsidRPr="00166D78">
        <w:t>Djuphamnen i Karlshamn är en av Sveriges största hamnar och har dessutom ett strategiskt läge som gör att den får en naturligt stor betydelse för hela landet. Av Sveriges 52 hamnar låg Djuphamnen 2007 på en sjunde plats mätt i mängden gods som passerar – 7,3 miljoner ton – och av den sittande rege</w:t>
      </w:r>
      <w:r w:rsidRPr="00166D78">
        <w:t>r</w:t>
      </w:r>
      <w:r w:rsidRPr="00166D78">
        <w:t>ingen bedömts som intressant när det gäller framtida satsningar, och den kan komma att få en viktig roll för såväl snabba som miljövänliga transporter till och från Asien via transsibiriska järnvägen. Samtidigt stärks Sveriges förm</w:t>
      </w:r>
      <w:r w:rsidRPr="00166D78">
        <w:t>å</w:t>
      </w:r>
      <w:r w:rsidRPr="00166D78">
        <w:t>ga att hävda sig på de nya transportmarknaderna i och omkring Baltikum.</w:t>
      </w:r>
    </w:p>
    <w:p w:rsidR="00166D78" w:rsidRPr="00166D78" w:rsidRDefault="00166D78">
      <w:pPr>
        <w:pStyle w:val="Normaltindrag"/>
      </w:pPr>
      <w:r w:rsidRPr="00166D78">
        <w:t>Västra hörnet av Blekinge tillsammans med de intilliggande kommunerna i Skåne och Småland utgör den mest industriintensiva regionen i södra Sverige och är hem till väl kända industrier som Volvo PV, Ikea, St</w:t>
      </w:r>
      <w:r w:rsidRPr="00166D78">
        <w:t>ora Enso, Södra Cell och Aarhus/Karlshamns AB. Alla kännetecknas av stora och tunga god</w:t>
      </w:r>
      <w:r w:rsidRPr="00166D78">
        <w:t>s</w:t>
      </w:r>
      <w:r w:rsidRPr="00166D78">
        <w:t>flöden och har samtliga visioner om en expansion mot Östeuropa. Sydostlä</w:t>
      </w:r>
      <w:r w:rsidRPr="00166D78">
        <w:t>n</w:t>
      </w:r>
      <w:r w:rsidRPr="00166D78">
        <w:t>ken som infrastruktursatsning är mycket viktig om vi skall värna om att a</w:t>
      </w:r>
      <w:r w:rsidRPr="00166D78">
        <w:t>r</w:t>
      </w:r>
      <w:r w:rsidRPr="00166D78">
        <w:t xml:space="preserve">betstillfällena som dessa företag skapar i regionen blir kvar. </w:t>
      </w:r>
    </w:p>
    <w:p w:rsidR="00166D78" w:rsidRPr="00166D78" w:rsidRDefault="00166D78">
      <w:pPr>
        <w:pStyle w:val="Normaltindrag"/>
      </w:pPr>
      <w:r w:rsidRPr="00166D78">
        <w:t>Med Sydostlänken menas den järnväg för sammankoppling av Södra stambanan och Blekinge kustbanan via Olofström. För att koppla samman den redan elektrifierade kustbanan med den befintliga järnvägssträckningen mella</w:t>
      </w:r>
      <w:r w:rsidRPr="00166D78">
        <w:t xml:space="preserve">n Olofström och Älmhult – en ännu ej elektrifierad sträcka i stort behov av upprustning – krävs endast </w:t>
      </w:r>
      <w:smartTag w:uri="urn:schemas-microsoft-com:office:smarttags" w:element="metricconverter">
        <w:smartTagPr>
          <w:attr w:name="ProductID" w:val="12 kilometer"/>
        </w:smartTagPr>
        <w:r w:rsidRPr="00166D78">
          <w:t>12 kilometer</w:t>
        </w:r>
      </w:smartTag>
      <w:r w:rsidRPr="00166D78">
        <w:t xml:space="preserve"> järnväg. Det är byggnationen av själva Sydostlänken som enligt vår mening bör ha högst prioritet i nuläget.</w:t>
      </w:r>
    </w:p>
    <w:p w:rsidR="00166D78" w:rsidRPr="00166D78" w:rsidRDefault="00166D78">
      <w:pPr>
        <w:pStyle w:val="Normaltindrag"/>
      </w:pPr>
      <w:r w:rsidRPr="00166D78">
        <w:t>Ur ett nationellt infrastrukturperspektiv innebär en utbyggnad av Sydos</w:t>
      </w:r>
      <w:r w:rsidRPr="00166D78">
        <w:t>t</w:t>
      </w:r>
      <w:r w:rsidRPr="00166D78">
        <w:t>länken och en förbättring av kvaliteten på närmast angränsande järnväg</w:t>
      </w:r>
      <w:r w:rsidRPr="00166D78">
        <w:t>s</w:t>
      </w:r>
      <w:r w:rsidRPr="00166D78">
        <w:lastRenderedPageBreak/>
        <w:t>sträckor en relativt liten satsning. En sådan satsning skulle dock sannolikt få mycket positiva effekter på såväl regionen som resten av landet. I nuläget är infrastrukturen i sydöstra Sverige eftersatt, och det minskar i sin tur tillgän</w:t>
      </w:r>
      <w:r w:rsidRPr="00166D78">
        <w:t>g</w:t>
      </w:r>
      <w:r w:rsidRPr="00166D78">
        <w:t>ligheten och hämmar regionens utveckling.</w:t>
      </w:r>
    </w:p>
    <w:p w:rsidR="00166D78" w:rsidRPr="00166D78" w:rsidRDefault="00166D78">
      <w:pPr>
        <w:pStyle w:val="Normaltindrag"/>
      </w:pPr>
      <w:r w:rsidRPr="00166D78">
        <w:t>En satsning på Sydostlänken skulle innebära att skillnader i möjlighet för olika delar av landet att utveckla sitt näringsliv jämnas ut samtidigt som så</w:t>
      </w:r>
      <w:r w:rsidRPr="00166D78">
        <w:t>r</w:t>
      </w:r>
      <w:r w:rsidRPr="00166D78">
        <w:t>barheten minskar och flexibiliteten ökar i det befintliga spårsystemet. Sat</w:t>
      </w:r>
      <w:r w:rsidRPr="00166D78">
        <w:t>s</w:t>
      </w:r>
      <w:r w:rsidRPr="00166D78">
        <w:t>ningen skulle också innebära en viss avlastning i angränsande regioner som exempelvis Skåne. På lokal nivå skulle driftsäkerheten för bland annat Volvos transporter mot Belgien och Göteborg ökas.</w:t>
      </w:r>
    </w:p>
    <w:p w:rsidR="00166D78" w:rsidRPr="00166D78" w:rsidRDefault="00166D78">
      <w:pPr>
        <w:pStyle w:val="Normaltindrag"/>
      </w:pPr>
      <w:r w:rsidRPr="00166D78">
        <w:t>En utbyggnad av Sydostlänken innebär att transporter som idag sker på väg istället skulle gå via järnväg, vilket inte bara är rimligt ur klimatsynpunkt utan dessutom minskar risken för olyckor.</w:t>
      </w:r>
    </w:p>
    <w:p w:rsidR="00166D78" w:rsidRPr="00166D78" w:rsidRDefault="00166D78">
      <w:pPr>
        <w:pStyle w:val="Normaltindrag"/>
      </w:pPr>
      <w:r w:rsidRPr="00166D78">
        <w:t>En utbyggnad av Sydostlänken innebär stora förbättringar på i princip va</w:t>
      </w:r>
      <w:r w:rsidRPr="00166D78">
        <w:t>r</w:t>
      </w:r>
      <w:r w:rsidRPr="00166D78">
        <w:t>je punkt om man jämför med hur situationen ser ut idag. De lokala och regi</w:t>
      </w:r>
      <w:r w:rsidRPr="00166D78">
        <w:t>o</w:t>
      </w:r>
      <w:r w:rsidRPr="00166D78">
        <w:t>nala möjligheterna till tillväxt och utveckling förbättras, miljön och säkerh</w:t>
      </w:r>
      <w:r w:rsidRPr="00166D78">
        <w:t>e</w:t>
      </w:r>
      <w:r w:rsidRPr="00166D78">
        <w:t>ten gynnas och det redan etablerade spårsystemet blir mindre sårbart. I län</w:t>
      </w:r>
      <w:r w:rsidRPr="00166D78">
        <w:t>g</w:t>
      </w:r>
      <w:r w:rsidRPr="00166D78">
        <w:t>den gynnas hela Sverige.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66D78">
        <w:trPr>
          <w:cantSplit/>
        </w:trPr>
        <w:tc>
          <w:tcPr>
            <w:tcW w:w="3046" w:type="dxa"/>
          </w:tcPr>
          <w:p w:rsidR="00166D78" w:rsidRPr="00166D78" w:rsidRDefault="00166D78">
            <w:pPr>
              <w:pStyle w:val="UnderskriftDatum"/>
              <w:spacing w:before="240"/>
            </w:pPr>
            <w:r w:rsidRPr="00166D78">
              <w:t>Stockholm den 2 oktober 2009</w:t>
            </w:r>
          </w:p>
        </w:tc>
        <w:tc>
          <w:tcPr>
            <w:tcW w:w="3047" w:type="dxa"/>
          </w:tcPr>
          <w:p w:rsidR="00166D78" w:rsidRPr="00166D78" w:rsidRDefault="00166D78">
            <w:pPr>
              <w:pStyle w:val="Underskrifter"/>
              <w:spacing w:before="240"/>
            </w:pPr>
          </w:p>
        </w:tc>
      </w:tr>
      <w:tr w:rsidR="00000000" w:rsidRPr="00166D78">
        <w:trPr>
          <w:cantSplit/>
        </w:trPr>
        <w:tc>
          <w:tcPr>
            <w:tcW w:w="3046" w:type="dxa"/>
          </w:tcPr>
          <w:p w:rsidR="00166D78" w:rsidRPr="00166D78" w:rsidRDefault="00166D78">
            <w:pPr>
              <w:pStyle w:val="Underskrifter"/>
            </w:pPr>
            <w:r w:rsidRPr="00166D78">
              <w:t>Staffan Appelros (m)</w:t>
            </w:r>
          </w:p>
        </w:tc>
        <w:tc>
          <w:tcPr>
            <w:tcW w:w="3046" w:type="dxa"/>
          </w:tcPr>
          <w:p w:rsidR="00166D78" w:rsidRPr="00166D78" w:rsidRDefault="00166D78">
            <w:pPr>
              <w:pStyle w:val="Underskrifter"/>
            </w:pPr>
            <w:r w:rsidRPr="00166D78">
              <w:t>Gustav Nilsson (m)</w:t>
            </w:r>
          </w:p>
        </w:tc>
      </w:tr>
    </w:tbl>
    <w:p w:rsidR="00166D78" w:rsidRPr="00166D78" w:rsidRDefault="00166D78">
      <w:pPr>
        <w:pStyle w:val="Normaltindrag"/>
      </w:pPr>
    </w:p>
    <w:sectPr w:rsidR="00000000" w:rsidRPr="00166D7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66D78" w:rsidRPr="00166D78" w:rsidRDefault="00166D78">
      <w:r w:rsidRPr="00166D78">
        <w:separator/>
      </w:r>
    </w:p>
  </w:endnote>
  <w:endnote w:type="continuationSeparator" w:id="0">
    <w:p w:rsidR="00166D78" w:rsidRPr="00166D78" w:rsidRDefault="00166D78">
      <w:r w:rsidRPr="00166D7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6D78" w:rsidRPr="00166D78" w:rsidRDefault="00166D78">
    <w:pPr>
      <w:pStyle w:val="Sidfot"/>
    </w:pPr>
    <w:r w:rsidRPr="00166D7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6624803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6D78" w:rsidRDefault="00166D7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66D78" w:rsidRDefault="00166D7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6D78" w:rsidRPr="00166D78" w:rsidRDefault="00166D78">
    <w:pPr>
      <w:pStyle w:val="Sidfot"/>
    </w:pPr>
    <w:r w:rsidRPr="00166D7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9408009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6D78" w:rsidRDefault="00166D7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66D78" w:rsidRDefault="00166D7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6D78" w:rsidRPr="00166D78" w:rsidRDefault="00166D78">
    <w:pPr>
      <w:pStyle w:val="Sidfot"/>
    </w:pPr>
    <w:r w:rsidRPr="00166D7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7892633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6D78" w:rsidRDefault="00166D7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66D78" w:rsidRDefault="00166D7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66D78" w:rsidRPr="00166D78" w:rsidRDefault="00166D78">
      <w:r w:rsidRPr="00166D78">
        <w:separator/>
      </w:r>
    </w:p>
  </w:footnote>
  <w:footnote w:type="continuationSeparator" w:id="0">
    <w:p w:rsidR="00166D78" w:rsidRPr="00166D78" w:rsidRDefault="00166D78">
      <w:r w:rsidRPr="00166D7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6D78" w:rsidRPr="00166D78" w:rsidRDefault="00166D78">
    <w:pPr>
      <w:pStyle w:val="Sidhuvud"/>
    </w:pPr>
    <w:r w:rsidRPr="00166D7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9484894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6D78" w:rsidRDefault="00166D7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T404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66D78" w:rsidRDefault="00166D7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T404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6D78" w:rsidRPr="00166D78" w:rsidRDefault="00166D78">
    <w:pPr>
      <w:pStyle w:val="Sidhuvud"/>
    </w:pPr>
    <w:r w:rsidRPr="00166D7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3588667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6D78" w:rsidRDefault="00166D7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T404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66D78" w:rsidRDefault="00166D7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T404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6D78" w:rsidRPr="00166D78" w:rsidRDefault="00166D78">
    <w:pPr>
      <w:pStyle w:val="FSHNormal"/>
      <w:tabs>
        <w:tab w:val="right" w:pos="5840"/>
      </w:tabs>
    </w:pPr>
    <w:r w:rsidRPr="00166D78">
      <w:br/>
    </w:r>
    <w:r w:rsidRPr="00166D78">
      <w:fldChar w:fldCharType="begin" w:fldLock="1"/>
    </w:r>
    <w:r w:rsidRPr="00166D78">
      <w:instrText xml:space="preserve"> DOCPROPERTY</w:instrText>
    </w:r>
    <w:r w:rsidRPr="00166D78">
      <w:rPr>
        <w:sz w:val="18"/>
      </w:rPr>
      <w:instrText xml:space="preserve"> "YearUser" *\charformat </w:instrText>
    </w:r>
    <w:r w:rsidRPr="00166D78">
      <w:fldChar w:fldCharType="separate"/>
    </w:r>
    <w:r w:rsidRPr="00166D78">
      <w:t>2009/10</w:t>
    </w:r>
    <w:r w:rsidRPr="00166D78">
      <w:fldChar w:fldCharType="end"/>
    </w:r>
    <w:r w:rsidRPr="00166D78">
      <w:t xml:space="preserve"> </w:t>
    </w:r>
    <w:r w:rsidRPr="00166D78">
      <w:tab/>
      <w:t xml:space="preserve">mnr: </w:t>
    </w:r>
    <w:r w:rsidRPr="00166D78">
      <w:fldChar w:fldCharType="begin" w:fldLock="1"/>
    </w:r>
    <w:r w:rsidRPr="00166D78">
      <w:instrText xml:space="preserve"> DOCPROPERTY</w:instrText>
    </w:r>
    <w:r w:rsidRPr="00166D78">
      <w:rPr>
        <w:sz w:val="18"/>
      </w:rPr>
      <w:instrText xml:space="preserve"> "Motionsnummer" *\charformat </w:instrText>
    </w:r>
    <w:r w:rsidRPr="00166D78">
      <w:fldChar w:fldCharType="separate"/>
    </w:r>
    <w:r w:rsidRPr="00166D78">
      <w:t>T404</w:t>
    </w:r>
    <w:r w:rsidRPr="00166D78">
      <w:fldChar w:fldCharType="end"/>
    </w:r>
    <w:r w:rsidRPr="00166D78">
      <w:br/>
    </w:r>
    <w:r w:rsidRPr="00166D78">
      <w:fldChar w:fldCharType="begin" w:fldLock="1"/>
    </w:r>
    <w:r w:rsidRPr="00166D78">
      <w:instrText xml:space="preserve"> DOCPROPERTY</w:instrText>
    </w:r>
    <w:r w:rsidRPr="00166D78">
      <w:rPr>
        <w:sz w:val="18"/>
      </w:rPr>
      <w:instrText xml:space="preserve"> "Samling" *\charformat </w:instrText>
    </w:r>
    <w:r w:rsidRPr="00166D78">
      <w:fldChar w:fldCharType="end"/>
    </w:r>
    <w:r w:rsidRPr="00166D78">
      <w:tab/>
      <w:t xml:space="preserve">pnr: </w:t>
    </w:r>
    <w:r w:rsidRPr="00166D78">
      <w:fldChar w:fldCharType="begin" w:fldLock="1"/>
    </w:r>
    <w:r w:rsidRPr="00166D78">
      <w:instrText xml:space="preserve"> DOCPROPERTY</w:instrText>
    </w:r>
    <w:r w:rsidRPr="00166D78">
      <w:rPr>
        <w:sz w:val="18"/>
      </w:rPr>
      <w:instrText xml:space="preserve"> "Partinummer" *\charformat </w:instrText>
    </w:r>
    <w:r w:rsidRPr="00166D78">
      <w:fldChar w:fldCharType="separate"/>
    </w:r>
    <w:r w:rsidRPr="00166D78">
      <w:t>m1141</w:t>
    </w:r>
    <w:r w:rsidRPr="00166D78">
      <w:fldChar w:fldCharType="end"/>
    </w:r>
  </w:p>
  <w:p w:rsidR="00166D78" w:rsidRPr="00166D78" w:rsidRDefault="00166D78">
    <w:pPr>
      <w:pStyle w:val="FSHRub1"/>
    </w:pPr>
    <w:r w:rsidRPr="00166D78">
      <w:t>Motion till riksdagen</w:t>
    </w:r>
    <w:r w:rsidRPr="00166D78">
      <w:br/>
    </w:r>
    <w:r w:rsidRPr="00166D78">
      <w:fldChar w:fldCharType="begin" w:fldLock="1"/>
    </w:r>
    <w:r w:rsidRPr="00166D78">
      <w:instrText xml:space="preserve"> DOCPROPERTY "YearUser" *\charformat </w:instrText>
    </w:r>
    <w:r w:rsidRPr="00166D78">
      <w:fldChar w:fldCharType="separate"/>
    </w:r>
    <w:r w:rsidRPr="00166D78">
      <w:t>2009/10</w:t>
    </w:r>
    <w:r w:rsidRPr="00166D78">
      <w:fldChar w:fldCharType="end"/>
    </w:r>
    <w:r w:rsidRPr="00166D78">
      <w:t>:</w:t>
    </w:r>
    <w:r w:rsidRPr="00166D78">
      <w:fldChar w:fldCharType="begin" w:fldLock="1"/>
    </w:r>
    <w:r w:rsidRPr="00166D78">
      <w:instrText xml:space="preserve"> DOCPROPERTY "Motionsnummer" *\charformat </w:instrText>
    </w:r>
    <w:r w:rsidRPr="00166D78">
      <w:fldChar w:fldCharType="separate"/>
    </w:r>
    <w:r w:rsidRPr="00166D78">
      <w:t>T404</w:t>
    </w:r>
    <w:r w:rsidRPr="00166D78">
      <w:fldChar w:fldCharType="end"/>
    </w:r>
  </w:p>
  <w:p w:rsidR="00166D78" w:rsidRPr="00166D78" w:rsidRDefault="00166D78">
    <w:pPr>
      <w:pStyle w:val="FSHNormalS5"/>
    </w:pPr>
    <w:r w:rsidRPr="00166D78">
      <w:fldChar w:fldCharType="begin" w:fldLock="1"/>
    </w:r>
    <w:r w:rsidRPr="00166D78">
      <w:instrText xml:space="preserve"> DOCPROPERTY "MotionarText" *\charformat </w:instrText>
    </w:r>
    <w:r w:rsidRPr="00166D78">
      <w:fldChar w:fldCharType="separate"/>
    </w:r>
    <w:r w:rsidRPr="00166D78">
      <w:t>av Staffan Appelros och Gustav Nilsson (m)</w:t>
    </w:r>
    <w:r w:rsidRPr="00166D78">
      <w:fldChar w:fldCharType="end"/>
    </w:r>
    <w:r w:rsidRPr="00166D78">
      <w:br/>
    </w:r>
    <w:r w:rsidRPr="00166D78">
      <w:fldChar w:fldCharType="begin" w:fldLock="1"/>
    </w:r>
    <w:r w:rsidRPr="00166D78">
      <w:instrText xml:space="preserve"> DOCPROPERTY "SvarFrasKort" *\charformat </w:instrText>
    </w:r>
    <w:r w:rsidRPr="00166D78">
      <w:fldChar w:fldCharType="end"/>
    </w:r>
  </w:p>
  <w:p w:rsidR="00166D78" w:rsidRPr="00166D78" w:rsidRDefault="00166D78">
    <w:pPr>
      <w:pStyle w:val="FSHTitel"/>
    </w:pPr>
    <w:r w:rsidRPr="00166D78">
      <w:fldChar w:fldCharType="begin" w:fldLock="1"/>
    </w:r>
    <w:r w:rsidRPr="00166D78">
      <w:instrText xml:space="preserve"> DOCPROPERTY</w:instrText>
    </w:r>
    <w:r w:rsidRPr="00166D78">
      <w:rPr>
        <w:sz w:val="18"/>
      </w:rPr>
      <w:instrText xml:space="preserve"> "RubrikSvar" *\charformat </w:instrText>
    </w:r>
    <w:r w:rsidRPr="00166D78">
      <w:fldChar w:fldCharType="separate"/>
    </w:r>
    <w:r w:rsidRPr="00166D78">
      <w:t>Sydostlänken</w:t>
    </w:r>
    <w:r w:rsidRPr="00166D78">
      <w:fldChar w:fldCharType="end"/>
    </w:r>
  </w:p>
  <w:p w:rsidR="00166D78" w:rsidRPr="00166D78" w:rsidRDefault="00166D78">
    <w:pPr>
      <w:pStyle w:val="Normal00"/>
    </w:pPr>
  </w:p>
  <w:p w:rsidR="00166D78" w:rsidRPr="00166D78" w:rsidRDefault="00166D7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31147650">
    <w:abstractNumId w:val="8"/>
  </w:num>
  <w:num w:numId="2" w16cid:durableId="1202282799">
    <w:abstractNumId w:val="9"/>
  </w:num>
  <w:num w:numId="3" w16cid:durableId="573005697">
    <w:abstractNumId w:val="8"/>
  </w:num>
  <w:num w:numId="4" w16cid:durableId="894201677">
    <w:abstractNumId w:val="9"/>
  </w:num>
  <w:num w:numId="5" w16cid:durableId="850795959">
    <w:abstractNumId w:val="13"/>
  </w:num>
  <w:num w:numId="6" w16cid:durableId="792017515">
    <w:abstractNumId w:val="10"/>
  </w:num>
  <w:num w:numId="7" w16cid:durableId="1726221931">
    <w:abstractNumId w:val="11"/>
  </w:num>
  <w:num w:numId="8" w16cid:durableId="1471634513">
    <w:abstractNumId w:val="12"/>
  </w:num>
  <w:num w:numId="9" w16cid:durableId="1659725361">
    <w:abstractNumId w:val="8"/>
  </w:num>
  <w:num w:numId="10" w16cid:durableId="1045833371">
    <w:abstractNumId w:val="3"/>
  </w:num>
  <w:num w:numId="11" w16cid:durableId="1254627841">
    <w:abstractNumId w:val="2"/>
  </w:num>
  <w:num w:numId="12" w16cid:durableId="1576931595">
    <w:abstractNumId w:val="1"/>
  </w:num>
  <w:num w:numId="13" w16cid:durableId="82847107">
    <w:abstractNumId w:val="0"/>
  </w:num>
  <w:num w:numId="14" w16cid:durableId="1568959212">
    <w:abstractNumId w:val="9"/>
  </w:num>
  <w:num w:numId="15" w16cid:durableId="625887629">
    <w:abstractNumId w:val="7"/>
  </w:num>
  <w:num w:numId="16" w16cid:durableId="2019502653">
    <w:abstractNumId w:val="6"/>
  </w:num>
  <w:num w:numId="17" w16cid:durableId="299651274">
    <w:abstractNumId w:val="5"/>
  </w:num>
  <w:num w:numId="18" w16cid:durableId="327173053">
    <w:abstractNumId w:val="4"/>
  </w:num>
  <w:num w:numId="19" w16cid:durableId="2111315727">
    <w:abstractNumId w:val="11"/>
  </w:num>
  <w:num w:numId="20" w16cid:durableId="1287470826">
    <w:abstractNumId w:val="10"/>
  </w:num>
  <w:num w:numId="21" w16cid:durableId="16492444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1-21"/>
    <w:docVar w:name="PersonGUIDs" w:val="{7E13BD60-58D6-4B8D-BE2C-1709B9002F49},{42803957-EA31-434A-B50C-E3AC79481C13}"/>
  </w:docVars>
  <w:rsids>
    <w:rsidRoot w:val="001F5A97"/>
    <w:rsid w:val="00166D78"/>
    <w:rsid w:val="001F5A9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5122"/>
    <o:shapelayout v:ext="edit">
      <o:idmap v:ext="edit" data="1"/>
    </o:shapelayout>
  </w:shapeDefaults>
  <w:decimalSymbol w:val=","/>
  <w:listSeparator w:val=";"/>
  <w15:chartTrackingRefBased/>
  <w15:docId w15:val="{B25D58AC-E5F1-44F3-AD6E-F8D94688C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461</Words>
  <Characters>2662</Characters>
  <Application>Microsoft Office Word</Application>
  <DocSecurity>4</DocSecurity>
  <Lines>49</Lines>
  <Paragraphs>15</Paragraphs>
  <ScaleCrop>false</ScaleCrop>
  <HeadingPairs>
    <vt:vector size="2" baseType="variant">
      <vt:variant>
        <vt:lpstr>Rubrik</vt:lpstr>
      </vt:variant>
      <vt:variant>
        <vt:i4>1</vt:i4>
      </vt:variant>
    </vt:vector>
  </HeadingPairs>
  <TitlesOfParts>
    <vt:vector size="1" baseType="lpstr">
      <vt:lpstr>m1141</vt:lpstr>
    </vt:vector>
  </TitlesOfParts>
  <Company>Riksdagen</Company>
  <LinksUpToDate>false</LinksUpToDate>
  <CharactersWithSpaces>3108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m1141</dc:title>
  <dc:subject>m1141</dc:subject>
  <dc:creator>Riksdagen</dc:creator>
  <cp:keywords>Riksdagen</cp:keywords>
  <dc:description>Nya formatmallshantering för förslag+urix bakåtkomp+könamn</dc:description>
  <cp:lastModifiedBy>Lars Brink</cp:lastModifiedBy>
  <cp:revision>2</cp:revision>
  <cp:lastPrinted>2009-11-21T07:10:00Z</cp:lastPrinted>
  <dcterms:created xsi:type="dcterms:W3CDTF">2025-12-17T22:26:00Z</dcterms:created>
  <dcterms:modified xsi:type="dcterms:W3CDTF">2025-12-17T22:26:00Z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mot2000_514_2009-11-21</vt:lpwstr>
  </property>
  <property fmtid="{D5CDD505-2E9C-101B-9397-08002B2CF9AE}" pid="3" name="version">
    <vt:lpwstr>mot2000_512_2009-10-02</vt:lpwstr>
  </property>
  <property fmtid="{D5CDD505-2E9C-101B-9397-08002B2CF9AE}" pid="4" name="dokumenttyp">
    <vt:lpwstr>motion</vt:lpwstr>
  </property>
  <property fmtid="{D5CDD505-2E9C-101B-9397-08002B2CF9AE}" pid="5" name="Sekr">
    <vt:lpwstr>ch</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Sydostlänken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Sydostlänken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m1141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Staffan Appelros och Gustav Nilsson (m)</vt:lpwstr>
  </property>
  <property fmtid="{D5CDD505-2E9C-101B-9397-08002B2CF9AE}" pid="26" name="MotionarLista">
    <vt:lpwstr>Appelros, Staffan (m)\Nilsson, Gustav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Staffan Appelros (m), Gustav Nilsson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T404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christine.hanefalk@riksdagen.se</vt:lpwstr>
  </property>
  <property fmtid="{D5CDD505-2E9C-101B-9397-08002B2CF9AE}" pid="45" name="ReservUID">
    <vt:lpwstr>ce1128aa</vt:lpwstr>
  </property>
  <property fmtid="{D5CDD505-2E9C-101B-9397-08002B2CF9AE}" pid="46" name="MotionID">
    <vt:lpwstr>20092010000000000109000011410069</vt:lpwstr>
  </property>
  <property fmtid="{D5CDD505-2E9C-101B-9397-08002B2CF9AE}" pid="47" name="datum">
    <vt:lpwstr>091002</vt:lpwstr>
  </property>
  <property fmtid="{D5CDD505-2E9C-101B-9397-08002B2CF9AE}" pid="48" name="avsändar-e-post">
    <vt:lpwstr>christine.hanefalk@riksdagen.se</vt:lpwstr>
  </property>
  <property fmtid="{D5CDD505-2E9C-101B-9397-08002B2CF9AE}" pid="49" name="id">
    <vt:lpwstr>20092010000000000109000011410069</vt:lpwstr>
  </property>
  <property fmtid="{D5CDD505-2E9C-101B-9397-08002B2CF9AE}" pid="50" name="nummer">
    <vt:lpwstr>404</vt:lpwstr>
  </property>
  <property fmtid="{D5CDD505-2E9C-101B-9397-08002B2CF9AE}" pid="51" name="utskottsbeteckning">
    <vt:lpwstr>T</vt:lpwstr>
  </property>
  <property fmtid="{D5CDD505-2E9C-101B-9397-08002B2CF9AE}" pid="52" name="GlobalUID">
    <vt:lpwstr>{91C5D406-1149-4503-BD20-55A9C510823E}</vt:lpwstr>
  </property>
  <property fmtid="{D5CDD505-2E9C-101B-9397-08002B2CF9AE}" pid="53" name="Överföringar">
    <vt:i4>1</vt:i4>
  </property>
  <property fmtid="{D5CDD505-2E9C-101B-9397-08002B2CF9AE}" pid="54" name="Checksum">
    <vt:lpwstr>*1002541564552*</vt:lpwstr>
  </property>
  <property fmtid="{D5CDD505-2E9C-101B-9397-08002B2CF9AE}" pid="55" name="skuggnummer">
    <vt:lpwstr>2482</vt:lpwstr>
  </property>
  <property fmtid="{D5CDD505-2E9C-101B-9397-08002B2CF9AE}" pid="56" name="urixVersion">
    <vt:lpwstr>4.0.0.9</vt:lpwstr>
  </property>
  <property fmtid="{D5CDD505-2E9C-101B-9397-08002B2CF9AE}" pid="57" name="urixOrigin">
    <vt:lpwstr>091121 08:10:15.503</vt:lpwstr>
  </property>
  <property fmtid="{D5CDD505-2E9C-101B-9397-08002B2CF9AE}" pid="58" name="urixGuid">
    <vt:lpwstr>{2C7258E2-2579-47DF-922E-D276E25220DF}</vt:lpwstr>
  </property>
</Properties>
</file>