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F9E" w:rsidRDefault="00F81F9E">
      <w:pPr>
        <w:pStyle w:val="Rubrik1"/>
      </w:pPr>
      <w:r>
        <w:rPr>
          <w:vanish/>
        </w:rPr>
        <w:t>&lt;1</w:t>
      </w:r>
      <w:bookmarkStart w:id="0" w:name="_Toc339260493"/>
      <w:r>
        <w:t>Till konstitutionsutskottet</w:t>
      </w:r>
      <w:bookmarkEnd w:id="0"/>
    </w:p>
    <w:p w:rsidR="00F81F9E" w:rsidRDefault="00F81F9E">
      <w:r>
        <w:t>Konstitutionsutskottet har berett bostadsutskottet tillfälle att yttra sig över proposition 1994/95:150 (kompletteringspropositionen) bilaga 7, avsnitt 3 om förvaltningsmyndigheternas ledning.</w:t>
      </w:r>
    </w:p>
    <w:p w:rsidR="00F81F9E" w:rsidRDefault="00F81F9E">
      <w:pPr>
        <w:pStyle w:val="Normaltindrag"/>
      </w:pPr>
      <w:r>
        <w:t>Riksdagen föreslås godkänna de riktlinjer för förvaltningsmyndighete</w:t>
      </w:r>
      <w:r>
        <w:t>r</w:t>
      </w:r>
      <w:r>
        <w:t>nas ledning som regeringen presenterar i kompletteringspropositionen. Dessa utgår från riksdagens beslut år 1994 (prop. 1993/94:185, bet. 1993/94:KU42) och från vad i 1995 års budgetproposition meddelats om vilka ledningsformer regeringen bedömde bli aktuella att tillämpa. Le</w:t>
      </w:r>
      <w:r>
        <w:t>d</w:t>
      </w:r>
      <w:r>
        <w:t>ningsformerna är enrådighetsverk med eller utan råd med insynsuppgift, styrelse med fullt ansvar för verksamheten och även styrelse enligt nuv</w:t>
      </w:r>
      <w:r>
        <w:t>a</w:t>
      </w:r>
      <w:r>
        <w:t>rande modell, dvs. med delat ansvar mellan styrelsen och myndighetsch</w:t>
      </w:r>
      <w:r>
        <w:t>e</w:t>
      </w:r>
      <w:r>
        <w:t>fen.</w:t>
      </w:r>
    </w:p>
    <w:p w:rsidR="00F81F9E" w:rsidRDefault="00F81F9E">
      <w:pPr>
        <w:pStyle w:val="Normaltindrag"/>
      </w:pPr>
      <w:r>
        <w:t>I kompletteringspropositionen lämnas en redovisning departementsvis av vilka myndigheter som regeringen avser att ge ny ledningsfunktion under år 1995. Den del av redovisningen som rör myndigheter inom b</w:t>
      </w:r>
      <w:r>
        <w:t>o</w:t>
      </w:r>
      <w:r>
        <w:t>stadsutskottets beredningsområde gäller Statens bostadskreditnämnd (BKN). Nämnden bör enligt regeringens mening ha ledningsformen enr</w:t>
      </w:r>
      <w:r>
        <w:t>å</w:t>
      </w:r>
      <w:r>
        <w:t>dighet</w:t>
      </w:r>
      <w:r>
        <w:t>s</w:t>
      </w:r>
      <w:r>
        <w:t xml:space="preserve">verk med insynsråd.  </w:t>
      </w:r>
    </w:p>
    <w:p w:rsidR="00F81F9E" w:rsidRDefault="00F81F9E">
      <w:pPr>
        <w:pStyle w:val="Normaltindrag"/>
      </w:pPr>
      <w:r>
        <w:t>Den grundläggande utgångspunkten för valet av ledningsform är enligt kompletteringspropositionen verksamhetens art och regeringens behov av att styra myndigheten på visst sätt. Att en utgångspunkt med denna inrik</w:t>
      </w:r>
      <w:r>
        <w:t>t</w:t>
      </w:r>
      <w:r>
        <w:t>ning får vägleda valet av ledningsform  är i och för sig naturligt. Bostad</w:t>
      </w:r>
      <w:r>
        <w:t>s</w:t>
      </w:r>
      <w:r>
        <w:t>utskottet vill emellertid för sin del tillägga att det inte sällan är av stor vikt att den medborgerliga insynen kan garanteras. Hittills har denna garanti bl.a. åstadkommits genom lekmannamedverkan i myndighetens styrelse. Det finns enligt bostadsutskottets uppfattning anledning att vid bedö</w:t>
      </w:r>
      <w:r>
        <w:t>m</w:t>
      </w:r>
      <w:r>
        <w:t>ningen av lämplig ledningsform också framgent väga in denna omständi</w:t>
      </w:r>
      <w:r>
        <w:t>g</w:t>
      </w:r>
      <w:r>
        <w:t>het.</w:t>
      </w:r>
    </w:p>
    <w:p w:rsidR="00F81F9E" w:rsidRDefault="00F81F9E">
      <w:pPr>
        <w:pStyle w:val="Normaltindrag"/>
      </w:pPr>
      <w:r>
        <w:t xml:space="preserve">Huruvida denna aspekt på frågan är av den karaktären att den innebär en omprövning av den föreslagna ledningsformen för BKN torde få avgöras inför de slutliga övervägandena i frågan. </w:t>
      </w:r>
    </w:p>
    <w:p w:rsidR="00F81F9E" w:rsidRDefault="00F81F9E">
      <w:pPr>
        <w:pStyle w:val="Normaltindrag"/>
      </w:pPr>
      <w:r>
        <w:t xml:space="preserve">Som redovisas i kompletteringspropositionen avser regeringen att i en proposition rörande lantmäteri- och fastighetsdataverksamheten senare i år </w:t>
      </w:r>
      <w:r>
        <w:lastRenderedPageBreak/>
        <w:t>redov</w:t>
      </w:r>
      <w:r>
        <w:t>i</w:t>
      </w:r>
      <w:r>
        <w:t>sa ledningsformen för det nya Lantmäteriverket.</w:t>
      </w:r>
    </w:p>
    <w:p w:rsidR="00F81F9E" w:rsidRDefault="00F81F9E">
      <w:pPr>
        <w:pStyle w:val="Normaltindrag"/>
      </w:pPr>
      <w:r>
        <w:t>Denna fråga har sedermera redovisats i proposition 1995/96:78. Den a</w:t>
      </w:r>
      <w:r>
        <w:t>v</w:t>
      </w:r>
      <w:r>
        <w:t xml:space="preserve">ses </w:t>
      </w:r>
      <w:r>
        <w:br w:type="page"/>
        <w:t>b</w:t>
      </w:r>
      <w:r>
        <w:t>e</w:t>
      </w:r>
      <w:r>
        <w:t>handlas av bostadsutskottet och riksdagen senare under hösten.</w:t>
      </w:r>
    </w:p>
    <w:p w:rsidR="00F81F9E" w:rsidRDefault="00F81F9E"/>
    <w:p w:rsidR="00F81F9E" w:rsidRDefault="00F81F9E">
      <w:pPr>
        <w:pStyle w:val="Normaltindrag"/>
      </w:pPr>
    </w:p>
    <w:p w:rsidR="00F81F9E" w:rsidRDefault="00F81F9E">
      <w:r>
        <w:rPr>
          <w:vanish/>
        </w:rPr>
        <w:t>&lt;A</w:t>
      </w:r>
      <w:r>
        <w:t>Stockholm den 26 oktober 1995</w:t>
      </w:r>
    </w:p>
    <w:p w:rsidR="00F81F9E" w:rsidRDefault="00F81F9E">
      <w:pPr>
        <w:pStyle w:val="Normaltindrag"/>
      </w:pPr>
    </w:p>
    <w:p w:rsidR="00F81F9E" w:rsidRDefault="00F81F9E">
      <w:pPr>
        <w:pStyle w:val="Normaltindrag"/>
      </w:pPr>
    </w:p>
    <w:p w:rsidR="00F81F9E" w:rsidRDefault="00F81F9E">
      <w:r>
        <w:t>På bostadsutskottets vägnar</w:t>
      </w:r>
    </w:p>
    <w:p w:rsidR="00F81F9E" w:rsidRDefault="00F81F9E">
      <w:pPr>
        <w:pStyle w:val="Normaltindrag"/>
      </w:pPr>
    </w:p>
    <w:p w:rsidR="00F81F9E" w:rsidRDefault="00F81F9E">
      <w:pPr>
        <w:pStyle w:val="Normaltindrag"/>
      </w:pPr>
    </w:p>
    <w:p w:rsidR="00F81F9E" w:rsidRDefault="00F81F9E">
      <w:pPr>
        <w:pStyle w:val="Ordfnamn"/>
      </w:pPr>
      <w:bookmarkStart w:id="1" w:name="Ordförande"/>
      <w:bookmarkEnd w:id="1"/>
      <w:r>
        <w:t>Knut Billing</w:t>
      </w:r>
    </w:p>
    <w:p w:rsidR="00F81F9E" w:rsidRDefault="00F81F9E"/>
    <w:p w:rsidR="00F81F9E" w:rsidRDefault="00F81F9E">
      <w:pPr>
        <w:pStyle w:val="Normaltindrag"/>
      </w:pPr>
    </w:p>
    <w:p w:rsidR="00F81F9E" w:rsidRDefault="00F81F9E">
      <w:bookmarkStart w:id="2" w:name="Deltagare"/>
      <w:bookmarkStart w:id="3" w:name="_Toc339260494"/>
      <w:bookmarkEnd w:id="2"/>
      <w:r>
        <w:t>I beslutet har deltagit: Knut Billing (m), Lennart Nilsson (s), Rune Even</w:t>
      </w:r>
      <w:r>
        <w:t>s</w:t>
      </w:r>
      <w:r>
        <w:t>son (s), Bengt-Ola Ryttar (s), Marianne Carlström (s), Rigmor Ahlstedt (c), Lars Stjernkvist (s), Stig Grauers (m), Erling Bager (fp), Lena Larsson (s), Owe Hellberg (v), Lilian Virgin (s), Inga Berggren (m), Ulf Björklund (kds), Carina Moberg (s), Peter Weibull Bernström (m) och Bodil Francke Ohlsson (mp).</w:t>
      </w:r>
    </w:p>
    <w:p w:rsidR="00F81F9E" w:rsidRDefault="00F81F9E"/>
    <w:p w:rsidR="00F81F9E" w:rsidRDefault="00F81F9E"/>
    <w:p w:rsidR="00F81F9E" w:rsidRDefault="00F81F9E">
      <w:pPr>
        <w:pStyle w:val="Rubrik2"/>
      </w:pPr>
      <w:r>
        <w:t>Avvikande mening</w:t>
      </w:r>
      <w:bookmarkEnd w:id="3"/>
    </w:p>
    <w:p w:rsidR="00F81F9E" w:rsidRDefault="00F81F9E">
      <w:pPr>
        <w:pStyle w:val="Normaltindrag"/>
      </w:pPr>
    </w:p>
    <w:p w:rsidR="00F81F9E" w:rsidRDefault="00F81F9E">
      <w:bookmarkStart w:id="4" w:name="Nästa_Reservation"/>
      <w:bookmarkEnd w:id="4"/>
      <w:r>
        <w:t>Knut Billing, Stig Grauers, Inga Berggren och Peter Weibull Bernström (alla m) anser att den del av utskottets yttrande som börjar  med ”Den grundlägga</w:t>
      </w:r>
      <w:r>
        <w:t>n</w:t>
      </w:r>
      <w:r>
        <w:t xml:space="preserve">de” och slutar med ”i frågan” bort ha följande lydelse: </w:t>
      </w:r>
    </w:p>
    <w:p w:rsidR="00F81F9E" w:rsidRDefault="00F81F9E">
      <w:pPr>
        <w:pStyle w:val="Normaltindrag"/>
      </w:pPr>
      <w:r>
        <w:t>Bostadsutskottet anser att utgångspunkten för bedömningar som rör ledningsformen för förvaltningsmyndigheterna bör utgå från vad den förra regeringen föreslog i mars 1994 (prop. 1993/94:185). Detta förslag go</w:t>
      </w:r>
      <w:r>
        <w:t>d</w:t>
      </w:r>
      <w:r>
        <w:t>kändes av riksdagen senare under våren 1994 (bet. 1993/94:KU42). Det innebar bl.a. att ledningsformen enrådighetsverk borde väljas i första hand. Endast om tungt vägande skäl motiverade det borde enligt propositionen en myndighet ledas på annat sätt och då närmast av en styrelse. Som också framhölls i propositionen och av konstitutionsutskottet är det vid en öve</w:t>
      </w:r>
      <w:r>
        <w:t>r</w:t>
      </w:r>
      <w:r>
        <w:t xml:space="preserve">gång till enrådighetsverk av särskild vikt med demokratisk kontroll. Därför borde </w:t>
      </w:r>
      <w:r>
        <w:softHyphen/>
      </w:r>
      <w:r>
        <w:softHyphen/>
      </w:r>
      <w:r>
        <w:softHyphen/>
        <w:t>- bl.a. när myndigheter ombildas till enrådighetsverk - ett särskilt råd inrättas vid myndigheten med insyn som främsta uppgift.</w:t>
      </w:r>
    </w:p>
    <w:p w:rsidR="00F81F9E" w:rsidRDefault="00F81F9E">
      <w:pPr>
        <w:pStyle w:val="Normaltindrag"/>
      </w:pPr>
      <w:r>
        <w:t>Vad gäller BKN följer förslaget i den nu aktuella propositionen riksd</w:t>
      </w:r>
      <w:r>
        <w:t>a</w:t>
      </w:r>
      <w:r>
        <w:t>gens ovannämnda beslut.</w:t>
      </w:r>
    </w:p>
    <w:p w:rsidR="00F81F9E" w:rsidRDefault="00F81F9E">
      <w:pPr>
        <w:pStyle w:val="Normaltindrag"/>
      </w:pPr>
      <w:r>
        <w:t>För att tvekan inte skall råda om riksdagens inställning till de principer som bör vägleda bedömningarna av ledningsformerna för de centrala fö</w:t>
      </w:r>
      <w:r>
        <w:t>r</w:t>
      </w:r>
      <w:r>
        <w:t>valtnings-myndigheterna samt om ledningsformen för BKN bör riksdagen med anledning av propositionen som sin mening ge regeringen till känna vad nu anförts.</w:t>
      </w:r>
    </w:p>
    <w:p w:rsidR="00F81F9E" w:rsidRDefault="00F81F9E">
      <w:pPr>
        <w:pStyle w:val="Normaltindrag"/>
      </w:pPr>
      <w:r>
        <w:t xml:space="preserve"> </w:t>
      </w:r>
    </w:p>
    <w:p w:rsidR="00F81F9E" w:rsidRDefault="00F81F9E">
      <w:pPr>
        <w:pStyle w:val="Innehll"/>
      </w:pPr>
      <w:r>
        <w:br w:type="page"/>
        <w:t xml:space="preserve"> </w:t>
      </w:r>
    </w:p>
    <w:sectPr w:rsidR="00F81F9E">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F9E" w:rsidRDefault="00F81F9E">
      <w:pPr>
        <w:spacing w:before="0" w:line="240" w:lineRule="auto"/>
      </w:pPr>
      <w:r>
        <w:separator/>
      </w:r>
    </w:p>
  </w:endnote>
  <w:endnote w:type="continuationSeparator" w:id="0">
    <w:p w:rsidR="00F81F9E" w:rsidRDefault="00F81F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9E" w:rsidRDefault="00F81F9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9E" w:rsidRDefault="00F81F9E">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9E" w:rsidRDefault="00F81F9E">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F9E" w:rsidRDefault="00F81F9E">
      <w:pPr>
        <w:spacing w:before="0" w:line="240" w:lineRule="auto"/>
      </w:pPr>
      <w:r>
        <w:separator/>
      </w:r>
    </w:p>
  </w:footnote>
  <w:footnote w:type="continuationSeparator" w:id="0">
    <w:p w:rsidR="00F81F9E" w:rsidRDefault="00F81F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9E" w:rsidRDefault="00F81F9E">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1995/96:BoU1y</w:t>
    </w:r>
    <w:r>
      <w:fldChar w:fldCharType="end"/>
    </w:r>
  </w:p>
  <w:p w:rsidR="00F81F9E" w:rsidRDefault="00F81F9E">
    <w:pPr>
      <w:pStyle w:val="SidhuvudFText"/>
      <w:framePr w:w="2300" w:h="1642" w:hRule="exact" w:wrap="notBeside" w:vAnchor="margin" w:hAnchor="page" w:xAlign="in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81F9E" w:rsidRDefault="00F81F9E">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9E" w:rsidRDefault="00F81F9E">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1995/96:BoU1y</w:t>
    </w:r>
    <w:r>
      <w:fldChar w:fldCharType="end"/>
    </w:r>
  </w:p>
  <w:p w:rsidR="00F81F9E" w:rsidRDefault="00F81F9E">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81F9E" w:rsidRDefault="00F81F9E">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9E" w:rsidRDefault="00F81F9E">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40" r:id="rId2"/>
      </w:object>
    </w:r>
  </w:p>
  <w:p w:rsidR="00F81F9E" w:rsidRDefault="00F81F9E">
    <w:pPr>
      <w:pStyle w:val="SidhuvudFVapen"/>
      <w:framePr w:wrap="notBeside"/>
      <w:spacing w:line="230" w:lineRule="auto"/>
    </w:pPr>
    <w:bookmarkStart w:id="5" w:name="BnrVapen"/>
    <w:r>
      <w:t>1995/96</w:t>
    </w:r>
  </w:p>
  <w:p w:rsidR="00F81F9E" w:rsidRDefault="00F81F9E">
    <w:pPr>
      <w:pStyle w:val="SidhuvudFVapen"/>
      <w:framePr w:wrap="notBeside"/>
      <w:spacing w:line="230" w:lineRule="auto"/>
    </w:pPr>
    <w:r>
      <w:t xml:space="preserve">BoU1y </w:t>
    </w:r>
    <w:bookmarkEnd w:id="5"/>
    <w:r w:rsidR="0096116D">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514825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12491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F81F9E" w:rsidRDefault="00F81F9E">
    <w:pPr>
      <w:pStyle w:val="SidhuvudFText"/>
      <w:framePr w:wrap="notBeside"/>
      <w:spacing w:line="400" w:lineRule="exact"/>
      <w:ind w:right="629"/>
      <w:rPr>
        <w:sz w:val="36"/>
      </w:rPr>
    </w:pPr>
    <w:bookmarkStart w:id="6" w:name="DokumentTyp"/>
    <w:r>
      <w:rPr>
        <w:sz w:val="36"/>
      </w:rPr>
      <w:t xml:space="preserve">Bostadsutskottets yttrande </w:t>
    </w:r>
    <w:bookmarkEnd w:id="6"/>
    <w:r>
      <w:rPr>
        <w:sz w:val="36"/>
      </w:rPr>
      <w:t xml:space="preserve"> </w:t>
    </w:r>
  </w:p>
  <w:p w:rsidR="00F81F9E" w:rsidRDefault="00F81F9E">
    <w:pPr>
      <w:pStyle w:val="SidhuvudFText"/>
      <w:framePr w:wrap="notBeside"/>
      <w:spacing w:line="400" w:lineRule="exact"/>
      <w:ind w:right="629"/>
      <w:rPr>
        <w:sz w:val="36"/>
      </w:rPr>
    </w:pPr>
    <w:bookmarkStart w:id="7" w:name="Betänkandenummer"/>
    <w:r>
      <w:rPr>
        <w:sz w:val="36"/>
      </w:rPr>
      <w:t xml:space="preserve">1995/96:BoU1y </w:t>
    </w:r>
    <w:bookmarkEnd w:id="7"/>
    <w:r>
      <w:rPr>
        <w:sz w:val="36"/>
      </w:rPr>
      <w:t xml:space="preserve">       </w:t>
    </w:r>
    <w:bookmarkStart w:id="8" w:name="Utkast"/>
    <w:r>
      <w:rPr>
        <w:sz w:val="36"/>
      </w:rPr>
      <w:t xml:space="preserve"> </w:t>
    </w:r>
  </w:p>
  <w:p w:rsidR="00F81F9E" w:rsidRDefault="00F81F9E">
    <w:pPr>
      <w:pStyle w:val="SidhuvudFText"/>
      <w:framePr w:wrap="notBeside"/>
      <w:spacing w:before="40" w:after="900" w:line="280" w:lineRule="exact"/>
      <w:ind w:right="629"/>
      <w:rPr>
        <w:sz w:val="26"/>
      </w:rPr>
    </w:pPr>
    <w:bookmarkStart w:id="9" w:name="Rubrik"/>
    <w:bookmarkEnd w:id="8"/>
    <w:r>
      <w:rPr>
        <w:sz w:val="26"/>
      </w:rPr>
      <w:t xml:space="preserve">Förvaltningsmyndigheternas ledning </w:t>
    </w:r>
    <w:bookmarkEnd w:id="9"/>
    <w:r>
      <w:rPr>
        <w:sz w:val="26"/>
      </w:rPr>
      <w:t xml:space="preserve"> </w:t>
    </w:r>
  </w:p>
  <w:p w:rsidR="00F81F9E" w:rsidRDefault="00F81F9E">
    <w:pPr>
      <w:pStyle w:val="SidhuvudFText"/>
      <w:framePr w:wrap="notBeside"/>
      <w:spacing w:line="184" w:lineRule="exact"/>
    </w:pPr>
    <w:bookmarkStart w:id="10" w:name="RedSidhuvud"/>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1y"/>
    <w:docVar w:name="Flyttförsök" w:val="JA"/>
    <w:docVar w:name="HelaNamnet" w:val="1995/96:BoU1y"/>
    <w:docVar w:name="NR" w:val="1y"/>
    <w:docVar w:name="RUBRIK" w:val="Förvaltningsmyndigheternas ledning"/>
    <w:docVar w:name="SkapVERSION" w:val="V 4.6, 951016"/>
    <w:docVar w:name="USK" w:val="BoU"/>
    <w:docVar w:name="USKKORT" w:val="BoU"/>
    <w:docVar w:name="USKNAMN" w:val="Bostadsutskottets"/>
    <w:docVar w:name="ÅR" w:val="1995/96"/>
    <w:docVar w:name="ÅR1" w:val="1994"/>
  </w:docVars>
  <w:rsids>
    <w:rsidRoot w:val="0095023B"/>
    <w:rsid w:val="0095023B"/>
    <w:rsid w:val="0096116D"/>
    <w:rsid w:val="00F81F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FEE68B-E78C-44C1-8FBA-116BF90F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566</Words>
  <Characters>3646</Characters>
  <Application>Microsoft Office Word</Application>
  <DocSecurity>4</DocSecurity>
  <Lines>84</Lines>
  <Paragraphs>19</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1y</dc:title>
  <dc:subject>Bostadsutskottets betänkande nr 1y</dc:subject>
  <dc:creator>Riksdagen</dc:creator>
  <cp:keywords>Riksdagen</cp:keywords>
  <cp:lastModifiedBy>Lars Brink</cp:lastModifiedBy>
  <cp:revision>2</cp:revision>
  <cp:lastPrinted>1995-10-26T14:39:00Z</cp:lastPrinted>
  <dcterms:created xsi:type="dcterms:W3CDTF">2025-12-15T18:31:00Z</dcterms:created>
  <dcterms:modified xsi:type="dcterms:W3CDTF">2025-12-15T18:31:00Z</dcterms:modified>
</cp:coreProperties>
</file>