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C4516A">
              <w:rPr>
                <w:b/>
              </w:rPr>
              <w:t>26</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385C4C" w:rsidP="00AF3CA6">
            <w:pPr>
              <w:ind w:right="355"/>
            </w:pPr>
            <w:r>
              <w:t>2022-01-10</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02748E">
              <w:t>10.</w:t>
            </w:r>
            <w:r w:rsidR="0013636F">
              <w:t>00</w:t>
            </w:r>
            <w:r w:rsidR="0002748E">
              <w:t>-</w:t>
            </w:r>
            <w:r w:rsidR="00C4516A">
              <w:t>10:45</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5492F" w:rsidTr="008035C8">
        <w:tc>
          <w:tcPr>
            <w:tcW w:w="567" w:type="dxa"/>
          </w:tcPr>
          <w:p w:rsidR="00E5492F" w:rsidRDefault="00E5492F" w:rsidP="00EF57E7">
            <w:pPr>
              <w:tabs>
                <w:tab w:val="left" w:pos="1701"/>
              </w:tabs>
              <w:rPr>
                <w:b/>
                <w:snapToGrid w:val="0"/>
              </w:rPr>
            </w:pPr>
            <w:r>
              <w:rPr>
                <w:b/>
                <w:snapToGrid w:val="0"/>
              </w:rPr>
              <w:t>§ 1</w:t>
            </w:r>
          </w:p>
        </w:tc>
        <w:tc>
          <w:tcPr>
            <w:tcW w:w="7655" w:type="dxa"/>
          </w:tcPr>
          <w:p w:rsidR="00E5492F" w:rsidRPr="00C4516A" w:rsidRDefault="00E5492F" w:rsidP="00E5492F">
            <w:pPr>
              <w:outlineLvl w:val="0"/>
              <w:rPr>
                <w:b/>
                <w:szCs w:val="24"/>
              </w:rPr>
            </w:pPr>
            <w:r w:rsidRPr="00C4516A">
              <w:rPr>
                <w:b/>
                <w:szCs w:val="24"/>
              </w:rPr>
              <w:t>Fråga om medgivande till deltagande på distans</w:t>
            </w:r>
          </w:p>
          <w:p w:rsidR="00C4516A" w:rsidRDefault="00E5492F" w:rsidP="00C4516A">
            <w:pPr>
              <w:outlineLvl w:val="0"/>
              <w:rPr>
                <w:szCs w:val="24"/>
              </w:rPr>
            </w:pPr>
            <w:r w:rsidRPr="000E3445">
              <w:rPr>
                <w:szCs w:val="24"/>
              </w:rPr>
              <w:t>Utskottet medgav deltagande på distans för följande ordinarie ledamöter och suppleanter:</w:t>
            </w:r>
            <w:r w:rsidR="00C4516A">
              <w:rPr>
                <w:szCs w:val="24"/>
              </w:rPr>
              <w:t xml:space="preserve"> Gunilla Carlsson (S), Adnan Dibrani (S), Ingela Nylund Watz (S), Björn Wiechel (S), Eva Lindh (S), Joakim Sandell (S), Edward Riedl (M), Jan Ericson (M), Boriana Åberg (M), Sofia Westergren (M), </w:t>
            </w:r>
            <w:r w:rsidR="00C4516A" w:rsidRPr="00C4516A">
              <w:rPr>
                <w:szCs w:val="24"/>
              </w:rPr>
              <w:t xml:space="preserve">Oscar Sjöstedt (SD), Charlotte Quensel (SD), </w:t>
            </w:r>
            <w:r w:rsidR="00C4516A" w:rsidRPr="00444BCB">
              <w:rPr>
                <w:szCs w:val="24"/>
              </w:rPr>
              <w:t>Dennis Dioukarev (SD)</w:t>
            </w:r>
            <w:r w:rsidR="00C4516A">
              <w:rPr>
                <w:szCs w:val="24"/>
              </w:rPr>
              <w:t xml:space="preserve">, </w:t>
            </w:r>
            <w:r w:rsidR="00C4516A" w:rsidRPr="00C4516A">
              <w:rPr>
                <w:szCs w:val="24"/>
              </w:rPr>
              <w:t xml:space="preserve">David Perez (SD), Lars Thomsson (C), </w:t>
            </w:r>
            <w:r w:rsidR="00C4516A">
              <w:rPr>
                <w:szCs w:val="24"/>
              </w:rPr>
              <w:t>Ilona Szatmari Waldau (V), Jakob Forssmed (KD), Robert Halef (KD) och Karolina Skog (MP).</w:t>
            </w:r>
          </w:p>
          <w:p w:rsidR="0054521C" w:rsidRDefault="0054521C" w:rsidP="0054521C">
            <w:pPr>
              <w:outlineLvl w:val="0"/>
              <w:rPr>
                <w:snapToGrid w:val="0"/>
                <w:szCs w:val="24"/>
              </w:rPr>
            </w:pPr>
          </w:p>
          <w:p w:rsidR="0054521C" w:rsidRDefault="0054521C" w:rsidP="0054521C">
            <w:pPr>
              <w:outlineLvl w:val="0"/>
              <w:rPr>
                <w:snapToGrid w:val="0"/>
                <w:szCs w:val="24"/>
              </w:rPr>
            </w:pPr>
            <w:r>
              <w:rPr>
                <w:snapToGrid w:val="0"/>
                <w:szCs w:val="24"/>
              </w:rPr>
              <w:t xml:space="preserve">Nio </w:t>
            </w:r>
            <w:r w:rsidRPr="000E3445">
              <w:rPr>
                <w:snapToGrid w:val="0"/>
                <w:szCs w:val="24"/>
              </w:rPr>
              <w:t xml:space="preserve">tjänstemän från finansutskottets kansli </w:t>
            </w:r>
            <w:r>
              <w:rPr>
                <w:snapToGrid w:val="0"/>
                <w:szCs w:val="24"/>
              </w:rPr>
              <w:t xml:space="preserve">och en tjänsteman från EU-nämndens kansli </w:t>
            </w:r>
            <w:r w:rsidRPr="000E3445">
              <w:rPr>
                <w:snapToGrid w:val="0"/>
                <w:szCs w:val="24"/>
              </w:rPr>
              <w:t>var uppkopplade på distans.</w:t>
            </w:r>
          </w:p>
          <w:p w:rsidR="00E5492F" w:rsidRPr="00C4516A" w:rsidRDefault="00E5492F" w:rsidP="005E70F9">
            <w:pPr>
              <w:outlineLvl w:val="0"/>
              <w:rPr>
                <w:szCs w:val="24"/>
              </w:rPr>
            </w:pPr>
          </w:p>
        </w:tc>
      </w:tr>
      <w:tr w:rsidR="00C4516A" w:rsidTr="008035C8">
        <w:tc>
          <w:tcPr>
            <w:tcW w:w="567" w:type="dxa"/>
          </w:tcPr>
          <w:p w:rsidR="00C4516A" w:rsidRDefault="00C4516A" w:rsidP="00EF57E7">
            <w:pPr>
              <w:tabs>
                <w:tab w:val="left" w:pos="1701"/>
              </w:tabs>
              <w:rPr>
                <w:b/>
                <w:snapToGrid w:val="0"/>
              </w:rPr>
            </w:pPr>
            <w:r>
              <w:rPr>
                <w:b/>
                <w:snapToGrid w:val="0"/>
              </w:rPr>
              <w:t>§ 2</w:t>
            </w:r>
          </w:p>
          <w:p w:rsidR="00C4516A" w:rsidRDefault="00C4516A" w:rsidP="00EF57E7">
            <w:pPr>
              <w:tabs>
                <w:tab w:val="left" w:pos="1701"/>
              </w:tabs>
              <w:rPr>
                <w:b/>
                <w:snapToGrid w:val="0"/>
              </w:rPr>
            </w:pPr>
          </w:p>
          <w:p w:rsidR="00C4516A" w:rsidRDefault="00C4516A" w:rsidP="00EF57E7">
            <w:pPr>
              <w:tabs>
                <w:tab w:val="left" w:pos="1701"/>
              </w:tabs>
              <w:rPr>
                <w:b/>
                <w:snapToGrid w:val="0"/>
              </w:rPr>
            </w:pPr>
          </w:p>
          <w:p w:rsidR="00C4516A" w:rsidRDefault="00C4516A" w:rsidP="00EF57E7">
            <w:pPr>
              <w:tabs>
                <w:tab w:val="left" w:pos="1701"/>
              </w:tabs>
              <w:rPr>
                <w:b/>
                <w:snapToGrid w:val="0"/>
              </w:rPr>
            </w:pPr>
          </w:p>
        </w:tc>
        <w:tc>
          <w:tcPr>
            <w:tcW w:w="7655" w:type="dxa"/>
          </w:tcPr>
          <w:p w:rsidR="00C4516A" w:rsidRPr="00C4516A" w:rsidRDefault="00C4516A" w:rsidP="00C4516A">
            <w:pPr>
              <w:outlineLvl w:val="0"/>
              <w:rPr>
                <w:rFonts w:eastAsiaTheme="minorHAnsi"/>
                <w:b/>
                <w:color w:val="000000" w:themeColor="text1"/>
                <w:szCs w:val="24"/>
                <w:lang w:eastAsia="en-US"/>
              </w:rPr>
            </w:pPr>
            <w:r w:rsidRPr="00C4516A">
              <w:rPr>
                <w:rFonts w:eastAsiaTheme="minorHAnsi"/>
                <w:b/>
                <w:color w:val="000000" w:themeColor="text1"/>
                <w:szCs w:val="24"/>
                <w:lang w:eastAsia="en-US"/>
              </w:rPr>
              <w:t>Taxonomin</w:t>
            </w:r>
          </w:p>
          <w:p w:rsidR="00C4516A" w:rsidRDefault="00C4516A" w:rsidP="00C4516A">
            <w:pPr>
              <w:autoSpaceDE w:val="0"/>
              <w:autoSpaceDN w:val="0"/>
              <w:adjustRightInd w:val="0"/>
              <w:rPr>
                <w:rFonts w:eastAsiaTheme="minorHAnsi"/>
                <w:color w:val="000000" w:themeColor="text1"/>
                <w:szCs w:val="24"/>
                <w:lang w:eastAsia="en-US"/>
              </w:rPr>
            </w:pPr>
            <w:r w:rsidRPr="00C4516A">
              <w:rPr>
                <w:rFonts w:eastAsiaTheme="minorHAnsi"/>
                <w:color w:val="000000" w:themeColor="text1"/>
                <w:szCs w:val="24"/>
                <w:lang w:eastAsia="en-US"/>
              </w:rPr>
              <w:t xml:space="preserve">Utskottet överlade med finansmarknadsminister Max </w:t>
            </w:r>
            <w:proofErr w:type="spellStart"/>
            <w:r w:rsidRPr="00C4516A">
              <w:rPr>
                <w:rFonts w:eastAsiaTheme="minorHAnsi"/>
                <w:color w:val="000000" w:themeColor="text1"/>
                <w:szCs w:val="24"/>
                <w:lang w:eastAsia="en-US"/>
              </w:rPr>
              <w:t>Elger</w:t>
            </w:r>
            <w:proofErr w:type="spellEnd"/>
            <w:r w:rsidRPr="00C4516A">
              <w:rPr>
                <w:rFonts w:eastAsiaTheme="minorHAnsi"/>
                <w:color w:val="000000" w:themeColor="text1"/>
                <w:szCs w:val="24"/>
                <w:lang w:eastAsia="en-US"/>
              </w:rPr>
              <w:t xml:space="preserve"> om kommissionens utkast till kompletterande delegerad akt till taxonomi</w:t>
            </w:r>
            <w:r>
              <w:rPr>
                <w:rFonts w:eastAsiaTheme="minorHAnsi"/>
                <w:color w:val="000000" w:themeColor="text1"/>
                <w:szCs w:val="24"/>
                <w:lang w:eastAsia="en-US"/>
              </w:rPr>
              <w:t>-</w:t>
            </w:r>
            <w:r w:rsidRPr="00C4516A">
              <w:rPr>
                <w:rFonts w:eastAsiaTheme="minorHAnsi"/>
                <w:color w:val="000000" w:themeColor="text1"/>
                <w:szCs w:val="24"/>
                <w:lang w:eastAsia="en-US"/>
              </w:rPr>
              <w:t xml:space="preserve">förordningen. </w:t>
            </w:r>
          </w:p>
          <w:p w:rsidR="0054521C" w:rsidRDefault="0054521C" w:rsidP="00C4516A">
            <w:pPr>
              <w:autoSpaceDE w:val="0"/>
              <w:autoSpaceDN w:val="0"/>
              <w:adjustRightInd w:val="0"/>
              <w:rPr>
                <w:rFonts w:eastAsiaTheme="minorHAnsi"/>
                <w:color w:val="000000" w:themeColor="text1"/>
                <w:szCs w:val="24"/>
                <w:lang w:eastAsia="en-US"/>
              </w:rPr>
            </w:pPr>
          </w:p>
          <w:p w:rsidR="0054521C" w:rsidRPr="00C4516A" w:rsidRDefault="0054521C" w:rsidP="00C4516A">
            <w:pPr>
              <w:autoSpaceDE w:val="0"/>
              <w:autoSpaceDN w:val="0"/>
              <w:adjustRightInd w:val="0"/>
              <w:rPr>
                <w:rFonts w:eastAsiaTheme="minorHAnsi"/>
                <w:color w:val="000000" w:themeColor="text1"/>
                <w:szCs w:val="24"/>
                <w:lang w:eastAsia="en-US"/>
              </w:rPr>
            </w:pPr>
            <w:r>
              <w:rPr>
                <w:rFonts w:eastAsiaTheme="minorHAnsi"/>
                <w:color w:val="000000" w:themeColor="text1"/>
                <w:szCs w:val="24"/>
                <w:lang w:eastAsia="en-US"/>
              </w:rPr>
              <w:t xml:space="preserve">Statsrådet och fem tjänstemän deltog på distans. </w:t>
            </w:r>
          </w:p>
          <w:p w:rsidR="00C4516A" w:rsidRPr="00C4516A" w:rsidRDefault="00C4516A" w:rsidP="00C4516A">
            <w:pPr>
              <w:outlineLvl w:val="0"/>
              <w:rPr>
                <w:rFonts w:eastAsiaTheme="minorHAnsi"/>
                <w:color w:val="000000" w:themeColor="text1"/>
                <w:szCs w:val="24"/>
                <w:lang w:eastAsia="en-US"/>
              </w:rPr>
            </w:pPr>
          </w:p>
          <w:p w:rsidR="00C4516A" w:rsidRPr="00C4516A" w:rsidRDefault="00C4516A" w:rsidP="00C4516A">
            <w:pPr>
              <w:outlineLvl w:val="0"/>
              <w:rPr>
                <w:rFonts w:eastAsiaTheme="minorHAnsi"/>
                <w:color w:val="000000" w:themeColor="text1"/>
                <w:szCs w:val="24"/>
                <w:lang w:eastAsia="en-US"/>
              </w:rPr>
            </w:pPr>
            <w:r w:rsidRPr="006E6922">
              <w:rPr>
                <w:rFonts w:eastAsiaTheme="minorHAnsi"/>
                <w:color w:val="000000" w:themeColor="text1"/>
                <w:szCs w:val="24"/>
                <w:lang w:eastAsia="en-US"/>
              </w:rPr>
              <w:t xml:space="preserve">Underlaget utgjordes </w:t>
            </w:r>
            <w:r>
              <w:rPr>
                <w:rFonts w:eastAsiaTheme="minorHAnsi"/>
                <w:color w:val="000000" w:themeColor="text1"/>
                <w:szCs w:val="24"/>
                <w:lang w:eastAsia="en-US"/>
              </w:rPr>
              <w:t>av R</w:t>
            </w:r>
            <w:r w:rsidRPr="006E6922">
              <w:rPr>
                <w:rFonts w:eastAsiaTheme="minorHAnsi"/>
                <w:color w:val="000000" w:themeColor="text1"/>
                <w:szCs w:val="24"/>
                <w:lang w:eastAsia="en-US"/>
              </w:rPr>
              <w:t xml:space="preserve">egeringskansliets </w:t>
            </w:r>
            <w:r>
              <w:rPr>
                <w:rFonts w:eastAsiaTheme="minorHAnsi"/>
                <w:color w:val="000000" w:themeColor="text1"/>
                <w:szCs w:val="24"/>
                <w:lang w:eastAsia="en-US"/>
              </w:rPr>
              <w:t>överläggnings</w:t>
            </w:r>
            <w:r w:rsidRPr="006E6922">
              <w:rPr>
                <w:rFonts w:eastAsiaTheme="minorHAnsi"/>
                <w:color w:val="000000" w:themeColor="text1"/>
                <w:szCs w:val="24"/>
                <w:lang w:eastAsia="en-US"/>
              </w:rPr>
              <w:t xml:space="preserve">-PM </w:t>
            </w:r>
            <w:r w:rsidRPr="00C4516A">
              <w:rPr>
                <w:rFonts w:eastAsiaTheme="minorHAnsi"/>
              </w:rPr>
              <w:t>och en presentation</w:t>
            </w:r>
            <w:r>
              <w:rPr>
                <w:rFonts w:eastAsiaTheme="minorHAnsi"/>
              </w:rPr>
              <w:t xml:space="preserve"> (</w:t>
            </w:r>
            <w:r w:rsidR="00877E43">
              <w:rPr>
                <w:rFonts w:eastAsiaTheme="minorHAnsi"/>
              </w:rPr>
              <w:t xml:space="preserve">dnr. </w:t>
            </w:r>
            <w:r w:rsidR="00877E43">
              <w:t>326-2021/22</w:t>
            </w:r>
            <w:r>
              <w:rPr>
                <w:rFonts w:eastAsiaTheme="minorHAnsi"/>
              </w:rPr>
              <w:t>)</w:t>
            </w:r>
            <w:r w:rsidRPr="00C4516A">
              <w:rPr>
                <w:rFonts w:eastAsiaTheme="minorHAnsi"/>
                <w:color w:val="000000" w:themeColor="text1"/>
                <w:szCs w:val="24"/>
                <w:lang w:eastAsia="en-US"/>
              </w:rPr>
              <w:t>.</w:t>
            </w:r>
          </w:p>
          <w:p w:rsidR="00C4516A" w:rsidRPr="00C4516A" w:rsidRDefault="00C4516A" w:rsidP="00C4516A">
            <w:pPr>
              <w:outlineLvl w:val="0"/>
              <w:rPr>
                <w:rFonts w:eastAsiaTheme="minorHAnsi"/>
                <w:color w:val="000000" w:themeColor="text1"/>
                <w:szCs w:val="24"/>
                <w:lang w:eastAsia="en-US"/>
              </w:rPr>
            </w:pPr>
          </w:p>
          <w:p w:rsidR="00C4516A" w:rsidRDefault="00C4516A" w:rsidP="00C4516A">
            <w:pPr>
              <w:outlineLvl w:val="0"/>
              <w:rPr>
                <w:rFonts w:eastAsiaTheme="minorHAnsi"/>
                <w:color w:val="000000" w:themeColor="text1"/>
                <w:szCs w:val="24"/>
                <w:lang w:eastAsia="en-US"/>
              </w:rPr>
            </w:pPr>
            <w:r w:rsidRPr="00C4516A">
              <w:rPr>
                <w:rFonts w:eastAsiaTheme="minorHAnsi"/>
                <w:color w:val="000000" w:themeColor="text1"/>
                <w:szCs w:val="24"/>
                <w:lang w:eastAsia="en-US"/>
              </w:rPr>
              <w:t xml:space="preserve">Statsrådet redogjorde för regeringens förslag till ståndpunkt i enlighet med </w:t>
            </w:r>
            <w:r>
              <w:rPr>
                <w:rFonts w:eastAsiaTheme="minorHAnsi"/>
                <w:color w:val="000000" w:themeColor="text1"/>
                <w:szCs w:val="24"/>
                <w:lang w:eastAsia="en-US"/>
              </w:rPr>
              <w:t>promemorian:</w:t>
            </w:r>
          </w:p>
          <w:p w:rsidR="00C4516A" w:rsidRPr="00C4516A" w:rsidRDefault="00C4516A" w:rsidP="00C4516A">
            <w:pPr>
              <w:widowControl/>
              <w:autoSpaceDE w:val="0"/>
              <w:autoSpaceDN w:val="0"/>
              <w:adjustRightInd w:val="0"/>
              <w:ind w:left="2"/>
              <w:rPr>
                <w:rFonts w:eastAsiaTheme="minorHAnsi"/>
                <w:color w:val="000000" w:themeColor="text1"/>
                <w:szCs w:val="24"/>
                <w:lang w:eastAsia="en-US"/>
              </w:rPr>
            </w:pPr>
            <w:r w:rsidRPr="00C4516A">
              <w:rPr>
                <w:rFonts w:eastAsiaTheme="minorHAnsi"/>
                <w:color w:val="000000" w:themeColor="text1"/>
                <w:szCs w:val="24"/>
                <w:lang w:eastAsia="en-US"/>
              </w:rPr>
              <w:t xml:space="preserve">Regeringen stödjer fortsatt det övergripande syftet med EU:s gröna taxonomi och är angelägen om att taxonomin ska kunna börja tillämpas. För att nå EU:s klimatmål och målsättningarna inom den gröna given så behöver investeringar i större utsträckning styras mot hållbara projekt och verksamheter. En grundförutsättning för detta är att investerare, företag och beslutsfattare kan identifiera och jämföra investeringar utifrån gemensamma definitioner. Etableringen av ett klassificeringssystem, en EU-gemensam grön taxonomi, är därför en central åtgärd. </w:t>
            </w:r>
          </w:p>
          <w:p w:rsidR="00C4516A" w:rsidRDefault="00C4516A" w:rsidP="00C4516A">
            <w:pPr>
              <w:widowControl/>
              <w:autoSpaceDE w:val="0"/>
              <w:autoSpaceDN w:val="0"/>
              <w:adjustRightInd w:val="0"/>
              <w:ind w:left="2"/>
              <w:rPr>
                <w:rFonts w:eastAsiaTheme="minorHAnsi"/>
                <w:color w:val="000000" w:themeColor="text1"/>
                <w:szCs w:val="24"/>
                <w:lang w:eastAsia="en-US"/>
              </w:rPr>
            </w:pPr>
          </w:p>
          <w:p w:rsidR="00C4516A" w:rsidRDefault="00C4516A" w:rsidP="00C4516A">
            <w:pPr>
              <w:widowControl/>
              <w:autoSpaceDE w:val="0"/>
              <w:autoSpaceDN w:val="0"/>
              <w:adjustRightInd w:val="0"/>
              <w:ind w:left="2"/>
              <w:rPr>
                <w:rFonts w:eastAsiaTheme="minorHAnsi"/>
                <w:color w:val="000000" w:themeColor="text1"/>
                <w:szCs w:val="24"/>
                <w:lang w:eastAsia="en-US"/>
              </w:rPr>
            </w:pPr>
            <w:r w:rsidRPr="00C4516A">
              <w:rPr>
                <w:rFonts w:eastAsiaTheme="minorHAnsi"/>
                <w:color w:val="000000" w:themeColor="text1"/>
                <w:szCs w:val="24"/>
                <w:lang w:eastAsia="en-US"/>
              </w:rPr>
              <w:t xml:space="preserve">När det gäller kommissionens utkast till kompletterande delegerad akt till taxonomiförordningen så avser regeringen lämna synpunkter på utkastet med utgångspunkt i följande ståndpunkter. Ståndpunkterna om kärnkraft tar sin utgångspunkt i de ståndpunkter som tidigare har förankrats med finansutskottet och EU-nämnden. </w:t>
            </w:r>
          </w:p>
          <w:p w:rsidR="00C4516A" w:rsidRPr="00C4516A" w:rsidRDefault="00C4516A" w:rsidP="00C4516A">
            <w:pPr>
              <w:widowControl/>
              <w:autoSpaceDE w:val="0"/>
              <w:autoSpaceDN w:val="0"/>
              <w:adjustRightInd w:val="0"/>
              <w:ind w:left="286"/>
              <w:rPr>
                <w:rFonts w:eastAsiaTheme="minorHAnsi"/>
                <w:color w:val="000000" w:themeColor="text1"/>
                <w:szCs w:val="24"/>
                <w:lang w:eastAsia="en-US"/>
              </w:rPr>
            </w:pPr>
          </w:p>
          <w:p w:rsidR="00C4516A" w:rsidRDefault="00C4516A" w:rsidP="00C4516A">
            <w:pPr>
              <w:pStyle w:val="Liststycke"/>
              <w:widowControl/>
              <w:numPr>
                <w:ilvl w:val="0"/>
                <w:numId w:val="10"/>
              </w:numPr>
              <w:autoSpaceDE w:val="0"/>
              <w:autoSpaceDN w:val="0"/>
              <w:adjustRightInd w:val="0"/>
              <w:spacing w:after="345"/>
              <w:ind w:left="427"/>
              <w:rPr>
                <w:rFonts w:eastAsiaTheme="minorHAnsi"/>
                <w:color w:val="000000" w:themeColor="text1"/>
                <w:szCs w:val="24"/>
                <w:lang w:eastAsia="en-US"/>
              </w:rPr>
            </w:pPr>
            <w:r w:rsidRPr="00C4516A">
              <w:rPr>
                <w:rFonts w:eastAsiaTheme="minorHAnsi"/>
                <w:i/>
                <w:color w:val="000000" w:themeColor="text1"/>
                <w:szCs w:val="24"/>
                <w:lang w:eastAsia="en-US"/>
              </w:rPr>
              <w:t>Regeringen är kritisk till kommissionens hantering av den delegerade akten.</w:t>
            </w:r>
            <w:r w:rsidRPr="00C4516A">
              <w:rPr>
                <w:rFonts w:eastAsiaTheme="minorHAnsi"/>
                <w:color w:val="000000" w:themeColor="text1"/>
                <w:szCs w:val="24"/>
                <w:lang w:eastAsia="en-US"/>
              </w:rPr>
              <w:t xml:space="preserve"> Regeringen anser att kommissionen borde hålla en offentlig konsultation kring utkastet till delegerad akt. Regeringen anser vidare att medlems-staterna borde ha fått mer tid för att granska, analysera och </w:t>
            </w:r>
            <w:r w:rsidRPr="00C4516A">
              <w:rPr>
                <w:rFonts w:eastAsiaTheme="minorHAnsi"/>
                <w:color w:val="000000" w:themeColor="text1"/>
                <w:szCs w:val="24"/>
                <w:lang w:eastAsia="en-US"/>
              </w:rPr>
              <w:lastRenderedPageBreak/>
              <w:t xml:space="preserve">lämna synpunkter på utkastet. Såväl medlemsstaterna som andra intressenter borde ges tillfälle och tillräckligt med tid för att lämna meningsfulla och effektiva synpunkter på utkastet, särskilt mot bakgrund av utkastets detaljeringsgrad, tekniska komplexitet och politiskt känsliga innehåll. Regeringen är också kritisk till att den rådgivande expertplattform som bistår kommissionen i arbetet med EU:s gröna taxonomi, den så kallade plattformen för hållbar finansiering, inte har konsulterats i ett tidigare skede. För att taxonomin ska blir ett trovärdigt verktyg så är det av stor vikt att arbetet med att utveckla taxonomin sker på ett sätt som är transparent och inkluderade. </w:t>
            </w:r>
          </w:p>
          <w:p w:rsidR="00C4516A" w:rsidRPr="00C4516A" w:rsidRDefault="00C4516A" w:rsidP="00C4516A">
            <w:pPr>
              <w:pStyle w:val="Liststycke"/>
              <w:widowControl/>
              <w:autoSpaceDE w:val="0"/>
              <w:autoSpaceDN w:val="0"/>
              <w:adjustRightInd w:val="0"/>
              <w:spacing w:after="345"/>
              <w:ind w:left="427"/>
              <w:rPr>
                <w:rFonts w:eastAsiaTheme="minorHAnsi"/>
                <w:color w:val="000000" w:themeColor="text1"/>
                <w:szCs w:val="24"/>
                <w:lang w:eastAsia="en-US"/>
              </w:rPr>
            </w:pPr>
          </w:p>
          <w:p w:rsidR="00C4516A" w:rsidRDefault="00C4516A" w:rsidP="00C4516A">
            <w:pPr>
              <w:pStyle w:val="Liststycke"/>
              <w:widowControl/>
              <w:numPr>
                <w:ilvl w:val="0"/>
                <w:numId w:val="10"/>
              </w:numPr>
              <w:autoSpaceDE w:val="0"/>
              <w:autoSpaceDN w:val="0"/>
              <w:adjustRightInd w:val="0"/>
              <w:spacing w:after="345"/>
              <w:ind w:left="427"/>
              <w:rPr>
                <w:rFonts w:eastAsiaTheme="minorHAnsi"/>
                <w:color w:val="000000" w:themeColor="text1"/>
                <w:szCs w:val="24"/>
                <w:lang w:eastAsia="en-US"/>
              </w:rPr>
            </w:pPr>
            <w:r w:rsidRPr="00C4516A">
              <w:rPr>
                <w:rFonts w:eastAsiaTheme="minorHAnsi"/>
                <w:i/>
                <w:color w:val="000000" w:themeColor="text1"/>
                <w:szCs w:val="24"/>
                <w:lang w:eastAsia="en-US"/>
              </w:rPr>
              <w:t>Regeringen är kritisk till att naturgasrelaterade verksamheter under vissa förutsättningar anses hållbara i EU:s gröna taxonomi och därmed ger naturgas legitimitet som ett framtidsbränsle.</w:t>
            </w:r>
            <w:r w:rsidRPr="00C4516A">
              <w:rPr>
                <w:rFonts w:eastAsiaTheme="minorHAnsi"/>
                <w:color w:val="000000" w:themeColor="text1"/>
                <w:szCs w:val="24"/>
                <w:lang w:eastAsia="en-US"/>
              </w:rPr>
              <w:t xml:space="preserve"> Taxonomin ska tvärtom vara ett instrument för att underlätta utfasningen av fossila bränslen och främja fossilfria alternativ. Regeringen anser att kommissionen bör värna principen om teknikneutralitet, vilket innebär att samma utsläppskrav bör ställas på fossila bränslen som på förnybar energi, kärnkraft och övriga energirelaterade verksamheter. </w:t>
            </w:r>
          </w:p>
          <w:p w:rsidR="00C4516A" w:rsidRPr="00C4516A" w:rsidRDefault="00C4516A" w:rsidP="00C4516A">
            <w:pPr>
              <w:pStyle w:val="Liststycke"/>
              <w:ind w:left="427"/>
              <w:rPr>
                <w:rFonts w:eastAsiaTheme="minorHAnsi"/>
                <w:color w:val="000000" w:themeColor="text1"/>
                <w:szCs w:val="24"/>
                <w:lang w:eastAsia="en-US"/>
              </w:rPr>
            </w:pPr>
          </w:p>
          <w:p w:rsidR="00C4516A" w:rsidRDefault="00C4516A" w:rsidP="00C4516A">
            <w:pPr>
              <w:pStyle w:val="Liststycke"/>
              <w:widowControl/>
              <w:numPr>
                <w:ilvl w:val="0"/>
                <w:numId w:val="10"/>
              </w:numPr>
              <w:autoSpaceDE w:val="0"/>
              <w:autoSpaceDN w:val="0"/>
              <w:adjustRightInd w:val="0"/>
              <w:spacing w:after="345"/>
              <w:ind w:left="427"/>
              <w:rPr>
                <w:rFonts w:eastAsiaTheme="minorHAnsi"/>
                <w:color w:val="000000" w:themeColor="text1"/>
                <w:szCs w:val="24"/>
                <w:lang w:eastAsia="en-US"/>
              </w:rPr>
            </w:pPr>
            <w:r w:rsidRPr="00C4516A">
              <w:rPr>
                <w:rFonts w:eastAsiaTheme="minorHAnsi"/>
                <w:i/>
                <w:color w:val="000000" w:themeColor="text1"/>
                <w:szCs w:val="24"/>
                <w:lang w:eastAsia="en-US"/>
              </w:rPr>
              <w:t>Regeringen anser, mot bakgrund av principen om teknikneutralitet, att kärnkraftsrelaterade verksamheter kan inkluderas i EU:s gröna taxonomi.</w:t>
            </w:r>
            <w:r w:rsidRPr="00C4516A">
              <w:rPr>
                <w:rFonts w:eastAsiaTheme="minorHAnsi"/>
                <w:color w:val="000000" w:themeColor="text1"/>
                <w:szCs w:val="24"/>
                <w:lang w:eastAsia="en-US"/>
              </w:rPr>
              <w:t xml:space="preserve"> Regeringen anser att alla fossilfria tekniker, inklusive kärnkraft, som har stor potential att bidra till de klimatrelaterade målen samt uppfyller stränga säkerhets- och miljökrav bör kunna ingå i taxonomin. Regeringen anser att de tekniska granskningskriterierna inte bör ställa högre krav på kärnkraftsrelaterade verksamheter än de som ställs i svensk lagstiftning. Regeringen anser att granskningskriterierna inte ska specificera någon bortre tidsgräns för kärnkraft. Regeringen anser att gransknings-kriterierna bör säkerställa att det finns en plan för ett långsiktigt hållbart och säkert omhändertagande av använt kärnbränsle och radioaktivt avfall, inklusive tillräcklig finansiering och praktiska förutsättningar för att omhänderta avfallet när det uppstår och behöver hanteras. </w:t>
            </w:r>
          </w:p>
          <w:p w:rsidR="00C4516A" w:rsidRPr="00C4516A" w:rsidRDefault="00C4516A" w:rsidP="00C4516A">
            <w:pPr>
              <w:pStyle w:val="Liststycke"/>
              <w:rPr>
                <w:rFonts w:eastAsiaTheme="minorHAnsi"/>
                <w:color w:val="000000" w:themeColor="text1"/>
                <w:szCs w:val="24"/>
                <w:lang w:eastAsia="en-US"/>
              </w:rPr>
            </w:pPr>
          </w:p>
          <w:p w:rsidR="00C4516A" w:rsidRPr="00C4516A" w:rsidRDefault="00C4516A" w:rsidP="00C4516A">
            <w:pPr>
              <w:pStyle w:val="Liststycke"/>
              <w:widowControl/>
              <w:autoSpaceDE w:val="0"/>
              <w:autoSpaceDN w:val="0"/>
              <w:adjustRightInd w:val="0"/>
              <w:spacing w:after="345"/>
              <w:ind w:left="2"/>
              <w:rPr>
                <w:rFonts w:eastAsiaTheme="minorHAnsi"/>
                <w:color w:val="000000" w:themeColor="text1"/>
                <w:szCs w:val="24"/>
                <w:lang w:eastAsia="en-US"/>
              </w:rPr>
            </w:pPr>
            <w:r>
              <w:rPr>
                <w:rFonts w:eastAsiaTheme="minorHAnsi"/>
                <w:color w:val="000000" w:themeColor="text1"/>
                <w:szCs w:val="24"/>
                <w:lang w:eastAsia="en-US"/>
              </w:rPr>
              <w:t xml:space="preserve">Utskottet beslutade att </w:t>
            </w:r>
            <w:r w:rsidR="0013636F">
              <w:rPr>
                <w:rFonts w:eastAsiaTheme="minorHAnsi"/>
                <w:color w:val="000000" w:themeColor="text1"/>
                <w:szCs w:val="24"/>
                <w:lang w:eastAsia="en-US"/>
              </w:rPr>
              <w:t xml:space="preserve">bordlägga frågan om </w:t>
            </w:r>
            <w:r w:rsidR="006C09FE">
              <w:t>stöd för regeringens ståndpunkt</w:t>
            </w:r>
            <w:r w:rsidR="006C09FE">
              <w:rPr>
                <w:rFonts w:eastAsiaTheme="minorHAnsi"/>
                <w:color w:val="000000" w:themeColor="text1"/>
                <w:szCs w:val="24"/>
                <w:lang w:eastAsia="en-US"/>
              </w:rPr>
              <w:t xml:space="preserve"> </w:t>
            </w:r>
            <w:r>
              <w:rPr>
                <w:rFonts w:eastAsiaTheme="minorHAnsi"/>
                <w:color w:val="000000" w:themeColor="text1"/>
                <w:szCs w:val="24"/>
                <w:lang w:eastAsia="en-US"/>
              </w:rPr>
              <w:t xml:space="preserve">och </w:t>
            </w:r>
            <w:r w:rsidR="00445BE4">
              <w:rPr>
                <w:rFonts w:eastAsiaTheme="minorHAnsi"/>
                <w:color w:val="000000" w:themeColor="text1"/>
                <w:szCs w:val="24"/>
                <w:lang w:eastAsia="en-US"/>
              </w:rPr>
              <w:t xml:space="preserve">att </w:t>
            </w:r>
            <w:r>
              <w:rPr>
                <w:rFonts w:eastAsiaTheme="minorHAnsi"/>
                <w:color w:val="000000" w:themeColor="text1"/>
                <w:szCs w:val="24"/>
                <w:lang w:eastAsia="en-US"/>
              </w:rPr>
              <w:t>fortsät</w:t>
            </w:r>
            <w:r w:rsidR="0013636F">
              <w:rPr>
                <w:rFonts w:eastAsiaTheme="minorHAnsi"/>
                <w:color w:val="000000" w:themeColor="text1"/>
                <w:szCs w:val="24"/>
                <w:lang w:eastAsia="en-US"/>
              </w:rPr>
              <w:t>t</w:t>
            </w:r>
            <w:r w:rsidR="00445BE4">
              <w:rPr>
                <w:rFonts w:eastAsiaTheme="minorHAnsi"/>
                <w:color w:val="000000" w:themeColor="text1"/>
                <w:szCs w:val="24"/>
                <w:lang w:eastAsia="en-US"/>
              </w:rPr>
              <w:t>a</w:t>
            </w:r>
            <w:r>
              <w:rPr>
                <w:rFonts w:eastAsiaTheme="minorHAnsi"/>
                <w:color w:val="000000" w:themeColor="text1"/>
                <w:szCs w:val="24"/>
                <w:lang w:eastAsia="en-US"/>
              </w:rPr>
              <w:t xml:space="preserve"> överläggningen vid nästa sammanträde.</w:t>
            </w: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lastRenderedPageBreak/>
              <w:t xml:space="preserve">§ </w:t>
            </w:r>
            <w:r w:rsidR="00C4516A">
              <w:rPr>
                <w:b/>
                <w:snapToGrid w:val="0"/>
              </w:rPr>
              <w:t>3</w:t>
            </w:r>
          </w:p>
        </w:tc>
        <w:tc>
          <w:tcPr>
            <w:tcW w:w="7655" w:type="dxa"/>
          </w:tcPr>
          <w:p w:rsidR="00CD7E8B" w:rsidRPr="00AD47F5" w:rsidRDefault="00AD47F5" w:rsidP="00D021DB">
            <w:pPr>
              <w:outlineLvl w:val="0"/>
              <w:rPr>
                <w:b/>
                <w:bCs/>
              </w:rPr>
            </w:pPr>
            <w:r w:rsidRPr="00AD47F5">
              <w:rPr>
                <w:b/>
                <w:bCs/>
              </w:rPr>
              <w:t>Nästa sammanträde</w:t>
            </w:r>
            <w:r w:rsidR="0002748E">
              <w:rPr>
                <w:b/>
                <w:bCs/>
              </w:rPr>
              <w:br/>
            </w:r>
            <w:r w:rsidR="00C4516A">
              <w:rPr>
                <w:rFonts w:eastAsiaTheme="minorHAnsi"/>
                <w:color w:val="000000" w:themeColor="text1"/>
                <w:szCs w:val="24"/>
                <w:lang w:eastAsia="en-US"/>
              </w:rPr>
              <w:t>Torsdag 13 januari kl. 10.30.</w:t>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02748E" w:rsidRDefault="0002748E" w:rsidP="00C15B79">
            <w:pPr>
              <w:outlineLvl w:val="0"/>
              <w:rPr>
                <w:bCs/>
              </w:rPr>
            </w:pPr>
          </w:p>
          <w:p w:rsidR="00C4516A" w:rsidRDefault="00C4516A"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914E3E" w:rsidP="00C15B79">
            <w:pPr>
              <w:outlineLvl w:val="0"/>
              <w:rPr>
                <w:bCs/>
              </w:rPr>
            </w:pPr>
            <w:r>
              <w:rPr>
                <w:bCs/>
              </w:rPr>
              <w:t>Åsa Westlund</w:t>
            </w:r>
          </w:p>
          <w:p w:rsidR="00D12ED4" w:rsidRPr="00D12ED4" w:rsidRDefault="00D12ED4" w:rsidP="00C15B79">
            <w:pPr>
              <w:outlineLvl w:val="0"/>
              <w:rPr>
                <w:bCs/>
              </w:rPr>
            </w:pPr>
          </w:p>
        </w:tc>
      </w:tr>
      <w:tr w:rsidR="002C538C" w:rsidTr="008035C8">
        <w:tc>
          <w:tcPr>
            <w:tcW w:w="8222"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1D4967" w:rsidRDefault="001D4967">
      <w:pPr>
        <w:widowControl/>
        <w:rPr>
          <w:sz w:val="20"/>
        </w:rPr>
      </w:pPr>
      <w:r>
        <w:rPr>
          <w:sz w:val="20"/>
        </w:rPr>
        <w:br w:type="page"/>
      </w:r>
    </w:p>
    <w:p w:rsidR="004C6601" w:rsidRDefault="004C6601" w:rsidP="004C6601">
      <w:pPr>
        <w:pStyle w:val="Sidhuvud"/>
        <w:tabs>
          <w:tab w:val="clear" w:pos="4536"/>
          <w:tab w:val="left" w:pos="3402"/>
          <w:tab w:val="left" w:pos="5529"/>
        </w:tabs>
        <w:ind w:left="-851"/>
        <w:rPr>
          <w:sz w:val="22"/>
        </w:rPr>
      </w:pPr>
      <w:bookmarkStart w:id="0" w:name="_GoBack"/>
      <w:bookmarkEnd w:id="0"/>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FF5EB6">
        <w:rPr>
          <w:sz w:val="22"/>
          <w:szCs w:val="22"/>
        </w:rPr>
        <w:t>26</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F5EB6"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FF5EB6" w:rsidP="006B55D9">
            <w:pPr>
              <w:rPr>
                <w:sz w:val="22"/>
                <w:szCs w:val="22"/>
              </w:rPr>
            </w:pPr>
            <w:r>
              <w:rPr>
                <w:sz w:val="22"/>
                <w:szCs w:val="22"/>
              </w:rPr>
              <w:t>§</w:t>
            </w:r>
            <w:proofErr w:type="gramStart"/>
            <w:r>
              <w:rPr>
                <w:sz w:val="22"/>
                <w:szCs w:val="22"/>
              </w:rPr>
              <w:t>2</w:t>
            </w:r>
            <w:r w:rsidR="00C4516A">
              <w:rPr>
                <w:sz w:val="22"/>
                <w:szCs w:val="22"/>
              </w:rPr>
              <w:t>-3</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Default="00FF5EB6" w:rsidP="00FF5EB6">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C4516A"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FF5EB6" w:rsidRPr="000E151F" w:rsidTr="006B55D9">
        <w:tc>
          <w:tcPr>
            <w:tcW w:w="4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tabs>
                <w:tab w:val="left" w:pos="497"/>
              </w:tabs>
              <w:ind w:left="72"/>
              <w:rPr>
                <w:snapToGrid w:val="0"/>
                <w:sz w:val="22"/>
                <w:szCs w:val="22"/>
              </w:rPr>
            </w:pPr>
            <w:r>
              <w:rPr>
                <w:snapToGrid w:val="0"/>
                <w:sz w:val="22"/>
                <w:szCs w:val="22"/>
              </w:rPr>
              <w:t>Boriana Åberg (M)</w:t>
            </w:r>
          </w:p>
        </w:tc>
        <w:tc>
          <w:tcPr>
            <w:tcW w:w="488"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FF5EB6" w:rsidRPr="000E151F" w:rsidRDefault="00FF5EB6" w:rsidP="00FF5EB6">
            <w:pPr>
              <w:rPr>
                <w:sz w:val="22"/>
                <w:szCs w:val="22"/>
              </w:rPr>
            </w:pPr>
          </w:p>
        </w:tc>
      </w:tr>
      <w:tr w:rsidR="0002748E" w:rsidRPr="000E151F" w:rsidTr="006B55D9">
        <w:tc>
          <w:tcPr>
            <w:tcW w:w="4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02748E" w:rsidRPr="000E151F" w:rsidRDefault="0002748E" w:rsidP="0002748E">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F5EB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F5EB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F5EB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FF5EB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w:t>
            </w:r>
            <w:r w:rsidR="00617AB2">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4516A"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sidR="00617AB2">
              <w:rPr>
                <w:snapToGrid w:val="0"/>
                <w:sz w:val="22"/>
                <w:szCs w:val="22"/>
              </w:rPr>
              <w:t>Staffan Eklöf</w:t>
            </w:r>
            <w:r w:rsidR="00540593">
              <w:rPr>
                <w:snapToGrid w:val="0"/>
                <w:sz w:val="22"/>
                <w:szCs w:val="22"/>
              </w:rPr>
              <w:t xml:space="preserve">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617AB2">
              <w:rPr>
                <w:snapToGrid w:val="0"/>
                <w:sz w:val="22"/>
                <w:szCs w:val="22"/>
              </w:rPr>
              <w:t>Hampus Hagman</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617AB2" w:rsidP="006B55D9">
            <w:pPr>
              <w:tabs>
                <w:tab w:val="left" w:pos="497"/>
              </w:tabs>
              <w:rPr>
                <w:snapToGrid w:val="0"/>
                <w:sz w:val="22"/>
                <w:szCs w:val="22"/>
              </w:rPr>
            </w:pPr>
            <w:r>
              <w:rPr>
                <w:snapToGrid w:val="0"/>
                <w:sz w:val="22"/>
                <w:szCs w:val="22"/>
              </w:rPr>
              <w:t xml:space="preserve"> Andreas Carlsson </w:t>
            </w:r>
            <w:r w:rsidR="004C6601">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293DD6">
              <w:rPr>
                <w:snapToGrid w:val="0"/>
                <w:sz w:val="22"/>
                <w:szCs w:val="22"/>
              </w:rPr>
              <w:t>Elisabeth Falkhaven</w:t>
            </w:r>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873755" w:rsidP="006B55D9">
            <w:pPr>
              <w:tabs>
                <w:tab w:val="left" w:pos="497"/>
              </w:tabs>
              <w:rPr>
                <w:snapToGrid w:val="0"/>
                <w:sz w:val="22"/>
                <w:szCs w:val="22"/>
              </w:rPr>
            </w:pPr>
            <w:r>
              <w:rPr>
                <w:snapToGrid w:val="0"/>
                <w:sz w:val="22"/>
                <w:szCs w:val="22"/>
              </w:rPr>
              <w:t xml:space="preserve"> </w:t>
            </w:r>
            <w:r w:rsidR="00540593">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FF5EB6"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17AB2" w:rsidRPr="000E151F" w:rsidTr="001F64CD">
        <w:tc>
          <w:tcPr>
            <w:tcW w:w="4395" w:type="dxa"/>
            <w:tcBorders>
              <w:top w:val="single" w:sz="4" w:space="0" w:color="auto"/>
              <w:left w:val="single" w:sz="4" w:space="0" w:color="auto"/>
              <w:bottom w:val="single" w:sz="4" w:space="0" w:color="auto"/>
              <w:right w:val="single" w:sz="4" w:space="0" w:color="auto"/>
            </w:tcBorders>
          </w:tcPr>
          <w:p w:rsidR="00617AB2" w:rsidRDefault="00617AB2" w:rsidP="006B55D9">
            <w:pPr>
              <w:tabs>
                <w:tab w:val="left" w:pos="497"/>
              </w:tabs>
              <w:rPr>
                <w:snapToGrid w:val="0"/>
                <w:sz w:val="22"/>
                <w:szCs w:val="22"/>
              </w:rPr>
            </w:pPr>
            <w:r>
              <w:rPr>
                <w:snapToGrid w:val="0"/>
                <w:sz w:val="22"/>
                <w:szCs w:val="22"/>
              </w:rPr>
              <w:t xml:space="preserve"> Jessica Rosencrantz (M)</w:t>
            </w:r>
          </w:p>
        </w:tc>
        <w:tc>
          <w:tcPr>
            <w:tcW w:w="488"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17AB2" w:rsidRPr="000E151F" w:rsidRDefault="00617AB2" w:rsidP="006B55D9">
            <w:pPr>
              <w:rPr>
                <w:sz w:val="22"/>
                <w:szCs w:val="22"/>
              </w:rPr>
            </w:pPr>
          </w:p>
        </w:tc>
      </w:tr>
      <w:tr w:rsidR="00444CAA" w:rsidRPr="000E151F" w:rsidTr="001F64CD">
        <w:tc>
          <w:tcPr>
            <w:tcW w:w="4395" w:type="dxa"/>
            <w:tcBorders>
              <w:top w:val="single" w:sz="4" w:space="0" w:color="auto"/>
              <w:left w:val="single" w:sz="4" w:space="0" w:color="auto"/>
              <w:bottom w:val="single" w:sz="4" w:space="0" w:color="auto"/>
              <w:right w:val="single" w:sz="4" w:space="0" w:color="auto"/>
            </w:tcBorders>
          </w:tcPr>
          <w:p w:rsidR="00444CAA" w:rsidRDefault="00444CAA" w:rsidP="006B55D9">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FF5EB6"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44CAA" w:rsidRPr="000E151F" w:rsidRDefault="00444CAA" w:rsidP="006B55D9">
            <w:pPr>
              <w:rPr>
                <w:sz w:val="22"/>
                <w:szCs w:val="22"/>
              </w:rPr>
            </w:pPr>
          </w:p>
        </w:tc>
      </w:tr>
      <w:tr w:rsidR="00FF5EB6" w:rsidRPr="000E151F" w:rsidTr="001F64CD">
        <w:tc>
          <w:tcPr>
            <w:tcW w:w="4395" w:type="dxa"/>
            <w:tcBorders>
              <w:top w:val="single" w:sz="4" w:space="0" w:color="auto"/>
              <w:left w:val="single" w:sz="4" w:space="0" w:color="auto"/>
              <w:bottom w:val="single" w:sz="4" w:space="0" w:color="auto"/>
              <w:right w:val="single" w:sz="4" w:space="0" w:color="auto"/>
            </w:tcBorders>
          </w:tcPr>
          <w:p w:rsidR="00FF5EB6" w:rsidRDefault="00FF5EB6" w:rsidP="006B55D9">
            <w:pPr>
              <w:tabs>
                <w:tab w:val="left" w:pos="497"/>
              </w:tabs>
              <w:rPr>
                <w:snapToGrid w:val="0"/>
                <w:sz w:val="22"/>
                <w:szCs w:val="22"/>
              </w:rPr>
            </w:pPr>
            <w:r>
              <w:rPr>
                <w:snapToGrid w:val="0"/>
                <w:sz w:val="22"/>
                <w:szCs w:val="22"/>
              </w:rPr>
              <w:t xml:space="preserve"> Arman Teimouri (L)</w:t>
            </w:r>
          </w:p>
        </w:tc>
        <w:tc>
          <w:tcPr>
            <w:tcW w:w="488"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FF5EB6" w:rsidRPr="000E151F" w:rsidRDefault="00FF5EB6"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713445C"/>
    <w:multiLevelType w:val="hybridMultilevel"/>
    <w:tmpl w:val="5B60F6C6"/>
    <w:lvl w:ilvl="0" w:tplc="041D0001">
      <w:start w:val="1"/>
      <w:numFmt w:val="bullet"/>
      <w:lvlText w:val=""/>
      <w:lvlJc w:val="left"/>
      <w:pPr>
        <w:ind w:left="1006" w:hanging="360"/>
      </w:pPr>
      <w:rPr>
        <w:rFonts w:ascii="Symbol" w:hAnsi="Symbol" w:hint="default"/>
      </w:rPr>
    </w:lvl>
    <w:lvl w:ilvl="1" w:tplc="041D0003" w:tentative="1">
      <w:start w:val="1"/>
      <w:numFmt w:val="bullet"/>
      <w:lvlText w:val="o"/>
      <w:lvlJc w:val="left"/>
      <w:pPr>
        <w:ind w:left="1726" w:hanging="360"/>
      </w:pPr>
      <w:rPr>
        <w:rFonts w:ascii="Courier New" w:hAnsi="Courier New" w:cs="Courier New" w:hint="default"/>
      </w:rPr>
    </w:lvl>
    <w:lvl w:ilvl="2" w:tplc="041D0005" w:tentative="1">
      <w:start w:val="1"/>
      <w:numFmt w:val="bullet"/>
      <w:lvlText w:val=""/>
      <w:lvlJc w:val="left"/>
      <w:pPr>
        <w:ind w:left="2446" w:hanging="360"/>
      </w:pPr>
      <w:rPr>
        <w:rFonts w:ascii="Wingdings" w:hAnsi="Wingdings" w:hint="default"/>
      </w:rPr>
    </w:lvl>
    <w:lvl w:ilvl="3" w:tplc="041D0001" w:tentative="1">
      <w:start w:val="1"/>
      <w:numFmt w:val="bullet"/>
      <w:lvlText w:val=""/>
      <w:lvlJc w:val="left"/>
      <w:pPr>
        <w:ind w:left="3166" w:hanging="360"/>
      </w:pPr>
      <w:rPr>
        <w:rFonts w:ascii="Symbol" w:hAnsi="Symbol" w:hint="default"/>
      </w:rPr>
    </w:lvl>
    <w:lvl w:ilvl="4" w:tplc="041D0003" w:tentative="1">
      <w:start w:val="1"/>
      <w:numFmt w:val="bullet"/>
      <w:lvlText w:val="o"/>
      <w:lvlJc w:val="left"/>
      <w:pPr>
        <w:ind w:left="3886" w:hanging="360"/>
      </w:pPr>
      <w:rPr>
        <w:rFonts w:ascii="Courier New" w:hAnsi="Courier New" w:cs="Courier New" w:hint="default"/>
      </w:rPr>
    </w:lvl>
    <w:lvl w:ilvl="5" w:tplc="041D0005" w:tentative="1">
      <w:start w:val="1"/>
      <w:numFmt w:val="bullet"/>
      <w:lvlText w:val=""/>
      <w:lvlJc w:val="left"/>
      <w:pPr>
        <w:ind w:left="4606" w:hanging="360"/>
      </w:pPr>
      <w:rPr>
        <w:rFonts w:ascii="Wingdings" w:hAnsi="Wingdings" w:hint="default"/>
      </w:rPr>
    </w:lvl>
    <w:lvl w:ilvl="6" w:tplc="041D0001" w:tentative="1">
      <w:start w:val="1"/>
      <w:numFmt w:val="bullet"/>
      <w:lvlText w:val=""/>
      <w:lvlJc w:val="left"/>
      <w:pPr>
        <w:ind w:left="5326" w:hanging="360"/>
      </w:pPr>
      <w:rPr>
        <w:rFonts w:ascii="Symbol" w:hAnsi="Symbol" w:hint="default"/>
      </w:rPr>
    </w:lvl>
    <w:lvl w:ilvl="7" w:tplc="041D0003" w:tentative="1">
      <w:start w:val="1"/>
      <w:numFmt w:val="bullet"/>
      <w:lvlText w:val="o"/>
      <w:lvlJc w:val="left"/>
      <w:pPr>
        <w:ind w:left="6046" w:hanging="360"/>
      </w:pPr>
      <w:rPr>
        <w:rFonts w:ascii="Courier New" w:hAnsi="Courier New" w:cs="Courier New" w:hint="default"/>
      </w:rPr>
    </w:lvl>
    <w:lvl w:ilvl="8" w:tplc="041D0005" w:tentative="1">
      <w:start w:val="1"/>
      <w:numFmt w:val="bullet"/>
      <w:lvlText w:val=""/>
      <w:lvlJc w:val="left"/>
      <w:pPr>
        <w:ind w:left="6766"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9"/>
  </w:num>
  <w:num w:numId="6">
    <w:abstractNumId w:val="2"/>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3636F"/>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4967"/>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11728"/>
    <w:rsid w:val="0032581E"/>
    <w:rsid w:val="00342BB1"/>
    <w:rsid w:val="003441D7"/>
    <w:rsid w:val="003529BA"/>
    <w:rsid w:val="00357121"/>
    <w:rsid w:val="00357FF4"/>
    <w:rsid w:val="00360479"/>
    <w:rsid w:val="00360664"/>
    <w:rsid w:val="00362F6A"/>
    <w:rsid w:val="00385C4C"/>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44CAA"/>
    <w:rsid w:val="00445BE4"/>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3E57"/>
    <w:rsid w:val="0054521C"/>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43E28"/>
    <w:rsid w:val="006457B3"/>
    <w:rsid w:val="006572A3"/>
    <w:rsid w:val="00667E9B"/>
    <w:rsid w:val="00674AF0"/>
    <w:rsid w:val="006921D0"/>
    <w:rsid w:val="00692522"/>
    <w:rsid w:val="006A0738"/>
    <w:rsid w:val="006A1A13"/>
    <w:rsid w:val="006B7B0C"/>
    <w:rsid w:val="006C09FE"/>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77E43"/>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56380"/>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16A"/>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 w:val="00FF5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2D2C-1916-46B8-81FA-EA408825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839</Words>
  <Characters>5931</Characters>
  <Application>Microsoft Office Word</Application>
  <DocSecurity>0</DocSecurity>
  <Lines>988</Lines>
  <Paragraphs>161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11</cp:revision>
  <cp:lastPrinted>2018-10-02T11:13:00Z</cp:lastPrinted>
  <dcterms:created xsi:type="dcterms:W3CDTF">2022-01-10T12:15:00Z</dcterms:created>
  <dcterms:modified xsi:type="dcterms:W3CDTF">2022-01-20T07:30:00Z</dcterms:modified>
</cp:coreProperties>
</file>