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 december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Justering </w:t>
            </w:r>
            <w:r>
              <w:rPr>
                <w:rtl w:val="0"/>
              </w:rPr>
              <w:t>av protokoll från sammanträdet torsdagen den 12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2020/21:173 av Roger Haddad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Föräldrapåverkan på skolans personal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2020/21:FPM39 Meddelande om gröna körfält </w:t>
            </w:r>
            <w:r>
              <w:rPr>
                <w:i/>
                <w:iCs/>
                <w:rtl w:val="0"/>
              </w:rPr>
              <w:t>COM(2020) 685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2020/21:UU5 Kommissionens arbetsprogram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2020/21:UbU6 Riksrevisionens rapport om holdingbolag vid universitet och högskolor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2020/21:SfU12 Försörjningskravet för uppehållstillstånd enligt tillfälliga lagen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Utskottet föreslår att ärendet får avgöras trots att det varit tillgängligt kortare tid än två vardagar före den dag då det behandlas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2020/21:SfU11 Förlängd ersättning till riskgrupper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2020/21:SfU9 Riksrevisionens rapport om flerbarnstillägget i barnbidraget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2020/21:SfU10 Riksrevisionens rapport om vägen till arbete efter nekad sjukpenning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 december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2020-12-03</SAFIR_Sammantradesdatum_Doc>
    <SAFIR_SammantradeID xmlns="C07A1A6C-0B19-41D9-BDF8-F523BA3921EB">be9b89a3-70ee-4b7e-a362-a1f6c752568d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11D7A-353B-4E0C-9B17-C0A8839419B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