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308A0" w:rsidRPr="002308A0" w:rsidRDefault="002308A0">
      <w:pPr>
        <w:pStyle w:val="Frslagsrubrik"/>
      </w:pPr>
      <w:r w:rsidRPr="002308A0">
        <w:t>Förslag till riksdagsbeslut</w:t>
      </w:r>
    </w:p>
    <w:p w:rsidR="002308A0" w:rsidRPr="002308A0" w:rsidRDefault="002308A0">
      <w:pPr>
        <w:pStyle w:val="Hemstlatt"/>
      </w:pPr>
      <w:r w:rsidRPr="002308A0">
        <w:t>Riksdagen tillkännager för regeringen som sin mening vad som anförs i motionen om att se över möjligheten med utvidgad beslagt</w:t>
      </w:r>
      <w:r w:rsidRPr="002308A0">
        <w:t>a</w:t>
      </w:r>
      <w:r w:rsidRPr="002308A0">
        <w:t>ganderätt för polisen avseende brottet olovlig körning.</w:t>
      </w:r>
    </w:p>
    <w:p w:rsidR="002308A0" w:rsidRPr="002308A0" w:rsidRDefault="002308A0">
      <w:pPr>
        <w:pStyle w:val="Rubrik1"/>
      </w:pPr>
      <w:r w:rsidRPr="002308A0">
        <w:t>Motivering</w:t>
      </w:r>
    </w:p>
    <w:p w:rsidR="002308A0" w:rsidRPr="002308A0" w:rsidRDefault="002308A0">
      <w:r w:rsidRPr="002308A0">
        <w:t>I Sverige finns över fyra miljoner personbilar. För att få framföra en pe</w:t>
      </w:r>
      <w:r w:rsidRPr="002308A0">
        <w:t>r</w:t>
      </w:r>
      <w:r w:rsidRPr="002308A0">
        <w:t>sonbil krävs att föraren innehar körkort. Krav föreligger också på att föraren inte skall vara påverkad av alkohol, narkotika, andra droger eller medicin. Brott mot dessa regler medför straffansvar. Reglerna är till för att skydda såväl förare som övriga trafikanter från tragiska olyckor.</w:t>
      </w:r>
    </w:p>
    <w:p w:rsidR="002308A0" w:rsidRPr="002308A0" w:rsidRDefault="002308A0">
      <w:pPr>
        <w:pStyle w:val="Normaltindrag"/>
      </w:pPr>
      <w:r w:rsidRPr="002308A0">
        <w:t>Detta till trots så framför åtskilliga personer dagligen fordon under beru</w:t>
      </w:r>
      <w:r w:rsidRPr="002308A0">
        <w:t>s</w:t>
      </w:r>
      <w:r w:rsidRPr="002308A0">
        <w:t>ning av alkohol eller narkotika och vid flerfallet av tillfällena helt utan kö</w:t>
      </w:r>
      <w:r w:rsidRPr="002308A0">
        <w:t>r</w:t>
      </w:r>
      <w:r w:rsidRPr="002308A0">
        <w:t>kort. Åtskilliga av dem som kör olagligt gör tyvärr även detta både uppsåtl</w:t>
      </w:r>
      <w:r w:rsidRPr="002308A0">
        <w:t>i</w:t>
      </w:r>
      <w:r w:rsidRPr="002308A0">
        <w:t>gen och upprepade gånger.</w:t>
      </w:r>
    </w:p>
    <w:p w:rsidR="002308A0" w:rsidRPr="002308A0" w:rsidRDefault="002308A0">
      <w:pPr>
        <w:pStyle w:val="Normaltindrag"/>
      </w:pPr>
      <w:r w:rsidRPr="002308A0">
        <w:t>Polisen gör vad den kan för att få bort dessa personer från våra vägar, men likt gummibollar studsar dessa personer snabbt tillbaka i att olovligen framf</w:t>
      </w:r>
      <w:r w:rsidRPr="002308A0">
        <w:t>ö</w:t>
      </w:r>
      <w:r w:rsidRPr="002308A0">
        <w:t>ra fordon, då tiden till lagföring i tingsrätt tyvärr är lång och påföljden som utdöms oftast är låg. Personer som polisen ertappat körandes olagligt, släpps efter kontroll i avvaktan på rättegång. Följaktligen kan personen återigen använda sitt fordon till att begå nya olovliga körningar innan ärendet tas upp i domstol. Tingsrätterna får ofta ärenden där personer i väntan på tingsrättsfö</w:t>
      </w:r>
      <w:r w:rsidRPr="002308A0">
        <w:t>r</w:t>
      </w:r>
      <w:r w:rsidRPr="002308A0">
        <w:t>handling blivit ertappade med att ha kört olovligt fler än fem gånger. Under denna tid har personen således blank strun</w:t>
      </w:r>
      <w:r w:rsidRPr="002308A0">
        <w:t>tat i polisens uppmaningar om att inte framföra ett fordon utan körkort.</w:t>
      </w:r>
    </w:p>
    <w:p w:rsidR="002308A0" w:rsidRPr="002308A0" w:rsidRDefault="002308A0">
      <w:pPr>
        <w:pStyle w:val="Normaltindrag"/>
      </w:pPr>
      <w:r w:rsidRPr="002308A0">
        <w:t>Fordonet som använts kan förverkas endast om det uppskattade värdet på det är väldigt lågt. I övriga fall görs ingen åtgärd avseende fordonet. Detta bör förändras.</w:t>
      </w:r>
    </w:p>
    <w:p w:rsidR="002308A0" w:rsidRPr="002308A0" w:rsidRDefault="002308A0">
      <w:pPr>
        <w:pStyle w:val="Normaltindrag"/>
      </w:pPr>
      <w:r w:rsidRPr="002308A0">
        <w:lastRenderedPageBreak/>
        <w:t>Fokus bör ligga på att få bort personen från våra vägar där andra medbo</w:t>
      </w:r>
      <w:r w:rsidRPr="002308A0">
        <w:t>r</w:t>
      </w:r>
      <w:r w:rsidRPr="002308A0">
        <w:t>gare kan drabbas av dennes uppsåtliga negligering av våra trafikregler. Dä</w:t>
      </w:r>
      <w:r w:rsidRPr="002308A0">
        <w:t>r</w:t>
      </w:r>
      <w:r w:rsidRPr="002308A0">
        <w:t>med bör påföljden för en person som uppsåtligen bryter mot uppsatta regler inom ramen för brottet olovlig körning delas upp i två delar. Den första delen avser personen och brottet som är begånget. Den andra delen rör fordonet. I det sistnämnda fallet skall polisen ges utökad rätt att beslagta fordon. Ford</w:t>
      </w:r>
      <w:r w:rsidRPr="002308A0">
        <w:t>o</w:t>
      </w:r>
      <w:r w:rsidRPr="002308A0">
        <w:t>net skall sedan bärgas bort till polisens uppställningsplats där ägaren sedan kan lösa ut fordonet mot erläggande av en avgift.</w:t>
      </w:r>
    </w:p>
    <w:p w:rsidR="002308A0" w:rsidRPr="002308A0" w:rsidRDefault="002308A0">
      <w:pPr>
        <w:pStyle w:val="Normaltindrag"/>
      </w:pPr>
      <w:r w:rsidRPr="002308A0">
        <w:t>En person som begår brottet olovlig körning skall dömas till påföljd i e</w:t>
      </w:r>
      <w:r w:rsidRPr="002308A0">
        <w:t>n</w:t>
      </w:r>
      <w:r w:rsidRPr="002308A0">
        <w:t>lighet med lag (1951:649) om straff för vissa trafikbrott. Fordonet skall inte beslagtas.</w:t>
      </w:r>
    </w:p>
    <w:p w:rsidR="002308A0" w:rsidRPr="002308A0" w:rsidRDefault="002308A0">
      <w:pPr>
        <w:pStyle w:val="Normaltindrag"/>
      </w:pPr>
      <w:r w:rsidRPr="002308A0">
        <w:t>En person som för andra gången begår brottet olovlig körning skall dömas till böter enligt samma lag ovan, men därtill skall fordonet beslagtas. Bärgare skall hämta fordonet och ställa upp det på polisens uppställningsplats. För att få ut sitt fordon skall föraren/ägaren sedermera bege sig till uppställningspla</w:t>
      </w:r>
      <w:r w:rsidRPr="002308A0">
        <w:t>t</w:t>
      </w:r>
      <w:r w:rsidRPr="002308A0">
        <w:t>sen och där erlägga avgift som motsvarar 5 % av bilens nuvarande värde samt ersättning för kostnader som uppstått i samband med bärgningen.</w:t>
      </w:r>
    </w:p>
    <w:p w:rsidR="002308A0" w:rsidRPr="002308A0" w:rsidRDefault="002308A0">
      <w:pPr>
        <w:pStyle w:val="Normaltindrag"/>
      </w:pPr>
      <w:r w:rsidRPr="002308A0">
        <w:t>En person som för tredje gången begår brottet olovlig körning skall dömas för grovt brott och därmed till fängelse. Fordonet skall i likhet med förra exemplet bärgas bort och sedan uthämtas mot erläggande av avgift och ersät</w:t>
      </w:r>
      <w:r w:rsidRPr="002308A0">
        <w:t>t</w:t>
      </w:r>
      <w:r w:rsidRPr="002308A0">
        <w:t>ning för kostnader enligt ovan.</w:t>
      </w:r>
    </w:p>
    <w:p w:rsidR="002308A0" w:rsidRPr="002308A0" w:rsidRDefault="002308A0">
      <w:pPr>
        <w:pStyle w:val="Normaltindrag"/>
      </w:pPr>
      <w:r w:rsidRPr="002308A0">
        <w:t>Dessa förfaranden förutsätter att brotten måste ha begåtts under en avgrä</w:t>
      </w:r>
      <w:r w:rsidRPr="002308A0">
        <w:t>n</w:t>
      </w:r>
      <w:r w:rsidRPr="002308A0">
        <w:t>sad tidsperiod, förslagsvis på 0–3 månader, alternativt längre.</w:t>
      </w:r>
    </w:p>
    <w:p w:rsidR="002308A0" w:rsidRPr="002308A0" w:rsidRDefault="002308A0">
      <w:pPr>
        <w:pStyle w:val="Normaltindrag"/>
      </w:pPr>
      <w:r w:rsidRPr="002308A0">
        <w:t>Beslagtagna bilar förvaras på polisens uppställningsplats i max tre mån</w:t>
      </w:r>
      <w:r w:rsidRPr="002308A0">
        <w:t>a</w:t>
      </w:r>
      <w:r w:rsidRPr="002308A0">
        <w:t>der. Därefter kommer dygnsavgift tillämpas, vilket läggs till avgifterna i ö</w:t>
      </w:r>
      <w:r w:rsidRPr="002308A0">
        <w:t>v</w:t>
      </w:r>
      <w:r w:rsidRPr="002308A0">
        <w:t>rigt för bilens uthämtande. Efter sex månader säljes bilarna på exekutiv au</w:t>
      </w:r>
      <w:r w:rsidRPr="002308A0">
        <w:t>k</w:t>
      </w:r>
      <w:r w:rsidRPr="002308A0">
        <w:t>tion och pengarna används till att täcka polisens utgifter i samband med b</w:t>
      </w:r>
      <w:r w:rsidRPr="002308A0">
        <w:t>e</w:t>
      </w:r>
      <w:r w:rsidRPr="002308A0">
        <w:t>slaget. Återstående pengar skickas sedan till ägaren av fordonet.</w:t>
      </w:r>
    </w:p>
    <w:p w:rsidR="002308A0" w:rsidRPr="002308A0" w:rsidRDefault="002308A0">
      <w:pPr>
        <w:pStyle w:val="Normaltindrag"/>
      </w:pPr>
      <w:r w:rsidRPr="002308A0">
        <w:t>Upprepat och uppsåtligt ignorerande av polisens uppmaningar gällande olovlig körning måste tas på allvar. Ingen skall kunna strunta i lagen och fortsätta begå brott utan efterverkningar.</w:t>
      </w:r>
    </w:p>
    <w:p w:rsidR="002308A0" w:rsidRPr="002308A0" w:rsidRDefault="002308A0">
      <w:pPr>
        <w:pStyle w:val="Normaltindrag"/>
      </w:pPr>
      <w:r w:rsidRPr="002308A0">
        <w:t>Genom detta förslag sätter samhället tydligt ner foten och markerar sin ståndpunkt rörande brottet. Personer utan körkort och som ändock använder fordon i syfte att bryta mot lagen skall ges en kännbar påföljd, inte bara för personen utan även för plånboken. Med detta förslag tror jag att vi kan fö</w:t>
      </w:r>
      <w:r w:rsidRPr="002308A0">
        <w:t>r</w:t>
      </w:r>
      <w:r w:rsidRPr="002308A0">
        <w:t>hindra framtida olovliga körningar och få bukt med problemet. Det är därför min önskan att regeringen ser över möjligheten till att omsätta detta förslag i verkligheten.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308A0">
        <w:trPr>
          <w:cantSplit/>
        </w:trPr>
        <w:tc>
          <w:tcPr>
            <w:tcW w:w="3046" w:type="dxa"/>
          </w:tcPr>
          <w:p w:rsidR="002308A0" w:rsidRPr="002308A0" w:rsidRDefault="002308A0">
            <w:pPr>
              <w:pStyle w:val="UnderskriftDatum"/>
              <w:spacing w:before="240"/>
            </w:pPr>
            <w:r w:rsidRPr="002308A0">
              <w:t>Stockholm den 26 oktober 2010</w:t>
            </w:r>
          </w:p>
        </w:tc>
        <w:tc>
          <w:tcPr>
            <w:tcW w:w="3047" w:type="dxa"/>
          </w:tcPr>
          <w:p w:rsidR="002308A0" w:rsidRPr="002308A0" w:rsidRDefault="002308A0">
            <w:pPr>
              <w:pStyle w:val="Underskrifter"/>
              <w:spacing w:before="240"/>
            </w:pPr>
          </w:p>
        </w:tc>
      </w:tr>
      <w:tr w:rsidR="00000000" w:rsidRPr="002308A0">
        <w:trPr>
          <w:cantSplit/>
        </w:trPr>
        <w:tc>
          <w:tcPr>
            <w:tcW w:w="3046" w:type="dxa"/>
          </w:tcPr>
          <w:p w:rsidR="002308A0" w:rsidRPr="002308A0" w:rsidRDefault="002308A0">
            <w:pPr>
              <w:pStyle w:val="Underskrifter"/>
            </w:pPr>
            <w:r w:rsidRPr="002308A0">
              <w:t>Anders Hansson (M)</w:t>
            </w:r>
          </w:p>
        </w:tc>
        <w:tc>
          <w:tcPr>
            <w:tcW w:w="3046" w:type="dxa"/>
          </w:tcPr>
          <w:p w:rsidR="002308A0" w:rsidRPr="002308A0" w:rsidRDefault="002308A0">
            <w:pPr>
              <w:pStyle w:val="Underskrifter"/>
            </w:pPr>
          </w:p>
        </w:tc>
      </w:tr>
    </w:tbl>
    <w:p w:rsidR="002308A0" w:rsidRPr="002308A0" w:rsidRDefault="002308A0">
      <w:pPr>
        <w:pStyle w:val="Normaltindrag"/>
      </w:pPr>
    </w:p>
    <w:sectPr w:rsidR="00000000" w:rsidRPr="002308A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308A0" w:rsidRPr="002308A0" w:rsidRDefault="002308A0">
      <w:r w:rsidRPr="002308A0">
        <w:separator/>
      </w:r>
    </w:p>
  </w:endnote>
  <w:endnote w:type="continuationSeparator" w:id="0">
    <w:p w:rsidR="002308A0" w:rsidRPr="002308A0" w:rsidRDefault="002308A0">
      <w:r w:rsidRPr="002308A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08A0" w:rsidRPr="002308A0" w:rsidRDefault="002308A0">
    <w:pPr>
      <w:pStyle w:val="Sidfot"/>
    </w:pPr>
    <w:r w:rsidRPr="002308A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4352976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08A0" w:rsidRDefault="002308A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308A0" w:rsidRDefault="002308A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08A0" w:rsidRPr="002308A0" w:rsidRDefault="002308A0">
    <w:pPr>
      <w:pStyle w:val="Sidfot"/>
    </w:pPr>
    <w:r w:rsidRPr="002308A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3604190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08A0" w:rsidRDefault="002308A0">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308A0" w:rsidRDefault="002308A0">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08A0" w:rsidRPr="002308A0" w:rsidRDefault="002308A0">
    <w:pPr>
      <w:pStyle w:val="Sidfot"/>
    </w:pPr>
    <w:r w:rsidRPr="002308A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8968168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08A0" w:rsidRDefault="002308A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308A0" w:rsidRDefault="002308A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308A0" w:rsidRPr="002308A0" w:rsidRDefault="002308A0">
      <w:r w:rsidRPr="002308A0">
        <w:separator/>
      </w:r>
    </w:p>
  </w:footnote>
  <w:footnote w:type="continuationSeparator" w:id="0">
    <w:p w:rsidR="002308A0" w:rsidRPr="002308A0" w:rsidRDefault="002308A0">
      <w:r w:rsidRPr="002308A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08A0" w:rsidRPr="002308A0" w:rsidRDefault="002308A0">
    <w:pPr>
      <w:pStyle w:val="Sidhuvud"/>
    </w:pPr>
    <w:r w:rsidRPr="002308A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6008105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08A0" w:rsidRDefault="002308A0">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Ju316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308A0" w:rsidRDefault="002308A0">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Ju316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08A0" w:rsidRPr="002308A0" w:rsidRDefault="002308A0">
    <w:pPr>
      <w:pStyle w:val="Sidhuvud"/>
    </w:pPr>
    <w:r w:rsidRPr="002308A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7660321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08A0" w:rsidRDefault="002308A0">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Ju316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308A0" w:rsidRDefault="002308A0">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Ju316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08A0" w:rsidRPr="002308A0" w:rsidRDefault="002308A0">
    <w:pPr>
      <w:pStyle w:val="FSHNormal"/>
      <w:tabs>
        <w:tab w:val="right" w:pos="5840"/>
      </w:tabs>
    </w:pPr>
    <w:r w:rsidRPr="002308A0">
      <w:br/>
    </w:r>
    <w:r w:rsidRPr="002308A0">
      <w:fldChar w:fldCharType="begin" w:fldLock="1"/>
    </w:r>
    <w:r w:rsidRPr="002308A0">
      <w:instrText xml:space="preserve"> DOCPROPERTY</w:instrText>
    </w:r>
    <w:r w:rsidRPr="002308A0">
      <w:rPr>
        <w:sz w:val="18"/>
      </w:rPr>
      <w:instrText xml:space="preserve"> "YearUser" *\charformat </w:instrText>
    </w:r>
    <w:r w:rsidRPr="002308A0">
      <w:fldChar w:fldCharType="separate"/>
    </w:r>
    <w:r w:rsidRPr="002308A0">
      <w:t>2010/11</w:t>
    </w:r>
    <w:r w:rsidRPr="002308A0">
      <w:fldChar w:fldCharType="end"/>
    </w:r>
    <w:r w:rsidRPr="002308A0">
      <w:t xml:space="preserve"> </w:t>
    </w:r>
    <w:r w:rsidRPr="002308A0">
      <w:tab/>
      <w:t xml:space="preserve">mnr: </w:t>
    </w:r>
    <w:r w:rsidRPr="002308A0">
      <w:fldChar w:fldCharType="begin" w:fldLock="1"/>
    </w:r>
    <w:r w:rsidRPr="002308A0">
      <w:instrText xml:space="preserve"> DOCPROPERTY</w:instrText>
    </w:r>
    <w:r w:rsidRPr="002308A0">
      <w:rPr>
        <w:sz w:val="18"/>
      </w:rPr>
      <w:instrText xml:space="preserve"> "Motionsnummer" *\charformat </w:instrText>
    </w:r>
    <w:r w:rsidRPr="002308A0">
      <w:fldChar w:fldCharType="separate"/>
    </w:r>
    <w:r w:rsidRPr="002308A0">
      <w:t>Ju316</w:t>
    </w:r>
    <w:r w:rsidRPr="002308A0">
      <w:fldChar w:fldCharType="end"/>
    </w:r>
    <w:r w:rsidRPr="002308A0">
      <w:br/>
    </w:r>
    <w:r w:rsidRPr="002308A0">
      <w:fldChar w:fldCharType="begin" w:fldLock="1"/>
    </w:r>
    <w:r w:rsidRPr="002308A0">
      <w:instrText xml:space="preserve"> DOCPROPERTY</w:instrText>
    </w:r>
    <w:r w:rsidRPr="002308A0">
      <w:rPr>
        <w:sz w:val="18"/>
      </w:rPr>
      <w:instrText xml:space="preserve"> "Samling" *\charformat </w:instrText>
    </w:r>
    <w:r w:rsidRPr="002308A0">
      <w:fldChar w:fldCharType="end"/>
    </w:r>
    <w:r w:rsidRPr="002308A0">
      <w:tab/>
      <w:t xml:space="preserve">pnr: </w:t>
    </w:r>
    <w:r w:rsidRPr="002308A0">
      <w:fldChar w:fldCharType="begin" w:fldLock="1"/>
    </w:r>
    <w:r w:rsidRPr="002308A0">
      <w:instrText xml:space="preserve"> DOCPROPERTY</w:instrText>
    </w:r>
    <w:r w:rsidRPr="002308A0">
      <w:rPr>
        <w:sz w:val="18"/>
      </w:rPr>
      <w:instrText xml:space="preserve"> "Partinummer" *\charformat </w:instrText>
    </w:r>
    <w:r w:rsidRPr="002308A0">
      <w:fldChar w:fldCharType="separate"/>
    </w:r>
    <w:r w:rsidRPr="002308A0">
      <w:t>M1873</w:t>
    </w:r>
    <w:r w:rsidRPr="002308A0">
      <w:fldChar w:fldCharType="end"/>
    </w:r>
  </w:p>
  <w:p w:rsidR="002308A0" w:rsidRPr="002308A0" w:rsidRDefault="002308A0">
    <w:pPr>
      <w:pStyle w:val="FSHRub1"/>
    </w:pPr>
    <w:r w:rsidRPr="002308A0">
      <w:t>Motion till riksdagen</w:t>
    </w:r>
    <w:r w:rsidRPr="002308A0">
      <w:br/>
    </w:r>
    <w:r w:rsidRPr="002308A0">
      <w:fldChar w:fldCharType="begin" w:fldLock="1"/>
    </w:r>
    <w:r w:rsidRPr="002308A0">
      <w:instrText xml:space="preserve"> DOCPROPERTY "YearUser" *\charformat </w:instrText>
    </w:r>
    <w:r w:rsidRPr="002308A0">
      <w:fldChar w:fldCharType="separate"/>
    </w:r>
    <w:r w:rsidRPr="002308A0">
      <w:t>2010/11</w:t>
    </w:r>
    <w:r w:rsidRPr="002308A0">
      <w:fldChar w:fldCharType="end"/>
    </w:r>
    <w:r w:rsidRPr="002308A0">
      <w:t>:</w:t>
    </w:r>
    <w:r w:rsidRPr="002308A0">
      <w:fldChar w:fldCharType="begin" w:fldLock="1"/>
    </w:r>
    <w:r w:rsidRPr="002308A0">
      <w:instrText xml:space="preserve"> DOCPROPERTY "Motionsnummer" *\charformat </w:instrText>
    </w:r>
    <w:r w:rsidRPr="002308A0">
      <w:fldChar w:fldCharType="separate"/>
    </w:r>
    <w:r w:rsidRPr="002308A0">
      <w:t>Ju316</w:t>
    </w:r>
    <w:r w:rsidRPr="002308A0">
      <w:fldChar w:fldCharType="end"/>
    </w:r>
  </w:p>
  <w:p w:rsidR="002308A0" w:rsidRPr="002308A0" w:rsidRDefault="002308A0">
    <w:pPr>
      <w:pStyle w:val="FSHNormalS5"/>
    </w:pPr>
    <w:r w:rsidRPr="002308A0">
      <w:fldChar w:fldCharType="begin" w:fldLock="1"/>
    </w:r>
    <w:r w:rsidRPr="002308A0">
      <w:instrText xml:space="preserve"> DOCPROPERTY "MotionarText" *\charformat </w:instrText>
    </w:r>
    <w:r w:rsidRPr="002308A0">
      <w:fldChar w:fldCharType="separate"/>
    </w:r>
    <w:r w:rsidRPr="002308A0">
      <w:t>av Anders Hansson (M)</w:t>
    </w:r>
    <w:r w:rsidRPr="002308A0">
      <w:fldChar w:fldCharType="end"/>
    </w:r>
    <w:r w:rsidRPr="002308A0">
      <w:br/>
    </w:r>
    <w:r w:rsidRPr="002308A0">
      <w:fldChar w:fldCharType="begin" w:fldLock="1"/>
    </w:r>
    <w:r w:rsidRPr="002308A0">
      <w:instrText xml:space="preserve"> DOCPROPERTY "SvarFrasKort" *\charformat </w:instrText>
    </w:r>
    <w:r w:rsidRPr="002308A0">
      <w:fldChar w:fldCharType="end"/>
    </w:r>
  </w:p>
  <w:p w:rsidR="002308A0" w:rsidRPr="002308A0" w:rsidRDefault="002308A0">
    <w:pPr>
      <w:pStyle w:val="FSHTitel"/>
    </w:pPr>
    <w:r w:rsidRPr="002308A0">
      <w:fldChar w:fldCharType="begin" w:fldLock="1"/>
    </w:r>
    <w:r w:rsidRPr="002308A0">
      <w:instrText xml:space="preserve"> DOCPROPERTY</w:instrText>
    </w:r>
    <w:r w:rsidRPr="002308A0">
      <w:rPr>
        <w:sz w:val="18"/>
      </w:rPr>
      <w:instrText xml:space="preserve"> "RubrikSvar" *\charformat </w:instrText>
    </w:r>
    <w:r w:rsidRPr="002308A0">
      <w:fldChar w:fldCharType="separate"/>
    </w:r>
    <w:r w:rsidRPr="002308A0">
      <w:t>Olovlig körning</w:t>
    </w:r>
    <w:r w:rsidRPr="002308A0">
      <w:fldChar w:fldCharType="end"/>
    </w:r>
  </w:p>
  <w:p w:rsidR="002308A0" w:rsidRPr="002308A0" w:rsidRDefault="002308A0">
    <w:pPr>
      <w:pStyle w:val="Normal00"/>
    </w:pPr>
  </w:p>
  <w:p w:rsidR="002308A0" w:rsidRPr="002308A0" w:rsidRDefault="002308A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6D8678F4"/>
    <w:multiLevelType w:val="hybridMultilevel"/>
    <w:tmpl w:val="849A83FC"/>
    <w:lvl w:ilvl="0" w:tplc="CA443778">
      <w:numFmt w:val="bullet"/>
      <w:lvlText w:val="-"/>
      <w:lvlJc w:val="left"/>
      <w:pPr>
        <w:tabs>
          <w:tab w:val="num" w:pos="420"/>
        </w:tabs>
        <w:ind w:left="420" w:hanging="360"/>
      </w:pPr>
      <w:rPr>
        <w:rFonts w:ascii="Times New Roman" w:eastAsia="Times New Roman" w:hAnsi="Times New Roman" w:cs="Times New Roman" w:hint="default"/>
      </w:rPr>
    </w:lvl>
    <w:lvl w:ilvl="1" w:tplc="041D0003" w:tentative="1">
      <w:start w:val="1"/>
      <w:numFmt w:val="bullet"/>
      <w:lvlText w:val="o"/>
      <w:lvlJc w:val="left"/>
      <w:pPr>
        <w:tabs>
          <w:tab w:val="num" w:pos="1140"/>
        </w:tabs>
        <w:ind w:left="1140" w:hanging="360"/>
      </w:pPr>
      <w:rPr>
        <w:rFonts w:ascii="Courier New" w:hAnsi="Courier New" w:cs="Courier New" w:hint="default"/>
      </w:rPr>
    </w:lvl>
    <w:lvl w:ilvl="2" w:tplc="041D0005" w:tentative="1">
      <w:start w:val="1"/>
      <w:numFmt w:val="bullet"/>
      <w:lvlText w:val="?"/>
      <w:lvlJc w:val="left"/>
      <w:pPr>
        <w:tabs>
          <w:tab w:val="num" w:pos="1860"/>
        </w:tabs>
        <w:ind w:left="1860" w:hanging="360"/>
      </w:pPr>
      <w:rPr>
        <w:rFonts w:ascii="Wingdings" w:hAnsi="Wingdings" w:hint="default"/>
      </w:rPr>
    </w:lvl>
    <w:lvl w:ilvl="3" w:tplc="041D0001" w:tentative="1">
      <w:start w:val="1"/>
      <w:numFmt w:val="bullet"/>
      <w:lvlText w:val="?"/>
      <w:lvlJc w:val="left"/>
      <w:pPr>
        <w:tabs>
          <w:tab w:val="num" w:pos="2580"/>
        </w:tabs>
        <w:ind w:left="2580" w:hanging="360"/>
      </w:pPr>
      <w:rPr>
        <w:rFonts w:ascii="Symbol" w:hAnsi="Symbol" w:hint="default"/>
      </w:rPr>
    </w:lvl>
    <w:lvl w:ilvl="4" w:tplc="041D0003" w:tentative="1">
      <w:start w:val="1"/>
      <w:numFmt w:val="bullet"/>
      <w:lvlText w:val="o"/>
      <w:lvlJc w:val="left"/>
      <w:pPr>
        <w:tabs>
          <w:tab w:val="num" w:pos="3300"/>
        </w:tabs>
        <w:ind w:left="3300" w:hanging="360"/>
      </w:pPr>
      <w:rPr>
        <w:rFonts w:ascii="Courier New" w:hAnsi="Courier New" w:cs="Courier New" w:hint="default"/>
      </w:rPr>
    </w:lvl>
    <w:lvl w:ilvl="5" w:tplc="041D0005" w:tentative="1">
      <w:start w:val="1"/>
      <w:numFmt w:val="bullet"/>
      <w:lvlText w:val="?"/>
      <w:lvlJc w:val="left"/>
      <w:pPr>
        <w:tabs>
          <w:tab w:val="num" w:pos="4020"/>
        </w:tabs>
        <w:ind w:left="4020" w:hanging="360"/>
      </w:pPr>
      <w:rPr>
        <w:rFonts w:ascii="Wingdings" w:hAnsi="Wingdings" w:hint="default"/>
      </w:rPr>
    </w:lvl>
    <w:lvl w:ilvl="6" w:tplc="041D0001" w:tentative="1">
      <w:start w:val="1"/>
      <w:numFmt w:val="bullet"/>
      <w:lvlText w:val="?"/>
      <w:lvlJc w:val="left"/>
      <w:pPr>
        <w:tabs>
          <w:tab w:val="num" w:pos="4740"/>
        </w:tabs>
        <w:ind w:left="4740" w:hanging="360"/>
      </w:pPr>
      <w:rPr>
        <w:rFonts w:ascii="Symbol" w:hAnsi="Symbol" w:hint="default"/>
      </w:rPr>
    </w:lvl>
    <w:lvl w:ilvl="7" w:tplc="041D0003" w:tentative="1">
      <w:start w:val="1"/>
      <w:numFmt w:val="bullet"/>
      <w:lvlText w:val="o"/>
      <w:lvlJc w:val="left"/>
      <w:pPr>
        <w:tabs>
          <w:tab w:val="num" w:pos="5460"/>
        </w:tabs>
        <w:ind w:left="5460" w:hanging="360"/>
      </w:pPr>
      <w:rPr>
        <w:rFonts w:ascii="Courier New" w:hAnsi="Courier New" w:cs="Courier New" w:hint="default"/>
      </w:rPr>
    </w:lvl>
    <w:lvl w:ilvl="8" w:tplc="041D0005" w:tentative="1">
      <w:start w:val="1"/>
      <w:numFmt w:val="bullet"/>
      <w:lvlText w:val="?"/>
      <w:lvlJc w:val="left"/>
      <w:pPr>
        <w:tabs>
          <w:tab w:val="num" w:pos="6180"/>
        </w:tabs>
        <w:ind w:left="6180" w:hanging="360"/>
      </w:pPr>
      <w:rPr>
        <w:rFonts w:ascii="Wingdings" w:hAnsi="Wingdings" w:hint="default"/>
      </w:r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960068897">
    <w:abstractNumId w:val="3"/>
  </w:num>
  <w:num w:numId="2" w16cid:durableId="726219580">
    <w:abstractNumId w:val="2"/>
  </w:num>
  <w:num w:numId="3" w16cid:durableId="579556776">
    <w:abstractNumId w:val="1"/>
  </w:num>
  <w:num w:numId="4" w16cid:durableId="1487824130">
    <w:abstractNumId w:val="0"/>
  </w:num>
  <w:num w:numId="5" w16cid:durableId="1002510280">
    <w:abstractNumId w:val="7"/>
  </w:num>
  <w:num w:numId="6" w16cid:durableId="136729507">
    <w:abstractNumId w:val="6"/>
  </w:num>
  <w:num w:numId="7" w16cid:durableId="1240486770">
    <w:abstractNumId w:val="5"/>
  </w:num>
  <w:num w:numId="8" w16cid:durableId="242178080">
    <w:abstractNumId w:val="4"/>
  </w:num>
  <w:num w:numId="9" w16cid:durableId="449977401">
    <w:abstractNumId w:val="8"/>
  </w:num>
  <w:num w:numId="10" w16cid:durableId="1731029880">
    <w:abstractNumId w:val="9"/>
  </w:num>
  <w:num w:numId="11" w16cid:durableId="532688849">
    <w:abstractNumId w:val="10"/>
  </w:num>
  <w:num w:numId="12" w16cid:durableId="768161080">
    <w:abstractNumId w:val="13"/>
  </w:num>
  <w:num w:numId="13" w16cid:durableId="1372731162">
    <w:abstractNumId w:val="15"/>
  </w:num>
  <w:num w:numId="14" w16cid:durableId="798955136">
    <w:abstractNumId w:val="16"/>
  </w:num>
  <w:num w:numId="15" w16cid:durableId="1602955447">
    <w:abstractNumId w:val="11"/>
  </w:num>
  <w:num w:numId="16" w16cid:durableId="574320330">
    <w:abstractNumId w:val="19"/>
  </w:num>
  <w:num w:numId="17" w16cid:durableId="496269072">
    <w:abstractNumId w:val="17"/>
  </w:num>
  <w:num w:numId="18" w16cid:durableId="1814786527">
    <w:abstractNumId w:val="14"/>
  </w:num>
  <w:num w:numId="19" w16cid:durableId="1431003643">
    <w:abstractNumId w:val="12"/>
  </w:num>
  <w:num w:numId="20" w16cid:durableId="80532125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05"/>
    <w:docVar w:name="PersonGUIDs" w:val="{3F417742-8A87-435A-971C-C30A00612C32}"/>
  </w:docVars>
  <w:rsids>
    <w:rsidRoot w:val="00BB71ED"/>
    <w:rsid w:val="002308A0"/>
    <w:rsid w:val="00BB71E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71EBACDD-9620-4FB6-9E08-FF4D24722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671</Words>
  <Characters>3744</Characters>
  <Application>Microsoft Office Word</Application>
  <DocSecurity>4</DocSecurity>
  <Lines>69</Lines>
  <Paragraphs>19</Paragraphs>
  <ScaleCrop>false</ScaleCrop>
  <HeadingPairs>
    <vt:vector size="2" baseType="variant">
      <vt:variant>
        <vt:lpstr>Rubrik</vt:lpstr>
      </vt:variant>
      <vt:variant>
        <vt:i4>1</vt:i4>
      </vt:variant>
    </vt:vector>
  </HeadingPairs>
  <TitlesOfParts>
    <vt:vector size="1" baseType="lpstr">
      <vt:lpstr>m1873</vt:lpstr>
    </vt:vector>
  </TitlesOfParts>
  <Company>Riksdagen</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m1873</dc:title>
  <dc:subject>m1873</dc:subject>
  <dc:creator>Riksdagen</dc:creator>
  <cp:keywords>Riksdagen</cp:keywords>
  <dc:description>Versal/gemen i partibeteckning. Gemen i tryck för 0910, versal för 1011 och nyare</dc:description>
  <cp:lastModifiedBy>Lars Brink</cp:lastModifiedBy>
  <cp:revision>2</cp:revision>
  <cp:lastPrinted>2010-12-05T12:44:00Z</cp:lastPrinted>
  <dcterms:created xsi:type="dcterms:W3CDTF">2025-12-18T00:54:00Z</dcterms:created>
  <dcterms:modified xsi:type="dcterms:W3CDTF">2025-12-18T00:54:00Z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mot2000_530_2010-12-05</vt:lpwstr>
  </property>
  <property fmtid="{D5CDD505-2E9C-101B-9397-08002B2CF9AE}" pid="3" name="version">
    <vt:lpwstr>mot2000_520_2010-10-21</vt:lpwstr>
  </property>
  <property fmtid="{D5CDD505-2E9C-101B-9397-08002B2CF9AE}" pid="4" name="dokumenttyp">
    <vt:lpwstr>motion</vt:lpwstr>
  </property>
  <property fmtid="{D5CDD505-2E9C-101B-9397-08002B2CF9AE}" pid="5" name="Sekr">
    <vt:lpwstr>HKH</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Olovlig körning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Olovlig körning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M1873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Anders Hansson (M)</vt:lpwstr>
  </property>
  <property fmtid="{D5CDD505-2E9C-101B-9397-08002B2CF9AE}" pid="26" name="MotionarLista">
    <vt:lpwstr>Hansson, Anders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Anders Hansson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Ju316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2010</vt:lpwstr>
  </property>
  <property fmtid="{D5CDD505-2E9C-101B-9397-08002B2CF9AE}" pid="44" name="NotesUID">
    <vt:lpwstr>krister.hording@riksdagen.se</vt:lpwstr>
  </property>
  <property fmtid="{D5CDD505-2E9C-101B-9397-08002B2CF9AE}" pid="45" name="ReservUID">
    <vt:lpwstr>kr0724aa</vt:lpwstr>
  </property>
  <property fmtid="{D5CDD505-2E9C-101B-9397-08002B2CF9AE}" pid="46" name="MotionID">
    <vt:lpwstr>20102011000000000109000018730069</vt:lpwstr>
  </property>
  <property fmtid="{D5CDD505-2E9C-101B-9397-08002B2CF9AE}" pid="47" name="datum">
    <vt:lpwstr>101026</vt:lpwstr>
  </property>
  <property fmtid="{D5CDD505-2E9C-101B-9397-08002B2CF9AE}" pid="48" name="avsändar-e-post">
    <vt:lpwstr>krister.hording@riksdagen.se</vt:lpwstr>
  </property>
  <property fmtid="{D5CDD505-2E9C-101B-9397-08002B2CF9AE}" pid="49" name="id">
    <vt:lpwstr>20102011000000000109000018730069</vt:lpwstr>
  </property>
  <property fmtid="{D5CDD505-2E9C-101B-9397-08002B2CF9AE}" pid="50" name="nummer">
    <vt:lpwstr>316</vt:lpwstr>
  </property>
  <property fmtid="{D5CDD505-2E9C-101B-9397-08002B2CF9AE}" pid="51" name="utskottsbeteckning">
    <vt:lpwstr>Ju</vt:lpwstr>
  </property>
  <property fmtid="{D5CDD505-2E9C-101B-9397-08002B2CF9AE}" pid="52" name="GlobalUID">
    <vt:lpwstr>{B0F5D57E-1A30-41BB-AAEB-7A708883EB4D}</vt:lpwstr>
  </property>
  <property fmtid="{D5CDD505-2E9C-101B-9397-08002B2CF9AE}" pid="53" name="Överföringar">
    <vt:i4>0</vt:i4>
  </property>
  <property fmtid="{D5CDD505-2E9C-101B-9397-08002B2CF9AE}" pid="54" name="Checksum">
    <vt:lpwstr>*0015430710566*</vt:lpwstr>
  </property>
  <property fmtid="{D5CDD505-2E9C-101B-9397-08002B2CF9AE}" pid="55" name="skuggnummer">
    <vt:lpwstr>1703</vt:lpwstr>
  </property>
  <property fmtid="{D5CDD505-2E9C-101B-9397-08002B2CF9AE}" pid="56" name="urixVersion">
    <vt:lpwstr>4.3.2.0</vt:lpwstr>
  </property>
  <property fmtid="{D5CDD505-2E9C-101B-9397-08002B2CF9AE}" pid="57" name="urixOrigin">
    <vt:lpwstr>101205 13:44:51.585</vt:lpwstr>
  </property>
  <property fmtid="{D5CDD505-2E9C-101B-9397-08002B2CF9AE}" pid="58" name="urixGuid">
    <vt:lpwstr>{64FF3E5B-5565-4F8F-849E-B57FBBCAFF35}</vt:lpwstr>
  </property>
</Properties>
</file>