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0BCE" w:rsidRPr="00230BCE" w:rsidRDefault="00230BCE">
      <w:pPr>
        <w:pStyle w:val="Frslagsrubrik"/>
      </w:pPr>
      <w:r w:rsidRPr="00230BCE">
        <w:t>Förslag till riksdagsbeslut</w:t>
      </w:r>
    </w:p>
    <w:p w:rsidR="00230BCE" w:rsidRPr="00230BCE" w:rsidRDefault="00230BCE">
      <w:pPr>
        <w:pStyle w:val="Hemstlatt"/>
        <w:numPr>
          <w:ilvl w:val="0"/>
          <w:numId w:val="1"/>
        </w:numPr>
      </w:pPr>
      <w:r w:rsidRPr="00230BCE">
        <w:t>Riksdagen anvisar med följande ändringar i förhållande till regeringens förslag anslagen under utgiftsområde 21 Energi enligt uppställning:</w:t>
      </w:r>
    </w:p>
    <w:tbl>
      <w:tblPr>
        <w:tblW w:w="5954" w:type="dxa"/>
        <w:tblInd w:w="55" w:type="dxa"/>
        <w:tblLayout w:type="fixed"/>
        <w:tblCellMar>
          <w:left w:w="70" w:type="dxa"/>
          <w:right w:w="70" w:type="dxa"/>
        </w:tblCellMar>
        <w:tblLook w:val="0000" w:firstRow="0" w:lastRow="0" w:firstColumn="0" w:lastColumn="0" w:noHBand="0" w:noVBand="0"/>
      </w:tblPr>
      <w:tblGrid>
        <w:gridCol w:w="560"/>
        <w:gridCol w:w="1495"/>
        <w:gridCol w:w="2280"/>
        <w:gridCol w:w="1619"/>
      </w:tblGrid>
      <w:tr w:rsidR="00000000" w:rsidRPr="00230BCE">
        <w:tc>
          <w:tcPr>
            <w:tcW w:w="560" w:type="dxa"/>
            <w:tcBorders>
              <w:top w:val="single" w:sz="4" w:space="0" w:color="auto"/>
              <w:left w:val="nil"/>
              <w:bottom w:val="single" w:sz="4" w:space="0" w:color="auto"/>
              <w:right w:val="nil"/>
            </w:tcBorders>
            <w:noWrap/>
          </w:tcPr>
          <w:p w:rsidR="00230BCE" w:rsidRPr="00230BCE" w:rsidRDefault="00230BCE">
            <w:pPr>
              <w:spacing w:before="60" w:line="200" w:lineRule="exact"/>
              <w:jc w:val="center"/>
              <w:rPr>
                <w:b/>
                <w:bCs/>
                <w:sz w:val="16"/>
                <w:szCs w:val="16"/>
              </w:rPr>
            </w:pPr>
            <w:r w:rsidRPr="00230BCE">
              <w:rPr>
                <w:b/>
                <w:bCs/>
                <w:sz w:val="16"/>
                <w:szCs w:val="16"/>
              </w:rPr>
              <w:t> </w:t>
            </w:r>
          </w:p>
        </w:tc>
        <w:tc>
          <w:tcPr>
            <w:tcW w:w="1495" w:type="dxa"/>
            <w:tcBorders>
              <w:top w:val="single" w:sz="4" w:space="0" w:color="auto"/>
              <w:left w:val="nil"/>
              <w:bottom w:val="single" w:sz="4" w:space="0" w:color="auto"/>
              <w:right w:val="nil"/>
            </w:tcBorders>
          </w:tcPr>
          <w:p w:rsidR="00230BCE" w:rsidRPr="00230BCE" w:rsidRDefault="00230BCE">
            <w:pPr>
              <w:spacing w:before="60" w:line="200" w:lineRule="exact"/>
              <w:rPr>
                <w:b/>
                <w:bCs/>
                <w:sz w:val="16"/>
                <w:szCs w:val="16"/>
              </w:rPr>
            </w:pPr>
            <w:r w:rsidRPr="00230BCE">
              <w:rPr>
                <w:b/>
                <w:bCs/>
                <w:sz w:val="16"/>
                <w:szCs w:val="16"/>
              </w:rPr>
              <w:t> Anslag</w:t>
            </w:r>
          </w:p>
        </w:tc>
        <w:tc>
          <w:tcPr>
            <w:tcW w:w="2280" w:type="dxa"/>
            <w:tcBorders>
              <w:top w:val="single" w:sz="4" w:space="0" w:color="auto"/>
              <w:left w:val="nil"/>
              <w:bottom w:val="single" w:sz="4" w:space="0" w:color="auto"/>
              <w:right w:val="nil"/>
            </w:tcBorders>
          </w:tcPr>
          <w:p w:rsidR="00230BCE" w:rsidRPr="00230BCE" w:rsidRDefault="00230BCE">
            <w:pPr>
              <w:spacing w:before="60" w:line="200" w:lineRule="exact"/>
              <w:jc w:val="right"/>
              <w:rPr>
                <w:b/>
                <w:bCs/>
                <w:sz w:val="16"/>
                <w:szCs w:val="16"/>
              </w:rPr>
            </w:pPr>
            <w:r w:rsidRPr="00230BCE">
              <w:rPr>
                <w:b/>
                <w:bCs/>
                <w:sz w:val="16"/>
                <w:szCs w:val="16"/>
              </w:rPr>
              <w:t>Regeringens förslag (tkr)</w:t>
            </w:r>
          </w:p>
        </w:tc>
        <w:tc>
          <w:tcPr>
            <w:tcW w:w="1619" w:type="dxa"/>
            <w:tcBorders>
              <w:top w:val="single" w:sz="4" w:space="0" w:color="auto"/>
              <w:left w:val="nil"/>
              <w:bottom w:val="single" w:sz="4" w:space="0" w:color="auto"/>
              <w:right w:val="nil"/>
            </w:tcBorders>
            <w:noWrap/>
          </w:tcPr>
          <w:p w:rsidR="00230BCE" w:rsidRPr="00230BCE" w:rsidRDefault="00230BCE">
            <w:pPr>
              <w:spacing w:before="60" w:line="200" w:lineRule="exact"/>
              <w:jc w:val="right"/>
              <w:rPr>
                <w:b/>
                <w:bCs/>
                <w:sz w:val="16"/>
                <w:szCs w:val="16"/>
              </w:rPr>
            </w:pPr>
            <w:r w:rsidRPr="00230BCE">
              <w:rPr>
                <w:b/>
                <w:bCs/>
                <w:sz w:val="16"/>
                <w:szCs w:val="16"/>
              </w:rPr>
              <w:t>Förändring (tkr)</w:t>
            </w:r>
          </w:p>
        </w:tc>
      </w:tr>
      <w:tr w:rsidR="00000000" w:rsidRPr="00230BCE">
        <w:tc>
          <w:tcPr>
            <w:tcW w:w="560" w:type="dxa"/>
            <w:tcBorders>
              <w:top w:val="nil"/>
              <w:left w:val="nil"/>
              <w:bottom w:val="nil"/>
              <w:right w:val="nil"/>
            </w:tcBorders>
            <w:noWrap/>
            <w:vAlign w:val="bottom"/>
          </w:tcPr>
          <w:p w:rsidR="00230BCE" w:rsidRPr="00230BCE" w:rsidRDefault="00230BCE">
            <w:pPr>
              <w:spacing w:before="60" w:line="200" w:lineRule="exact"/>
              <w:rPr>
                <w:sz w:val="16"/>
                <w:szCs w:val="16"/>
              </w:rPr>
            </w:pPr>
            <w:r w:rsidRPr="00230BCE">
              <w:rPr>
                <w:sz w:val="16"/>
                <w:szCs w:val="16"/>
              </w:rPr>
              <w:t>Nytt</w:t>
            </w:r>
          </w:p>
        </w:tc>
        <w:tc>
          <w:tcPr>
            <w:tcW w:w="1495" w:type="dxa"/>
            <w:tcBorders>
              <w:top w:val="nil"/>
              <w:left w:val="nil"/>
              <w:bottom w:val="nil"/>
              <w:right w:val="nil"/>
            </w:tcBorders>
            <w:vAlign w:val="bottom"/>
          </w:tcPr>
          <w:p w:rsidR="00230BCE" w:rsidRPr="00230BCE" w:rsidRDefault="00230BCE">
            <w:pPr>
              <w:spacing w:before="60" w:line="200" w:lineRule="exact"/>
              <w:rPr>
                <w:sz w:val="16"/>
                <w:szCs w:val="16"/>
              </w:rPr>
            </w:pPr>
            <w:r w:rsidRPr="00230BCE">
              <w:rPr>
                <w:sz w:val="16"/>
                <w:szCs w:val="16"/>
              </w:rPr>
              <w:t>Förnybar energi</w:t>
            </w:r>
          </w:p>
        </w:tc>
        <w:tc>
          <w:tcPr>
            <w:tcW w:w="2280" w:type="dxa"/>
            <w:tcBorders>
              <w:top w:val="nil"/>
              <w:left w:val="nil"/>
              <w:bottom w:val="nil"/>
              <w:right w:val="nil"/>
            </w:tcBorders>
            <w:noWrap/>
            <w:vAlign w:val="bottom"/>
          </w:tcPr>
          <w:p w:rsidR="00230BCE" w:rsidRPr="00230BCE" w:rsidRDefault="00230BCE">
            <w:pPr>
              <w:spacing w:before="60" w:line="200" w:lineRule="exact"/>
              <w:jc w:val="right"/>
              <w:rPr>
                <w:sz w:val="16"/>
                <w:szCs w:val="16"/>
              </w:rPr>
            </w:pPr>
          </w:p>
        </w:tc>
        <w:tc>
          <w:tcPr>
            <w:tcW w:w="1619" w:type="dxa"/>
            <w:tcBorders>
              <w:top w:val="nil"/>
              <w:left w:val="nil"/>
              <w:bottom w:val="nil"/>
              <w:right w:val="nil"/>
            </w:tcBorders>
            <w:noWrap/>
            <w:vAlign w:val="bottom"/>
          </w:tcPr>
          <w:p w:rsidR="00230BCE" w:rsidRPr="00230BCE" w:rsidRDefault="00230BCE">
            <w:pPr>
              <w:spacing w:before="60" w:line="200" w:lineRule="exact"/>
              <w:jc w:val="right"/>
              <w:rPr>
                <w:sz w:val="16"/>
                <w:szCs w:val="16"/>
              </w:rPr>
            </w:pPr>
            <w:r w:rsidRPr="00230BCE">
              <w:rPr>
                <w:sz w:val="16"/>
                <w:szCs w:val="16"/>
              </w:rPr>
              <w:t>100 000</w:t>
            </w:r>
          </w:p>
        </w:tc>
      </w:tr>
      <w:tr w:rsidR="00000000" w:rsidRPr="00230BCE">
        <w:tc>
          <w:tcPr>
            <w:tcW w:w="560" w:type="dxa"/>
            <w:tcBorders>
              <w:top w:val="nil"/>
              <w:left w:val="nil"/>
              <w:bottom w:val="single" w:sz="4" w:space="0" w:color="auto"/>
              <w:right w:val="nil"/>
            </w:tcBorders>
            <w:noWrap/>
            <w:vAlign w:val="bottom"/>
          </w:tcPr>
          <w:p w:rsidR="00230BCE" w:rsidRPr="00230BCE" w:rsidRDefault="00230BCE">
            <w:pPr>
              <w:spacing w:before="60" w:line="200" w:lineRule="exact"/>
              <w:rPr>
                <w:sz w:val="16"/>
                <w:szCs w:val="16"/>
              </w:rPr>
            </w:pPr>
          </w:p>
        </w:tc>
        <w:tc>
          <w:tcPr>
            <w:tcW w:w="1495" w:type="dxa"/>
            <w:tcBorders>
              <w:top w:val="nil"/>
              <w:left w:val="nil"/>
              <w:bottom w:val="single" w:sz="4" w:space="0" w:color="auto"/>
              <w:right w:val="nil"/>
            </w:tcBorders>
            <w:vAlign w:val="bottom"/>
          </w:tcPr>
          <w:p w:rsidR="00230BCE" w:rsidRPr="00230BCE" w:rsidRDefault="00230BCE">
            <w:pPr>
              <w:spacing w:before="60" w:line="200" w:lineRule="exact"/>
              <w:rPr>
                <w:b/>
                <w:bCs/>
                <w:sz w:val="16"/>
                <w:szCs w:val="16"/>
              </w:rPr>
            </w:pPr>
            <w:r w:rsidRPr="00230BCE">
              <w:rPr>
                <w:b/>
                <w:bCs/>
                <w:sz w:val="16"/>
                <w:szCs w:val="16"/>
              </w:rPr>
              <w:t>Summa:</w:t>
            </w:r>
          </w:p>
        </w:tc>
        <w:tc>
          <w:tcPr>
            <w:tcW w:w="2280" w:type="dxa"/>
            <w:tcBorders>
              <w:top w:val="nil"/>
              <w:left w:val="nil"/>
              <w:bottom w:val="single" w:sz="4" w:space="0" w:color="auto"/>
              <w:right w:val="nil"/>
            </w:tcBorders>
            <w:noWrap/>
            <w:vAlign w:val="bottom"/>
          </w:tcPr>
          <w:p w:rsidR="00230BCE" w:rsidRPr="00230BCE" w:rsidRDefault="00230BCE">
            <w:pPr>
              <w:spacing w:before="60" w:line="200" w:lineRule="exact"/>
              <w:jc w:val="right"/>
              <w:rPr>
                <w:b/>
                <w:bCs/>
                <w:sz w:val="16"/>
                <w:szCs w:val="16"/>
              </w:rPr>
            </w:pPr>
          </w:p>
        </w:tc>
        <w:tc>
          <w:tcPr>
            <w:tcW w:w="1619" w:type="dxa"/>
            <w:tcBorders>
              <w:top w:val="nil"/>
              <w:left w:val="nil"/>
              <w:bottom w:val="single" w:sz="4" w:space="0" w:color="auto"/>
              <w:right w:val="nil"/>
            </w:tcBorders>
            <w:noWrap/>
            <w:vAlign w:val="bottom"/>
          </w:tcPr>
          <w:p w:rsidR="00230BCE" w:rsidRPr="00230BCE" w:rsidRDefault="00230BCE">
            <w:pPr>
              <w:spacing w:before="60" w:line="200" w:lineRule="exact"/>
              <w:jc w:val="right"/>
              <w:rPr>
                <w:b/>
                <w:bCs/>
                <w:sz w:val="16"/>
                <w:szCs w:val="16"/>
              </w:rPr>
            </w:pPr>
            <w:r w:rsidRPr="00230BCE">
              <w:rPr>
                <w:b/>
                <w:bCs/>
                <w:sz w:val="16"/>
                <w:szCs w:val="16"/>
              </w:rPr>
              <w:t>100 000</w:t>
            </w:r>
          </w:p>
        </w:tc>
      </w:tr>
    </w:tbl>
    <w:p w:rsidR="00230BCE" w:rsidRPr="00230BCE" w:rsidRDefault="00230BCE">
      <w:pPr>
        <w:pStyle w:val="Hemstlatt"/>
        <w:numPr>
          <w:ilvl w:val="0"/>
          <w:numId w:val="1"/>
        </w:numPr>
      </w:pPr>
      <w:r w:rsidRPr="00230BCE">
        <w:t>Riksdagen tillkännager för regeringen som sin mening vad som anförs i motionen om satsningar på förnybar ene</w:t>
      </w:r>
      <w:r w:rsidRPr="00230BCE">
        <w:t>r</w:t>
      </w:r>
      <w:r w:rsidRPr="00230BCE">
        <w:t>gi.</w:t>
      </w:r>
    </w:p>
    <w:p w:rsidR="00230BCE" w:rsidRPr="00230BCE" w:rsidRDefault="00230BCE">
      <w:pPr>
        <w:pStyle w:val="Rubrik1"/>
      </w:pPr>
      <w:r w:rsidRPr="00230BCE">
        <w:t>Motivering</w:t>
      </w:r>
    </w:p>
    <w:p w:rsidR="00230BCE" w:rsidRPr="00230BCE" w:rsidRDefault="00230BCE">
      <w:r w:rsidRPr="00230BCE">
        <w:t>Vi vill investera brett i klimatomställning. Till exempel genom energieffekt</w:t>
      </w:r>
      <w:r w:rsidRPr="00230BCE">
        <w:t>i</w:t>
      </w:r>
      <w:r w:rsidRPr="00230BCE">
        <w:t xml:space="preserve">visering och utveckling av förnybar energi och finansiera detta med högre klimat- och miljöskatter. En stor satsning på energieffektivisering görs genom det rödgröna ROT-avdraget. </w:t>
      </w:r>
    </w:p>
    <w:p w:rsidR="00230BCE" w:rsidRPr="00230BCE" w:rsidRDefault="00230BCE">
      <w:pPr>
        <w:pStyle w:val="Normaltindrag"/>
        <w:ind w:firstLine="0"/>
      </w:pPr>
      <w:r w:rsidRPr="00230BCE">
        <w:t>Så tar vi ansvar för framtiden.</w:t>
      </w:r>
    </w:p>
    <w:p w:rsidR="00230BCE" w:rsidRPr="00230BCE" w:rsidRDefault="00230BCE">
      <w:pPr>
        <w:pStyle w:val="Rubrik2"/>
      </w:pPr>
      <w:r w:rsidRPr="00230BCE">
        <w:t>Förnybar energi</w:t>
      </w:r>
    </w:p>
    <w:p w:rsidR="00230BCE" w:rsidRPr="00230BCE" w:rsidRDefault="00230BCE">
      <w:pPr>
        <w:rPr>
          <w:rFonts w:ascii="Garamond" w:hAnsi="Garamond"/>
        </w:rPr>
      </w:pPr>
      <w:r w:rsidRPr="00230BCE">
        <w:t>Certifikatssystemet för förnybar elproduktion ska vidareutvecklas. Målet bör sättas till minst 30 TWh ny el från förnybara källor år 2020. Det långsiktiga målet i certifikatssystemet för ny förnybar el ska vara minst 55 TWh till 2030. Andelen förnybar energi 2020 bör vara minst 53 procent av den totala energ</w:t>
      </w:r>
      <w:r w:rsidRPr="00230BCE">
        <w:t>i</w:t>
      </w:r>
      <w:r w:rsidRPr="00230BCE">
        <w:t>användningen. Kärnkraften ska successivt fasas ut med hänsyn till sysselsät</w:t>
      </w:r>
      <w:r w:rsidRPr="00230BCE">
        <w:t>t</w:t>
      </w:r>
      <w:r w:rsidRPr="00230BCE">
        <w:t>ning och välfärd och i den takt kärnkraftselen kan ersättas med el från förn</w:t>
      </w:r>
      <w:r w:rsidRPr="00230BCE">
        <w:t>y</w:t>
      </w:r>
      <w:r w:rsidRPr="00230BCE">
        <w:t>bara källor samt energieffektivisering. Sverige ska ha ett överskott på el.</w:t>
      </w:r>
      <w:r w:rsidRPr="00230BCE">
        <w:rPr>
          <w:rFonts w:ascii="Garamond" w:hAnsi="Garamond"/>
        </w:rPr>
        <w:t xml:space="preserve"> </w:t>
      </w:r>
    </w:p>
    <w:p w:rsidR="00230BCE" w:rsidRPr="00230BCE" w:rsidRDefault="00230BCE">
      <w:pPr>
        <w:pStyle w:val="Normaltindrag"/>
      </w:pPr>
      <w:r w:rsidRPr="00230BCE">
        <w:lastRenderedPageBreak/>
        <w:t>Åtgärder för den förnybara energiproduktionen måste utformas så att de når största möjliga effekt på kort och lång sikt. Vi kommer därför att utveckla kompletterande stödformer till solenergi och annan förnybar energiteknik och pröva ett kompletterande fastprissystem för leveranse</w:t>
      </w:r>
      <w:r w:rsidRPr="00230BCE">
        <w:t>r av förnybar el. Till dess att mer långsiktiga program finns på plats måste de investeringsstöd som finns idag kvarstå så att det inte blir glapp som gör att Sverige tappar komp</w:t>
      </w:r>
      <w:r w:rsidRPr="00230BCE">
        <w:t>e</w:t>
      </w:r>
      <w:r w:rsidRPr="00230BCE">
        <w:t>tens och fart i utvecklingsarbetet. Vi vill förlänga och utöka de befintliga anslagen till solvärme och solel samt annan förnybar energiteknik. Totalt satsar vi 100 miljoner kronor mer än regeringen på anslaget.</w:t>
      </w:r>
    </w:p>
    <w:p w:rsidR="00230BCE" w:rsidRPr="00230BCE" w:rsidRDefault="00230BCE">
      <w:pPr>
        <w:pStyle w:val="Normaltindrag"/>
      </w:pPr>
      <w:r w:rsidRPr="00230BCE">
        <w:t>Vattenfall ska behållas och utvecklas i statlig ägo.</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0BCE">
        <w:trPr>
          <w:cantSplit/>
        </w:trPr>
        <w:tc>
          <w:tcPr>
            <w:tcW w:w="3046" w:type="dxa"/>
          </w:tcPr>
          <w:p w:rsidR="00230BCE" w:rsidRPr="00230BCE" w:rsidRDefault="00230BCE">
            <w:pPr>
              <w:pStyle w:val="UnderskriftDatum"/>
              <w:spacing w:before="240"/>
            </w:pPr>
            <w:r w:rsidRPr="00230BCE">
              <w:t>Stockholm den 26 oktober 2010</w:t>
            </w:r>
          </w:p>
        </w:tc>
        <w:tc>
          <w:tcPr>
            <w:tcW w:w="3047" w:type="dxa"/>
          </w:tcPr>
          <w:p w:rsidR="00230BCE" w:rsidRPr="00230BCE" w:rsidRDefault="00230BCE">
            <w:pPr>
              <w:pStyle w:val="Underskrifter"/>
              <w:spacing w:before="240"/>
            </w:pPr>
          </w:p>
        </w:tc>
      </w:tr>
      <w:tr w:rsidR="00000000" w:rsidRPr="00230BCE">
        <w:trPr>
          <w:cantSplit/>
        </w:trPr>
        <w:tc>
          <w:tcPr>
            <w:tcW w:w="3046" w:type="dxa"/>
          </w:tcPr>
          <w:p w:rsidR="00230BCE" w:rsidRPr="00230BCE" w:rsidRDefault="00230BCE">
            <w:pPr>
              <w:pStyle w:val="Underskrifter"/>
            </w:pPr>
            <w:r w:rsidRPr="00230BCE">
              <w:t>Lars Johansson (S)</w:t>
            </w:r>
          </w:p>
        </w:tc>
        <w:tc>
          <w:tcPr>
            <w:tcW w:w="3046" w:type="dxa"/>
          </w:tcPr>
          <w:p w:rsidR="00230BCE" w:rsidRPr="00230BCE" w:rsidRDefault="00230BCE">
            <w:pPr>
              <w:pStyle w:val="Underskrifter"/>
            </w:pPr>
          </w:p>
        </w:tc>
      </w:tr>
      <w:tr w:rsidR="00000000" w:rsidRPr="00230BCE">
        <w:trPr>
          <w:cantSplit/>
        </w:trPr>
        <w:tc>
          <w:tcPr>
            <w:tcW w:w="3046" w:type="dxa"/>
          </w:tcPr>
          <w:p w:rsidR="00230BCE" w:rsidRPr="00230BCE" w:rsidRDefault="00230BCE">
            <w:pPr>
              <w:pStyle w:val="Underskrifter"/>
            </w:pPr>
            <w:r w:rsidRPr="00230BCE">
              <w:t>Maria Wetterstrand (MP)</w:t>
            </w:r>
          </w:p>
        </w:tc>
        <w:tc>
          <w:tcPr>
            <w:tcW w:w="3046" w:type="dxa"/>
          </w:tcPr>
          <w:p w:rsidR="00230BCE" w:rsidRPr="00230BCE" w:rsidRDefault="00230BCE">
            <w:pPr>
              <w:pStyle w:val="Underskrifter"/>
            </w:pPr>
            <w:r w:rsidRPr="00230BCE">
              <w:t>Kent Persson (V)</w:t>
            </w:r>
          </w:p>
        </w:tc>
      </w:tr>
    </w:tbl>
    <w:p w:rsidR="00230BCE" w:rsidRPr="00230BCE" w:rsidRDefault="00230BCE">
      <w:pPr>
        <w:pStyle w:val="Normaltindrag"/>
      </w:pPr>
    </w:p>
    <w:sectPr w:rsidR="00000000" w:rsidRPr="00230B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0BCE" w:rsidRPr="00230BCE" w:rsidRDefault="00230BCE">
      <w:r w:rsidRPr="00230BCE">
        <w:separator/>
      </w:r>
    </w:p>
  </w:endnote>
  <w:endnote w:type="continuationSeparator" w:id="0">
    <w:p w:rsidR="00230BCE" w:rsidRPr="00230BCE" w:rsidRDefault="00230BCE">
      <w:r w:rsidRPr="00230B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BCE" w:rsidRPr="00230BCE" w:rsidRDefault="00230BCE">
    <w:pPr>
      <w:pStyle w:val="Sidfot"/>
    </w:pPr>
    <w:r w:rsidRPr="00230B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24800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BCE" w:rsidRDefault="00230B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0BCE" w:rsidRDefault="00230B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BCE" w:rsidRPr="00230BCE" w:rsidRDefault="00230BCE">
    <w:pPr>
      <w:pStyle w:val="Sidfot"/>
    </w:pPr>
    <w:r w:rsidRPr="00230B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57051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BCE" w:rsidRDefault="00230BC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0BCE" w:rsidRDefault="00230BC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BCE" w:rsidRPr="00230BCE" w:rsidRDefault="00230BCE">
    <w:pPr>
      <w:pStyle w:val="Sidfot"/>
    </w:pPr>
    <w:r w:rsidRPr="00230B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15828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BCE" w:rsidRDefault="00230B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0BCE" w:rsidRDefault="00230B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0BCE" w:rsidRPr="00230BCE" w:rsidRDefault="00230BCE">
      <w:r w:rsidRPr="00230BCE">
        <w:separator/>
      </w:r>
    </w:p>
  </w:footnote>
  <w:footnote w:type="continuationSeparator" w:id="0">
    <w:p w:rsidR="00230BCE" w:rsidRPr="00230BCE" w:rsidRDefault="00230BCE">
      <w:r w:rsidRPr="00230B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BCE" w:rsidRPr="00230BCE" w:rsidRDefault="00230BCE">
    <w:pPr>
      <w:pStyle w:val="Sidhuvud"/>
    </w:pPr>
    <w:r w:rsidRPr="00230B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8271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BCE" w:rsidRDefault="00230BC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0BCE" w:rsidRDefault="00230BC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BCE" w:rsidRPr="00230BCE" w:rsidRDefault="00230BCE">
    <w:pPr>
      <w:pStyle w:val="Sidhuvud"/>
    </w:pPr>
    <w:r w:rsidRPr="00230B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43051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BCE" w:rsidRDefault="00230BC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0BCE" w:rsidRDefault="00230BC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BCE" w:rsidRPr="00230BCE" w:rsidRDefault="00230BCE">
    <w:pPr>
      <w:pStyle w:val="FSHNormal"/>
      <w:tabs>
        <w:tab w:val="right" w:pos="5840"/>
      </w:tabs>
    </w:pPr>
    <w:r w:rsidRPr="00230BCE">
      <w:br/>
    </w:r>
    <w:r w:rsidRPr="00230BCE">
      <w:fldChar w:fldCharType="begin" w:fldLock="1"/>
    </w:r>
    <w:r w:rsidRPr="00230BCE">
      <w:instrText xml:space="preserve"> DOCPROPERTY</w:instrText>
    </w:r>
    <w:r w:rsidRPr="00230BCE">
      <w:rPr>
        <w:sz w:val="18"/>
      </w:rPr>
      <w:instrText xml:space="preserve"> "YearUser" *\charformat </w:instrText>
    </w:r>
    <w:r w:rsidRPr="00230BCE">
      <w:fldChar w:fldCharType="separate"/>
    </w:r>
    <w:r w:rsidRPr="00230BCE">
      <w:t>2010/11</w:t>
    </w:r>
    <w:r w:rsidRPr="00230BCE">
      <w:fldChar w:fldCharType="end"/>
    </w:r>
    <w:r w:rsidRPr="00230BCE">
      <w:t xml:space="preserve"> </w:t>
    </w:r>
    <w:r w:rsidRPr="00230BCE">
      <w:tab/>
      <w:t xml:space="preserve">mnr: </w:t>
    </w:r>
    <w:r w:rsidRPr="00230BCE">
      <w:fldChar w:fldCharType="begin" w:fldLock="1"/>
    </w:r>
    <w:r w:rsidRPr="00230BCE">
      <w:instrText xml:space="preserve"> DOCPROPERTY</w:instrText>
    </w:r>
    <w:r w:rsidRPr="00230BCE">
      <w:rPr>
        <w:sz w:val="18"/>
      </w:rPr>
      <w:instrText xml:space="preserve"> "Motionsnummer" *\charformat </w:instrText>
    </w:r>
    <w:r w:rsidRPr="00230BCE">
      <w:fldChar w:fldCharType="separate"/>
    </w:r>
    <w:r w:rsidRPr="00230BCE">
      <w:t>N381</w:t>
    </w:r>
    <w:r w:rsidRPr="00230BCE">
      <w:fldChar w:fldCharType="end"/>
    </w:r>
    <w:r w:rsidRPr="00230BCE">
      <w:br/>
    </w:r>
    <w:r w:rsidRPr="00230BCE">
      <w:fldChar w:fldCharType="begin" w:fldLock="1"/>
    </w:r>
    <w:r w:rsidRPr="00230BCE">
      <w:instrText xml:space="preserve"> DOCPROPERTY</w:instrText>
    </w:r>
    <w:r w:rsidRPr="00230BCE">
      <w:rPr>
        <w:sz w:val="18"/>
      </w:rPr>
      <w:instrText xml:space="preserve"> "Samling" *\charformat </w:instrText>
    </w:r>
    <w:r w:rsidRPr="00230BCE">
      <w:fldChar w:fldCharType="end"/>
    </w:r>
    <w:r w:rsidRPr="00230BCE">
      <w:tab/>
      <w:t xml:space="preserve">pnr: </w:t>
    </w:r>
    <w:r w:rsidRPr="00230BCE">
      <w:fldChar w:fldCharType="begin" w:fldLock="1"/>
    </w:r>
    <w:r w:rsidRPr="00230BCE">
      <w:instrText xml:space="preserve"> DOCPROPERTY</w:instrText>
    </w:r>
    <w:r w:rsidRPr="00230BCE">
      <w:rPr>
        <w:sz w:val="18"/>
      </w:rPr>
      <w:instrText xml:space="preserve"> "Partinummer" *\charformat </w:instrText>
    </w:r>
    <w:r w:rsidRPr="00230BCE">
      <w:fldChar w:fldCharType="separate"/>
    </w:r>
    <w:r w:rsidRPr="00230BCE">
      <w:t>-V821</w:t>
    </w:r>
    <w:r w:rsidRPr="00230BCE">
      <w:fldChar w:fldCharType="end"/>
    </w:r>
  </w:p>
  <w:p w:rsidR="00230BCE" w:rsidRPr="00230BCE" w:rsidRDefault="00230BCE">
    <w:pPr>
      <w:pStyle w:val="FSHRub1"/>
    </w:pPr>
    <w:r w:rsidRPr="00230BCE">
      <w:t>Motion till riksdagen</w:t>
    </w:r>
    <w:r w:rsidRPr="00230BCE">
      <w:br/>
    </w:r>
    <w:r w:rsidRPr="00230BCE">
      <w:fldChar w:fldCharType="begin" w:fldLock="1"/>
    </w:r>
    <w:r w:rsidRPr="00230BCE">
      <w:instrText xml:space="preserve"> DOCPROPERTY "YearUser" *\charformat </w:instrText>
    </w:r>
    <w:r w:rsidRPr="00230BCE">
      <w:fldChar w:fldCharType="separate"/>
    </w:r>
    <w:r w:rsidRPr="00230BCE">
      <w:t>2010/11</w:t>
    </w:r>
    <w:r w:rsidRPr="00230BCE">
      <w:fldChar w:fldCharType="end"/>
    </w:r>
    <w:r w:rsidRPr="00230BCE">
      <w:t>:</w:t>
    </w:r>
    <w:r w:rsidRPr="00230BCE">
      <w:fldChar w:fldCharType="begin" w:fldLock="1"/>
    </w:r>
    <w:r w:rsidRPr="00230BCE">
      <w:instrText xml:space="preserve"> DOCPROPERTY "Motionsnummer" *\charformat </w:instrText>
    </w:r>
    <w:r w:rsidRPr="00230BCE">
      <w:fldChar w:fldCharType="separate"/>
    </w:r>
    <w:r w:rsidRPr="00230BCE">
      <w:t>N381</w:t>
    </w:r>
    <w:r w:rsidRPr="00230BCE">
      <w:fldChar w:fldCharType="end"/>
    </w:r>
  </w:p>
  <w:p w:rsidR="00230BCE" w:rsidRPr="00230BCE" w:rsidRDefault="00230BCE">
    <w:pPr>
      <w:pStyle w:val="FSHNormalS5"/>
    </w:pPr>
    <w:r w:rsidRPr="00230BCE">
      <w:fldChar w:fldCharType="begin" w:fldLock="1"/>
    </w:r>
    <w:r w:rsidRPr="00230BCE">
      <w:instrText xml:space="preserve"> DOCPROPERTY "MotionarText" *\charformat </w:instrText>
    </w:r>
    <w:r w:rsidRPr="00230BCE">
      <w:fldChar w:fldCharType="separate"/>
    </w:r>
    <w:r w:rsidRPr="00230BCE">
      <w:t>av Lars Johansson m.fl. (S, MP, V)</w:t>
    </w:r>
    <w:r w:rsidRPr="00230BCE">
      <w:fldChar w:fldCharType="end"/>
    </w:r>
    <w:r w:rsidRPr="00230BCE">
      <w:br/>
    </w:r>
    <w:r w:rsidRPr="00230BCE">
      <w:fldChar w:fldCharType="begin" w:fldLock="1"/>
    </w:r>
    <w:r w:rsidRPr="00230BCE">
      <w:instrText xml:space="preserve"> DOCPROPERTY "SvarFrasKort" *\charformat </w:instrText>
    </w:r>
    <w:r w:rsidRPr="00230BCE">
      <w:fldChar w:fldCharType="end"/>
    </w:r>
  </w:p>
  <w:p w:rsidR="00230BCE" w:rsidRPr="00230BCE" w:rsidRDefault="00230BCE">
    <w:pPr>
      <w:pStyle w:val="FSHTitel"/>
    </w:pPr>
    <w:r w:rsidRPr="00230BCE">
      <w:fldChar w:fldCharType="begin" w:fldLock="1"/>
    </w:r>
    <w:r w:rsidRPr="00230BCE">
      <w:instrText xml:space="preserve"> DOCPROPERTY</w:instrText>
    </w:r>
    <w:r w:rsidRPr="00230BCE">
      <w:rPr>
        <w:sz w:val="18"/>
      </w:rPr>
      <w:instrText xml:space="preserve"> "RubrikSvar" *\charformat </w:instrText>
    </w:r>
    <w:r w:rsidRPr="00230BCE">
      <w:fldChar w:fldCharType="separate"/>
    </w:r>
    <w:r w:rsidRPr="00230BCE">
      <w:t>Utgiftsområde 21 Energi</w:t>
    </w:r>
    <w:r w:rsidRPr="00230BCE">
      <w:fldChar w:fldCharType="end"/>
    </w:r>
  </w:p>
  <w:p w:rsidR="00230BCE" w:rsidRPr="00230BCE" w:rsidRDefault="00230BCE">
    <w:pPr>
      <w:pStyle w:val="Normal00"/>
    </w:pPr>
  </w:p>
  <w:p w:rsidR="00230BCE" w:rsidRPr="00230BCE" w:rsidRDefault="00230B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6ED0B13"/>
    <w:multiLevelType w:val="hybridMultilevel"/>
    <w:tmpl w:val="9D321804"/>
    <w:lvl w:ilvl="0" w:tplc="41B07EC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27929095">
    <w:abstractNumId w:val="3"/>
  </w:num>
  <w:num w:numId="2" w16cid:durableId="50664501">
    <w:abstractNumId w:val="2"/>
  </w:num>
  <w:num w:numId="3" w16cid:durableId="1944604180">
    <w:abstractNumId w:val="1"/>
  </w:num>
  <w:num w:numId="4" w16cid:durableId="424302078">
    <w:abstractNumId w:val="0"/>
  </w:num>
  <w:num w:numId="5" w16cid:durableId="1152991577">
    <w:abstractNumId w:val="7"/>
  </w:num>
  <w:num w:numId="6" w16cid:durableId="1125462617">
    <w:abstractNumId w:val="6"/>
  </w:num>
  <w:num w:numId="7" w16cid:durableId="1109471788">
    <w:abstractNumId w:val="5"/>
  </w:num>
  <w:num w:numId="8" w16cid:durableId="233704410">
    <w:abstractNumId w:val="4"/>
  </w:num>
  <w:num w:numId="9" w16cid:durableId="1309284776">
    <w:abstractNumId w:val="8"/>
  </w:num>
  <w:num w:numId="10" w16cid:durableId="2079010043">
    <w:abstractNumId w:val="9"/>
  </w:num>
  <w:num w:numId="11" w16cid:durableId="1292059286">
    <w:abstractNumId w:val="10"/>
  </w:num>
  <w:num w:numId="12" w16cid:durableId="1193882314">
    <w:abstractNumId w:val="13"/>
  </w:num>
  <w:num w:numId="13" w16cid:durableId="1043095473">
    <w:abstractNumId w:val="15"/>
  </w:num>
  <w:num w:numId="14" w16cid:durableId="1295673735">
    <w:abstractNumId w:val="17"/>
  </w:num>
  <w:num w:numId="15" w16cid:durableId="503210010">
    <w:abstractNumId w:val="11"/>
  </w:num>
  <w:num w:numId="16" w16cid:durableId="180050511">
    <w:abstractNumId w:val="19"/>
  </w:num>
  <w:num w:numId="17" w16cid:durableId="1469859367">
    <w:abstractNumId w:val="18"/>
  </w:num>
  <w:num w:numId="18" w16cid:durableId="233391631">
    <w:abstractNumId w:val="14"/>
  </w:num>
  <w:num w:numId="19" w16cid:durableId="1807812789">
    <w:abstractNumId w:val="12"/>
  </w:num>
  <w:num w:numId="20" w16cid:durableId="8741217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0"/>
    <w:docVar w:name="PersonGUIDs" w:val="{A5FD479D-7B1D-4149-A949-BD9CC9D47A21},{72BBA5B1-2A4C-45F5-AADF-7062D4751E63},{3EA40B84-2474-4E42-A764-D13EB4E0906F}"/>
  </w:docVars>
  <w:rsids>
    <w:rsidRoot w:val="0019714A"/>
    <w:rsid w:val="0019714A"/>
    <w:rsid w:val="00230B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93C499D8-1E89-4E1D-83AF-2D7E1D9A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1761</Characters>
  <Application>Microsoft Office Word</Application>
  <DocSecurity>4</DocSecurity>
  <Lines>48</Lines>
  <Paragraphs>25</Paragraphs>
  <ScaleCrop>false</ScaleCrop>
  <HeadingPairs>
    <vt:vector size="2" baseType="variant">
      <vt:variant>
        <vt:lpstr>Rubrik</vt:lpstr>
      </vt:variant>
      <vt:variant>
        <vt:i4>1</vt:i4>
      </vt:variant>
    </vt:vector>
  </HeadingPairs>
  <TitlesOfParts>
    <vt:vector size="1" baseType="lpstr">
      <vt:lpstr>-V421</vt:lpstr>
    </vt:vector>
  </TitlesOfParts>
  <Company>Riksdagen</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-V421</dc:title>
  <dc:subject>-V421</dc:subject>
  <dc:creator>Riksdagen</dc:creator>
  <cp:keywords>Riksdagen</cp:keywords>
  <dc:description>Versal/gemen i partibeteckning. Gemen i tryck för 0910, versal för 1011 och nyare</dc:description>
  <cp:lastModifiedBy>Lars Brink</cp:lastModifiedBy>
  <cp:revision>2</cp:revision>
  <cp:lastPrinted>2010-11-10T07:49:00Z</cp:lastPrinted>
  <dcterms:created xsi:type="dcterms:W3CDTF">2025-12-18T01:50:00Z</dcterms:created>
  <dcterms:modified xsi:type="dcterms:W3CDTF">2025-12-18T01:50:00Z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Utgiftsområde 21 Energi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21 Energi</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-V821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Lars Johansson m.fl. (S, MP, V)</vt:lpwstr>
  </property>
  <property fmtid="{D5CDD505-2E9C-101B-9397-08002B2CF9AE}" pid="26" name="MotionarLista">
    <vt:lpwstr>Johansson, Lars (S)\Wetterstrand, Maria (MP)\Persson,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Maria Wetterstrand (MP),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N381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20102011000000000086000004210070</vt:lpwstr>
  </property>
  <property fmtid="{D5CDD505-2E9C-101B-9397-08002B2CF9AE}" pid="47" name="datum">
    <vt:lpwstr>101026</vt:lpwstr>
  </property>
  <property fmtid="{D5CDD505-2E9C-101B-9397-08002B2CF9AE}" pid="48" name="avsändar-e-post">
    <vt:lpwstr>dina.fraggidou@riksdagen.se</vt:lpwstr>
  </property>
  <property fmtid="{D5CDD505-2E9C-101B-9397-08002B2CF9AE}" pid="49" name="id">
    <vt:lpwstr>20102011000000000086000004210070</vt:lpwstr>
  </property>
  <property fmtid="{D5CDD505-2E9C-101B-9397-08002B2CF9AE}" pid="50" name="nummer">
    <vt:lpwstr>381</vt:lpwstr>
  </property>
  <property fmtid="{D5CDD505-2E9C-101B-9397-08002B2CF9AE}" pid="51" name="utskottsbeteckning">
    <vt:lpwstr>N</vt:lpwstr>
  </property>
  <property fmtid="{D5CDD505-2E9C-101B-9397-08002B2CF9AE}" pid="52" name="GlobalUID">
    <vt:lpwstr>{83E734D1-E330-4699-B7E3-8169916991EA}</vt:lpwstr>
  </property>
  <property fmtid="{D5CDD505-2E9C-101B-9397-08002B2CF9AE}" pid="53" name="Överföringar">
    <vt:i4>0</vt:i4>
  </property>
  <property fmtid="{D5CDD505-2E9C-101B-9397-08002B2CF9AE}" pid="54" name="Checksum">
    <vt:lpwstr>*1021302921281*</vt:lpwstr>
  </property>
  <property fmtid="{D5CDD505-2E9C-101B-9397-08002B2CF9AE}" pid="55" name="skuggnummer">
    <vt:lpwstr>2562</vt:lpwstr>
  </property>
  <property fmtid="{D5CDD505-2E9C-101B-9397-08002B2CF9AE}" pid="56" name="urixVersion">
    <vt:lpwstr>4.3.0.0</vt:lpwstr>
  </property>
  <property fmtid="{D5CDD505-2E9C-101B-9397-08002B2CF9AE}" pid="57" name="urixOrigin">
    <vt:lpwstr>101110 08:54:05.165</vt:lpwstr>
  </property>
  <property fmtid="{D5CDD505-2E9C-101B-9397-08002B2CF9AE}" pid="58" name="urixGuid">
    <vt:lpwstr>{FFEE3994-A974-4626-829D-7C7D3D261DFD}</vt:lpwstr>
  </property>
</Properties>
</file>