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7E6405" w14:paraId="23513B4C" w14:textId="77777777" w:rsidTr="00851797">
        <w:tc>
          <w:tcPr>
            <w:tcW w:w="2268" w:type="dxa"/>
          </w:tcPr>
          <w:p w14:paraId="17B1CA4E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AAABE3F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E6405" w14:paraId="1FE18552" w14:textId="77777777" w:rsidTr="00851797">
        <w:tc>
          <w:tcPr>
            <w:tcW w:w="2268" w:type="dxa"/>
          </w:tcPr>
          <w:p w14:paraId="7E5CA63A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61F42F" w14:textId="77777777" w:rsidR="007E6405" w:rsidRDefault="007E6405" w:rsidP="0085179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7E6405" w14:paraId="5B1AAE70" w14:textId="77777777" w:rsidTr="00851797">
        <w:tc>
          <w:tcPr>
            <w:tcW w:w="3402" w:type="dxa"/>
            <w:gridSpan w:val="2"/>
          </w:tcPr>
          <w:p w14:paraId="29C450E4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5FF3D9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</w:tr>
      <w:tr w:rsidR="007E6405" w14:paraId="0DC57FB0" w14:textId="77777777" w:rsidTr="00851797">
        <w:tc>
          <w:tcPr>
            <w:tcW w:w="2268" w:type="dxa"/>
          </w:tcPr>
          <w:p w14:paraId="29A2DA07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930220" w14:textId="225F6944" w:rsidR="007E6405" w:rsidRPr="00012EF7" w:rsidRDefault="00BD786A" w:rsidP="00EF6716">
            <w:pPr>
              <w:framePr w:w="5035" w:h="1644" w:wrap="notBeside" w:vAnchor="page" w:hAnchor="page" w:x="6573" w:y="721"/>
              <w:rPr>
                <w:sz w:val="20"/>
              </w:rPr>
            </w:pPr>
            <w:r w:rsidRPr="00012EF7">
              <w:rPr>
                <w:sz w:val="20"/>
              </w:rPr>
              <w:t>Dnr Ju201</w:t>
            </w:r>
            <w:r w:rsidR="000A221C" w:rsidRPr="00012EF7">
              <w:rPr>
                <w:sz w:val="20"/>
              </w:rPr>
              <w:t>6</w:t>
            </w:r>
            <w:r w:rsidRPr="00012EF7">
              <w:rPr>
                <w:sz w:val="20"/>
              </w:rPr>
              <w:t>/0</w:t>
            </w:r>
            <w:r w:rsidR="00012EF7" w:rsidRPr="00012EF7">
              <w:rPr>
                <w:sz w:val="20"/>
              </w:rPr>
              <w:t>2</w:t>
            </w:r>
            <w:r w:rsidR="00EF6716">
              <w:rPr>
                <w:sz w:val="20"/>
              </w:rPr>
              <w:t>569</w:t>
            </w:r>
            <w:r w:rsidR="007E6405" w:rsidRPr="00012EF7">
              <w:rPr>
                <w:sz w:val="20"/>
              </w:rPr>
              <w:t>/POL</w:t>
            </w:r>
          </w:p>
        </w:tc>
      </w:tr>
      <w:tr w:rsidR="007E6405" w14:paraId="1AE0C831" w14:textId="77777777" w:rsidTr="00851797">
        <w:tc>
          <w:tcPr>
            <w:tcW w:w="2268" w:type="dxa"/>
          </w:tcPr>
          <w:p w14:paraId="6CC0324A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56394B" w14:textId="77777777" w:rsidR="007E6405" w:rsidRDefault="007E6405" w:rsidP="00851797">
            <w:pPr>
              <w:framePr w:w="5035" w:h="1644" w:wrap="notBeside" w:vAnchor="page" w:hAnchor="page" w:x="6573" w:y="721"/>
            </w:pPr>
          </w:p>
        </w:tc>
      </w:tr>
    </w:tbl>
    <w:tbl>
      <w:tblPr>
        <w:tblW w:w="5381" w:type="dxa"/>
        <w:tblLayout w:type="fixed"/>
        <w:tblLook w:val="0000" w:firstRow="0" w:lastRow="0" w:firstColumn="0" w:lastColumn="0" w:noHBand="0" w:noVBand="0"/>
      </w:tblPr>
      <w:tblGrid>
        <w:gridCol w:w="3751"/>
        <w:gridCol w:w="1630"/>
      </w:tblGrid>
      <w:tr w:rsidR="007E6405" w14:paraId="331D85D5" w14:textId="77777777" w:rsidTr="009E4B6C">
        <w:trPr>
          <w:gridAfter w:val="1"/>
          <w:wAfter w:w="1630" w:type="dxa"/>
          <w:trHeight w:val="198"/>
        </w:trPr>
        <w:tc>
          <w:tcPr>
            <w:tcW w:w="3751" w:type="dxa"/>
          </w:tcPr>
          <w:p w14:paraId="3C6CC064" w14:textId="77777777" w:rsidR="007E6405" w:rsidRDefault="007E6405" w:rsidP="009E4B6C">
            <w:pPr>
              <w:pStyle w:val="Avsndare"/>
              <w:framePr w:h="2483" w:wrap="notBeside" w:x="1433" w:y="213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7E6405" w14:paraId="490C0779" w14:textId="77777777" w:rsidTr="009E4B6C">
        <w:trPr>
          <w:gridAfter w:val="1"/>
          <w:wAfter w:w="1630" w:type="dxa"/>
          <w:trHeight w:val="198"/>
        </w:trPr>
        <w:tc>
          <w:tcPr>
            <w:tcW w:w="3751" w:type="dxa"/>
          </w:tcPr>
          <w:p w14:paraId="0EA41D7D" w14:textId="77777777" w:rsidR="007E6405" w:rsidRDefault="007E6405" w:rsidP="009E4B6C">
            <w:pPr>
              <w:pStyle w:val="Avsndare"/>
              <w:framePr w:h="2483" w:wrap="notBeside" w:x="1433" w:y="2131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7E6405" w14:paraId="00CFCE5E" w14:textId="77777777" w:rsidTr="009E4B6C">
        <w:trPr>
          <w:gridAfter w:val="1"/>
          <w:wAfter w:w="1630" w:type="dxa"/>
          <w:trHeight w:val="198"/>
        </w:trPr>
        <w:tc>
          <w:tcPr>
            <w:tcW w:w="3751" w:type="dxa"/>
          </w:tcPr>
          <w:p w14:paraId="6D87763C" w14:textId="77777777" w:rsidR="007E6405" w:rsidRDefault="007E6405" w:rsidP="009E4B6C">
            <w:pPr>
              <w:pStyle w:val="Avsndare"/>
              <w:framePr w:h="2483" w:wrap="notBeside" w:x="1433" w:y="2131"/>
              <w:rPr>
                <w:bCs/>
                <w:iCs/>
              </w:rPr>
            </w:pPr>
          </w:p>
        </w:tc>
      </w:tr>
      <w:tr w:rsidR="009E4B6C" w:rsidRPr="00537C14" w14:paraId="042AF9F9" w14:textId="77777777" w:rsidTr="009E4B6C">
        <w:trPr>
          <w:trHeight w:val="231"/>
        </w:trPr>
        <w:tc>
          <w:tcPr>
            <w:tcW w:w="5381" w:type="dxa"/>
            <w:gridSpan w:val="2"/>
          </w:tcPr>
          <w:p w14:paraId="5E5F2C15" w14:textId="77777777" w:rsidR="009E4B6C" w:rsidRPr="00537C14" w:rsidRDefault="009E4B6C" w:rsidP="009E4B6C">
            <w:pPr>
              <w:framePr w:w="4695" w:h="2483" w:hSpace="113" w:wrap="notBeside" w:vAnchor="page" w:hAnchor="page" w:x="1433" w:y="2131"/>
              <w:tabs>
                <w:tab w:val="left" w:pos="3260"/>
              </w:tabs>
              <w:spacing w:line="260" w:lineRule="exact"/>
              <w:rPr>
                <w:rFonts w:ascii="TradeGothic" w:hAnsi="TradeGothic"/>
                <w:bCs/>
                <w:i/>
                <w:iCs/>
                <w:sz w:val="18"/>
              </w:rPr>
            </w:pPr>
          </w:p>
        </w:tc>
      </w:tr>
      <w:tr w:rsidR="009E4B6C" w:rsidRPr="00537C14" w14:paraId="611064CB" w14:textId="77777777" w:rsidTr="009E4B6C">
        <w:trPr>
          <w:trHeight w:val="231"/>
        </w:trPr>
        <w:tc>
          <w:tcPr>
            <w:tcW w:w="5381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88"/>
            </w:tblGrid>
            <w:tr w:rsidR="009E4B6C" w:rsidRPr="00537C14" w14:paraId="6BA50EBB" w14:textId="77777777" w:rsidTr="000B5EEE">
              <w:trPr>
                <w:trHeight w:val="231"/>
              </w:trPr>
              <w:tc>
                <w:tcPr>
                  <w:tcW w:w="4688" w:type="dxa"/>
                </w:tcPr>
                <w:p w14:paraId="4ECEB93C" w14:textId="77777777" w:rsidR="009E4B6C" w:rsidRPr="00537C14" w:rsidRDefault="009E4B6C" w:rsidP="009E4B6C">
                  <w:pPr>
                    <w:framePr w:w="4695" w:h="2483" w:hSpace="113" w:wrap="notBeside" w:vAnchor="page" w:hAnchor="page" w:x="1433" w:y="2131"/>
                    <w:tabs>
                      <w:tab w:val="left" w:pos="3260"/>
                    </w:tabs>
                    <w:spacing w:line="260" w:lineRule="exact"/>
                    <w:rPr>
                      <w:rFonts w:ascii="TradeGothic" w:hAnsi="TradeGothic"/>
                      <w:bCs/>
                      <w:i/>
                      <w:iCs/>
                      <w:sz w:val="18"/>
                    </w:rPr>
                  </w:pPr>
                </w:p>
              </w:tc>
            </w:tr>
          </w:tbl>
          <w:p w14:paraId="36331744" w14:textId="77777777" w:rsidR="009E4B6C" w:rsidRPr="00537C14" w:rsidRDefault="009E4B6C" w:rsidP="009E4B6C">
            <w:pPr>
              <w:framePr w:w="4695" w:h="2483" w:hSpace="113" w:wrap="notBeside" w:vAnchor="page" w:hAnchor="page" w:x="1433" w:y="2131"/>
              <w:tabs>
                <w:tab w:val="left" w:pos="3260"/>
              </w:tabs>
              <w:spacing w:line="260" w:lineRule="exact"/>
              <w:rPr>
                <w:rFonts w:ascii="TradeGothic" w:hAnsi="TradeGothic"/>
                <w:bCs/>
                <w:i/>
                <w:iCs/>
                <w:sz w:val="18"/>
              </w:rPr>
            </w:pPr>
          </w:p>
        </w:tc>
      </w:tr>
      <w:tr w:rsidR="007E6405" w14:paraId="2C67E0A6" w14:textId="77777777" w:rsidTr="009E4B6C">
        <w:trPr>
          <w:gridAfter w:val="1"/>
          <w:wAfter w:w="1630" w:type="dxa"/>
          <w:trHeight w:val="198"/>
        </w:trPr>
        <w:tc>
          <w:tcPr>
            <w:tcW w:w="3751" w:type="dxa"/>
          </w:tcPr>
          <w:p w14:paraId="3F2C9549" w14:textId="77777777" w:rsidR="007E6405" w:rsidRDefault="007E6405" w:rsidP="009E4B6C">
            <w:pPr>
              <w:pStyle w:val="Avsndare"/>
              <w:framePr w:h="2483" w:wrap="notBeside" w:x="1433" w:y="2131"/>
              <w:rPr>
                <w:bCs/>
                <w:iCs/>
              </w:rPr>
            </w:pPr>
          </w:p>
        </w:tc>
      </w:tr>
      <w:tr w:rsidR="00047EC5" w14:paraId="3A35E9F5" w14:textId="77777777" w:rsidTr="009E4B6C">
        <w:trPr>
          <w:gridAfter w:val="1"/>
          <w:wAfter w:w="1630" w:type="dxa"/>
          <w:trHeight w:val="198"/>
        </w:trPr>
        <w:tc>
          <w:tcPr>
            <w:tcW w:w="3751" w:type="dxa"/>
          </w:tcPr>
          <w:p w14:paraId="2821F80E" w14:textId="77777777" w:rsidR="00047EC5" w:rsidRDefault="00047EC5" w:rsidP="009E4B6C">
            <w:pPr>
              <w:pStyle w:val="Avsndare"/>
              <w:framePr w:h="2483" w:wrap="notBeside" w:x="1433" w:y="2131"/>
              <w:rPr>
                <w:bCs/>
                <w:iCs/>
              </w:rPr>
            </w:pPr>
          </w:p>
        </w:tc>
      </w:tr>
    </w:tbl>
    <w:p w14:paraId="75636B14" w14:textId="77777777" w:rsidR="007E6405" w:rsidRDefault="007E6405" w:rsidP="007E6405">
      <w:pPr>
        <w:framePr w:w="4400" w:h="2523" w:wrap="notBeside" w:vAnchor="page" w:hAnchor="page" w:x="6453" w:y="2445"/>
        <w:ind w:left="142"/>
      </w:pPr>
      <w:r>
        <w:t>Till riksdagen</w:t>
      </w:r>
    </w:p>
    <w:p w14:paraId="5ED0B679" w14:textId="77777777" w:rsidR="00132086" w:rsidRDefault="00132086" w:rsidP="007E6405">
      <w:pPr>
        <w:pStyle w:val="RKrubrik"/>
        <w:pBdr>
          <w:bottom w:val="single" w:sz="4" w:space="1" w:color="auto"/>
        </w:pBdr>
        <w:spacing w:before="0" w:after="0"/>
      </w:pPr>
    </w:p>
    <w:p w14:paraId="07F536A6" w14:textId="77777777" w:rsidR="00132086" w:rsidRDefault="00132086" w:rsidP="007E6405">
      <w:pPr>
        <w:pStyle w:val="RKrubrik"/>
        <w:pBdr>
          <w:bottom w:val="single" w:sz="4" w:space="1" w:color="auto"/>
        </w:pBdr>
        <w:spacing w:before="0" w:after="0"/>
      </w:pPr>
    </w:p>
    <w:p w14:paraId="653E26FD" w14:textId="77777777" w:rsidR="00132086" w:rsidRDefault="00132086" w:rsidP="007E6405">
      <w:pPr>
        <w:pStyle w:val="RKrubrik"/>
        <w:pBdr>
          <w:bottom w:val="single" w:sz="4" w:space="1" w:color="auto"/>
        </w:pBdr>
        <w:spacing w:before="0" w:after="0"/>
      </w:pPr>
    </w:p>
    <w:p w14:paraId="1C6AA9F4" w14:textId="77777777" w:rsidR="00132086" w:rsidRDefault="00132086" w:rsidP="007E6405">
      <w:pPr>
        <w:pStyle w:val="RKrubrik"/>
        <w:pBdr>
          <w:bottom w:val="single" w:sz="4" w:space="1" w:color="auto"/>
        </w:pBdr>
        <w:spacing w:before="0" w:after="0"/>
      </w:pPr>
    </w:p>
    <w:p w14:paraId="4306BAA6" w14:textId="77777777" w:rsidR="00132086" w:rsidRDefault="00132086" w:rsidP="007E6405">
      <w:pPr>
        <w:pStyle w:val="RKrubrik"/>
        <w:pBdr>
          <w:bottom w:val="single" w:sz="4" w:space="1" w:color="auto"/>
        </w:pBdr>
        <w:spacing w:before="0" w:after="0"/>
      </w:pPr>
    </w:p>
    <w:p w14:paraId="020FD88D" w14:textId="546DC8E8" w:rsidR="007E6405" w:rsidRDefault="005B45F3" w:rsidP="007E6405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E22F2B">
        <w:t>1019</w:t>
      </w:r>
      <w:r w:rsidR="007E6405">
        <w:t xml:space="preserve"> av </w:t>
      </w:r>
      <w:r w:rsidR="00E22F2B">
        <w:t xml:space="preserve">Mikael </w:t>
      </w:r>
      <w:proofErr w:type="spellStart"/>
      <w:r w:rsidR="00E22F2B">
        <w:t>Cederbratt</w:t>
      </w:r>
      <w:proofErr w:type="spellEnd"/>
      <w:r w:rsidR="007E6405">
        <w:t xml:space="preserve"> (</w:t>
      </w:r>
      <w:r>
        <w:t>M</w:t>
      </w:r>
      <w:r w:rsidR="007E6405">
        <w:t xml:space="preserve">) </w:t>
      </w:r>
      <w:r w:rsidR="00E22F2B">
        <w:t>Samordning av flyktinghanteringen</w:t>
      </w:r>
    </w:p>
    <w:p w14:paraId="34F35D7C" w14:textId="77777777" w:rsidR="00194E51" w:rsidRDefault="00194E51" w:rsidP="007E6405"/>
    <w:p w14:paraId="775623BB" w14:textId="53DEF4E4" w:rsidR="00194E51" w:rsidRDefault="00E22F2B" w:rsidP="007E6405">
      <w:r>
        <w:t xml:space="preserve">Mikael </w:t>
      </w:r>
      <w:proofErr w:type="spellStart"/>
      <w:r>
        <w:t>Cederbratt</w:t>
      </w:r>
      <w:proofErr w:type="spellEnd"/>
      <w:r w:rsidR="007E6405">
        <w:t xml:space="preserve"> har </w:t>
      </w:r>
      <w:r w:rsidR="000A221C">
        <w:t>frågat stats</w:t>
      </w:r>
      <w:r>
        <w:t>minister</w:t>
      </w:r>
      <w:r w:rsidR="000A221C">
        <w:t xml:space="preserve"> </w:t>
      </w:r>
      <w:r>
        <w:t>Stefan Löfven</w:t>
      </w:r>
      <w:r w:rsidR="000A221C">
        <w:t xml:space="preserve"> </w:t>
      </w:r>
      <w:r w:rsidR="00EF6716">
        <w:t>om han fråntagit justitie- och migrationsministern uppgiften att samordna regeringens flyktinghantering och om arbetsmarknadsministerns nya uppdrag innebär att regeringen får två statsråd med ansvar för samordning av regeringens arbete i denna del</w:t>
      </w:r>
      <w:r w:rsidR="000A221C">
        <w:t xml:space="preserve">. </w:t>
      </w:r>
      <w:r w:rsidR="001D7E98">
        <w:t>Frågan har överlämnats till mig.</w:t>
      </w:r>
    </w:p>
    <w:p w14:paraId="654DD7CB" w14:textId="77777777" w:rsidR="0038530C" w:rsidRDefault="0038530C" w:rsidP="007E6405"/>
    <w:p w14:paraId="3EFCFD2D" w14:textId="42D15123" w:rsidR="0038530C" w:rsidRDefault="0038530C" w:rsidP="0038530C">
      <w:pPr>
        <w:pStyle w:val="RKnormal"/>
      </w:pPr>
      <w:r>
        <w:rPr>
          <w:szCs w:val="24"/>
        </w:rPr>
        <w:t xml:space="preserve">Som justitie- och migrationsminister är jag ansvarigt statsråd för asyl- och migrationsfrågor. Medieuppgifterna som refereras till i frågan </w:t>
      </w:r>
      <w:r>
        <w:t>hänvisar till en intervju som statsministern gjorde med TT den 24 september. Där tydliggjorde han att det var jag som i egenskap av migrationsminister hade det övergripande ansvaret för att klara situationen i mottagandet.</w:t>
      </w:r>
    </w:p>
    <w:p w14:paraId="44252C10" w14:textId="77777777" w:rsidR="0038530C" w:rsidRDefault="0038530C" w:rsidP="0038530C">
      <w:pPr>
        <w:pStyle w:val="RKnormal"/>
      </w:pPr>
    </w:p>
    <w:p w14:paraId="79D5888F" w14:textId="37AEAF3B" w:rsidR="00E06E4D" w:rsidRDefault="0038530C" w:rsidP="0038530C">
      <w:pPr>
        <w:pStyle w:val="RKnormal"/>
      </w:pPr>
      <w:r w:rsidRPr="0038530C">
        <w:t xml:space="preserve">Under 2015 kom det ca 163 000 asylsökande till Sverige, vilket </w:t>
      </w:r>
      <w:r w:rsidR="00E06E4D">
        <w:t xml:space="preserve">var </w:t>
      </w:r>
      <w:r w:rsidRPr="0038530C">
        <w:t xml:space="preserve">en ökning med 100 procent jämfört med året innan. Bara under </w:t>
      </w:r>
      <w:r w:rsidR="00B701B3">
        <w:t xml:space="preserve">perioden mellan september och </w:t>
      </w:r>
      <w:r w:rsidRPr="0038530C">
        <w:t xml:space="preserve">december kom det 114 000 sökande. </w:t>
      </w:r>
    </w:p>
    <w:p w14:paraId="2D6C6FBA" w14:textId="77777777" w:rsidR="00E06E4D" w:rsidRDefault="00E06E4D" w:rsidP="0038530C">
      <w:pPr>
        <w:pStyle w:val="RKnormal"/>
      </w:pPr>
    </w:p>
    <w:p w14:paraId="36DD9B2E" w14:textId="0DC48FA9" w:rsidR="0038530C" w:rsidRDefault="00E06E4D" w:rsidP="0038530C">
      <w:pPr>
        <w:pStyle w:val="RKnormal"/>
      </w:pPr>
      <w:r>
        <w:t>På grund av den kraftiga ökningen vidtog r</w:t>
      </w:r>
      <w:r w:rsidR="0038530C">
        <w:t xml:space="preserve">egeringen en rad åtgärder för att </w:t>
      </w:r>
      <w:r w:rsidR="00EF0466">
        <w:t xml:space="preserve">förbättra </w:t>
      </w:r>
      <w:r w:rsidR="00B701B3">
        <w:t>kapaciteten i mottagandet</w:t>
      </w:r>
      <w:r>
        <w:t>.</w:t>
      </w:r>
      <w:r w:rsidR="0038530C">
        <w:t xml:space="preserve"> </w:t>
      </w:r>
      <w:r>
        <w:t>Men situationen blev till slut ohållbar vilket föranledde regeringen att införa gränskontroller och avisera o</w:t>
      </w:r>
      <w:r w:rsidR="00D93D82">
        <w:t>m en stramare asyllagstiftning.</w:t>
      </w:r>
    </w:p>
    <w:p w14:paraId="51A1B838" w14:textId="77777777" w:rsidR="0038530C" w:rsidRDefault="0038530C" w:rsidP="0038530C">
      <w:pPr>
        <w:pStyle w:val="RKnormal"/>
      </w:pPr>
    </w:p>
    <w:p w14:paraId="3EA5AAEE" w14:textId="3210AE92" w:rsidR="00194E51" w:rsidRPr="00B701B3" w:rsidRDefault="0038530C" w:rsidP="00B701B3">
      <w:pPr>
        <w:pStyle w:val="RKnormal"/>
        <w:rPr>
          <w:szCs w:val="24"/>
        </w:rPr>
      </w:pPr>
      <w:r w:rsidRPr="00B766A2">
        <w:rPr>
          <w:szCs w:val="24"/>
        </w:rPr>
        <w:t xml:space="preserve">Statsministern </w:t>
      </w:r>
      <w:r>
        <w:rPr>
          <w:szCs w:val="24"/>
        </w:rPr>
        <w:t>gav senare</w:t>
      </w:r>
      <w:r w:rsidRPr="00B766A2">
        <w:rPr>
          <w:szCs w:val="24"/>
        </w:rPr>
        <w:t xml:space="preserve"> arbetsmarknadsminister Ylva Johansson i uppdrag att samordna och inrikta regeringens arbete med att skapa en helhetsbild när det gäller mottagan</w:t>
      </w:r>
      <w:r w:rsidR="007C2880">
        <w:rPr>
          <w:szCs w:val="24"/>
        </w:rPr>
        <w:t>de och etablering av nyanlända.</w:t>
      </w:r>
      <w:r w:rsidRPr="00B766A2">
        <w:rPr>
          <w:szCs w:val="24"/>
        </w:rPr>
        <w:t xml:space="preserve"> </w:t>
      </w:r>
      <w:r w:rsidR="00C52C89">
        <w:rPr>
          <w:szCs w:val="24"/>
        </w:rPr>
        <w:t xml:space="preserve">Det handlar om </w:t>
      </w:r>
      <w:r w:rsidRPr="00B766A2">
        <w:rPr>
          <w:szCs w:val="24"/>
        </w:rPr>
        <w:t xml:space="preserve">att </w:t>
      </w:r>
      <w:r w:rsidRPr="00C45AA3">
        <w:t xml:space="preserve">identifiera och samordna de politiska initiativ som krävs </w:t>
      </w:r>
      <w:r w:rsidRPr="00C45AA3">
        <w:lastRenderedPageBreak/>
        <w:t>för att hela kedjan från ankomst till etablering ska fungera.</w:t>
      </w:r>
      <w:r w:rsidR="00C52C89" w:rsidRPr="00C52C89">
        <w:rPr>
          <w:szCs w:val="24"/>
        </w:rPr>
        <w:t xml:space="preserve"> </w:t>
      </w:r>
      <w:r w:rsidR="00C52C89" w:rsidRPr="00B766A2">
        <w:rPr>
          <w:szCs w:val="24"/>
        </w:rPr>
        <w:t xml:space="preserve">Övriga statsråd behåller sina </w:t>
      </w:r>
      <w:r w:rsidR="00C52C89">
        <w:rPr>
          <w:szCs w:val="24"/>
        </w:rPr>
        <w:t>respektive ansvarsområden.</w:t>
      </w:r>
    </w:p>
    <w:p w14:paraId="5E47398D" w14:textId="77777777" w:rsidR="00742D88" w:rsidRDefault="00742D88" w:rsidP="005A2637">
      <w:pPr>
        <w:pStyle w:val="RKnormal"/>
      </w:pPr>
    </w:p>
    <w:p w14:paraId="4B6A5712" w14:textId="0B8B63F5" w:rsidR="007E6405" w:rsidRDefault="00490B48" w:rsidP="007E6405">
      <w:r>
        <w:t xml:space="preserve">Stockholm den </w:t>
      </w:r>
      <w:r w:rsidR="0076288A">
        <w:t>5</w:t>
      </w:r>
      <w:r w:rsidR="007E6405">
        <w:t xml:space="preserve"> </w:t>
      </w:r>
      <w:r w:rsidR="0076288A">
        <w:t>april</w:t>
      </w:r>
      <w:r w:rsidR="007E6405">
        <w:t xml:space="preserve"> 201</w:t>
      </w:r>
      <w:r w:rsidR="000A221C">
        <w:t>6</w:t>
      </w:r>
    </w:p>
    <w:p w14:paraId="499B238E" w14:textId="77777777" w:rsidR="007E6405" w:rsidRDefault="007E6405" w:rsidP="007E6405">
      <w:pPr>
        <w:pStyle w:val="RKnormal"/>
      </w:pPr>
    </w:p>
    <w:p w14:paraId="7B10FC9B" w14:textId="77777777" w:rsidR="0064084C" w:rsidRDefault="0064084C" w:rsidP="00047EC5">
      <w:pPr>
        <w:pStyle w:val="RKnormal"/>
      </w:pPr>
    </w:p>
    <w:p w14:paraId="4B89976B" w14:textId="77777777" w:rsidR="00742D88" w:rsidRDefault="00742D88" w:rsidP="00047EC5">
      <w:pPr>
        <w:pStyle w:val="RKnormal"/>
      </w:pPr>
    </w:p>
    <w:p w14:paraId="55B7CE27" w14:textId="77777777" w:rsidR="00B424EF" w:rsidRDefault="007E6405" w:rsidP="00047EC5">
      <w:pPr>
        <w:pStyle w:val="RKnormal"/>
      </w:pPr>
      <w:r>
        <w:t>Morgan Johansson</w:t>
      </w:r>
    </w:p>
    <w:sectPr w:rsidR="00B424EF" w:rsidSect="007E6405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34FFB" w14:textId="77777777" w:rsidR="00702225" w:rsidRDefault="00702225">
      <w:pPr>
        <w:spacing w:line="240" w:lineRule="auto"/>
      </w:pPr>
      <w:r>
        <w:separator/>
      </w:r>
    </w:p>
  </w:endnote>
  <w:endnote w:type="continuationSeparator" w:id="0">
    <w:p w14:paraId="3B65D9AB" w14:textId="77777777" w:rsidR="00702225" w:rsidRDefault="00702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C9426" w14:textId="77777777" w:rsidR="00702225" w:rsidRDefault="00702225">
      <w:pPr>
        <w:spacing w:line="240" w:lineRule="auto"/>
      </w:pPr>
      <w:r>
        <w:separator/>
      </w:r>
    </w:p>
  </w:footnote>
  <w:footnote w:type="continuationSeparator" w:id="0">
    <w:p w14:paraId="1681D2BC" w14:textId="77777777" w:rsidR="00702225" w:rsidRDefault="00702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ABD6" w14:textId="77777777" w:rsidR="00E80146" w:rsidRDefault="00BD786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2B4ED1" w14:textId="77777777">
      <w:trPr>
        <w:cantSplit/>
      </w:trPr>
      <w:tc>
        <w:tcPr>
          <w:tcW w:w="3119" w:type="dxa"/>
        </w:tcPr>
        <w:p w14:paraId="36A012D3" w14:textId="77777777" w:rsidR="00E80146" w:rsidRDefault="00C724D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FEF993" w14:textId="77777777" w:rsidR="00E80146" w:rsidRDefault="00C724D4">
          <w:pPr>
            <w:pStyle w:val="Sidhuvud"/>
            <w:ind w:right="360"/>
          </w:pPr>
        </w:p>
      </w:tc>
      <w:tc>
        <w:tcPr>
          <w:tcW w:w="1525" w:type="dxa"/>
        </w:tcPr>
        <w:p w14:paraId="11B95CD7" w14:textId="77777777" w:rsidR="00E80146" w:rsidRDefault="00C724D4">
          <w:pPr>
            <w:pStyle w:val="Sidhuvud"/>
            <w:ind w:right="360"/>
          </w:pPr>
        </w:p>
      </w:tc>
    </w:tr>
  </w:tbl>
  <w:p w14:paraId="0B7B6FEF" w14:textId="77777777" w:rsidR="00E80146" w:rsidRDefault="00C724D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0B1CA" w14:textId="77777777" w:rsidR="00E80146" w:rsidRDefault="00BD786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24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DB4FA1" w14:textId="77777777">
      <w:trPr>
        <w:cantSplit/>
      </w:trPr>
      <w:tc>
        <w:tcPr>
          <w:tcW w:w="3119" w:type="dxa"/>
        </w:tcPr>
        <w:p w14:paraId="2091542C" w14:textId="77777777" w:rsidR="00E80146" w:rsidRDefault="00C724D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56E1E6" w14:textId="77777777" w:rsidR="00E80146" w:rsidRDefault="00C724D4">
          <w:pPr>
            <w:pStyle w:val="Sidhuvud"/>
            <w:ind w:right="360"/>
          </w:pPr>
        </w:p>
      </w:tc>
      <w:tc>
        <w:tcPr>
          <w:tcW w:w="1525" w:type="dxa"/>
        </w:tcPr>
        <w:p w14:paraId="5A24D3B9" w14:textId="77777777" w:rsidR="00E80146" w:rsidRDefault="00C724D4">
          <w:pPr>
            <w:pStyle w:val="Sidhuvud"/>
            <w:ind w:right="360"/>
          </w:pPr>
        </w:p>
      </w:tc>
    </w:tr>
  </w:tbl>
  <w:p w14:paraId="658AA1C9" w14:textId="77777777" w:rsidR="00E80146" w:rsidRDefault="00C724D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DF4AB" w14:textId="77777777" w:rsidR="002E06D9" w:rsidRDefault="00BD78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C2ACD9" wp14:editId="4E6DD6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FFF03" w14:textId="77777777" w:rsidR="00E80146" w:rsidRDefault="00C724D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070D74" w14:textId="77777777" w:rsidR="00E80146" w:rsidRDefault="00C724D4">
    <w:pPr>
      <w:rPr>
        <w:rFonts w:ascii="TradeGothic" w:hAnsi="TradeGothic"/>
        <w:b/>
        <w:bCs/>
        <w:spacing w:val="12"/>
        <w:sz w:val="22"/>
      </w:rPr>
    </w:pPr>
  </w:p>
  <w:p w14:paraId="4B9BDC41" w14:textId="77777777" w:rsidR="00E80146" w:rsidRDefault="00C724D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5D7D89" w14:textId="77777777" w:rsidR="00E80146" w:rsidRDefault="00C724D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05"/>
    <w:rsid w:val="00012EF7"/>
    <w:rsid w:val="00040786"/>
    <w:rsid w:val="00047EC5"/>
    <w:rsid w:val="000A221C"/>
    <w:rsid w:val="000B1E53"/>
    <w:rsid w:val="00100B70"/>
    <w:rsid w:val="00132086"/>
    <w:rsid w:val="00194E51"/>
    <w:rsid w:val="001C5D5E"/>
    <w:rsid w:val="001D7E98"/>
    <w:rsid w:val="00202CE8"/>
    <w:rsid w:val="00205F92"/>
    <w:rsid w:val="0021532B"/>
    <w:rsid w:val="002E065F"/>
    <w:rsid w:val="002F1868"/>
    <w:rsid w:val="00337E90"/>
    <w:rsid w:val="0035073C"/>
    <w:rsid w:val="003510AB"/>
    <w:rsid w:val="0038530C"/>
    <w:rsid w:val="00385BF1"/>
    <w:rsid w:val="003C135E"/>
    <w:rsid w:val="003F55CC"/>
    <w:rsid w:val="00490B48"/>
    <w:rsid w:val="005A2637"/>
    <w:rsid w:val="005B45F3"/>
    <w:rsid w:val="0064084C"/>
    <w:rsid w:val="00640E58"/>
    <w:rsid w:val="006A7ACD"/>
    <w:rsid w:val="00702225"/>
    <w:rsid w:val="00742D88"/>
    <w:rsid w:val="0074338F"/>
    <w:rsid w:val="0076288A"/>
    <w:rsid w:val="00767154"/>
    <w:rsid w:val="007C2880"/>
    <w:rsid w:val="007E6405"/>
    <w:rsid w:val="0087549D"/>
    <w:rsid w:val="008A2654"/>
    <w:rsid w:val="009266CB"/>
    <w:rsid w:val="009D7BA0"/>
    <w:rsid w:val="009E4B6C"/>
    <w:rsid w:val="009E6D7C"/>
    <w:rsid w:val="00A62BE2"/>
    <w:rsid w:val="00AA64DF"/>
    <w:rsid w:val="00AE6C8B"/>
    <w:rsid w:val="00B11159"/>
    <w:rsid w:val="00B25937"/>
    <w:rsid w:val="00B424EF"/>
    <w:rsid w:val="00B701B3"/>
    <w:rsid w:val="00B766A2"/>
    <w:rsid w:val="00BB5BC5"/>
    <w:rsid w:val="00BD786A"/>
    <w:rsid w:val="00BF08DB"/>
    <w:rsid w:val="00BF1AF8"/>
    <w:rsid w:val="00C45AA3"/>
    <w:rsid w:val="00C52C89"/>
    <w:rsid w:val="00C724D4"/>
    <w:rsid w:val="00CA1697"/>
    <w:rsid w:val="00CC197B"/>
    <w:rsid w:val="00D66C32"/>
    <w:rsid w:val="00D93D82"/>
    <w:rsid w:val="00E06E4D"/>
    <w:rsid w:val="00E22F2B"/>
    <w:rsid w:val="00E27CF1"/>
    <w:rsid w:val="00E81896"/>
    <w:rsid w:val="00E87E4D"/>
    <w:rsid w:val="00ED5C1D"/>
    <w:rsid w:val="00EF0466"/>
    <w:rsid w:val="00EF6716"/>
    <w:rsid w:val="00F127C1"/>
    <w:rsid w:val="00FF1D65"/>
    <w:rsid w:val="00FF26F9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D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05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7E6405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7E6405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7E6405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7E6405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E6405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E6405"/>
  </w:style>
  <w:style w:type="paragraph" w:styleId="Ballongtext">
    <w:name w:val="Balloon Text"/>
    <w:basedOn w:val="Normal"/>
    <w:link w:val="BallongtextChar"/>
    <w:uiPriority w:val="99"/>
    <w:semiHidden/>
    <w:unhideWhenUsed/>
    <w:rsid w:val="007E64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6405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rsid w:val="00AA64D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9E4B6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4B6C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05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7E6405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7E6405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7E6405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7E6405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E6405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E6405"/>
  </w:style>
  <w:style w:type="paragraph" w:styleId="Ballongtext">
    <w:name w:val="Balloon Text"/>
    <w:basedOn w:val="Normal"/>
    <w:link w:val="BallongtextChar"/>
    <w:uiPriority w:val="99"/>
    <w:semiHidden/>
    <w:unhideWhenUsed/>
    <w:rsid w:val="007E64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6405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rsid w:val="00AA64D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9E4B6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4B6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2bbad64a-73fc-4919-a6b0-6ec278fd58f4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34052-80FB-4E18-B9B2-8E80923A846A}"/>
</file>

<file path=customXml/itemProps2.xml><?xml version="1.0" encoding="utf-8"?>
<ds:datastoreItem xmlns:ds="http://schemas.openxmlformats.org/officeDocument/2006/customXml" ds:itemID="{51076469-1B2E-426B-AFCD-E73ED7544BAD}"/>
</file>

<file path=customXml/itemProps3.xml><?xml version="1.0" encoding="utf-8"?>
<ds:datastoreItem xmlns:ds="http://schemas.openxmlformats.org/officeDocument/2006/customXml" ds:itemID="{7D6DD205-FD51-4930-ABFC-A2434C11B6A2}"/>
</file>

<file path=customXml/itemProps4.xml><?xml version="1.0" encoding="utf-8"?>
<ds:datastoreItem xmlns:ds="http://schemas.openxmlformats.org/officeDocument/2006/customXml" ds:itemID="{51076469-1B2E-426B-AFCD-E73ED7544BAD}"/>
</file>

<file path=customXml/itemProps5.xml><?xml version="1.0" encoding="utf-8"?>
<ds:datastoreItem xmlns:ds="http://schemas.openxmlformats.org/officeDocument/2006/customXml" ds:itemID="{6B9B0D6D-47DD-4A9B-89B0-6B39843F4A89}"/>
</file>

<file path=customXml/itemProps6.xml><?xml version="1.0" encoding="utf-8"?>
<ds:datastoreItem xmlns:ds="http://schemas.openxmlformats.org/officeDocument/2006/customXml" ds:itemID="{51076469-1B2E-426B-AFCD-E73ED7544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2</cp:revision>
  <cp:lastPrinted>2016-04-05T07:13:00Z</cp:lastPrinted>
  <dcterms:created xsi:type="dcterms:W3CDTF">2016-04-05T07:13:00Z</dcterms:created>
  <dcterms:modified xsi:type="dcterms:W3CDTF">2016-04-05T07:13:00Z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648039c0-1eb1-48d9-8215-d57158baabd0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