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A6" w:rsidRPr="00DF38A7" w:rsidRDefault="00296CA6" w:rsidP="00296CA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96CA6" w:rsidRPr="00DF38A7" w:rsidTr="00700269">
        <w:tc>
          <w:tcPr>
            <w:tcW w:w="9141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RIKSDAGEN</w:t>
            </w:r>
          </w:p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TRAFIKUTSKOTTET</w:t>
            </w:r>
          </w:p>
        </w:tc>
      </w:tr>
    </w:tbl>
    <w:p w:rsidR="00296CA6" w:rsidRPr="00DF38A7" w:rsidRDefault="00296CA6" w:rsidP="00296CA6">
      <w:pPr>
        <w:rPr>
          <w:sz w:val="22"/>
          <w:szCs w:val="22"/>
        </w:rPr>
      </w:pPr>
    </w:p>
    <w:p w:rsidR="00296CA6" w:rsidRPr="00DF38A7" w:rsidRDefault="00296CA6" w:rsidP="00296CA6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96CA6" w:rsidRPr="00DF38A7" w:rsidTr="00700269">
        <w:trPr>
          <w:cantSplit/>
          <w:trHeight w:val="742"/>
        </w:trPr>
        <w:tc>
          <w:tcPr>
            <w:tcW w:w="1985" w:type="dxa"/>
          </w:tcPr>
          <w:p w:rsidR="00296CA6" w:rsidRPr="00DF38A7" w:rsidRDefault="00296CA6" w:rsidP="00700269">
            <w:pPr>
              <w:rPr>
                <w:b/>
                <w:sz w:val="22"/>
                <w:szCs w:val="22"/>
              </w:rPr>
            </w:pPr>
            <w:r w:rsidRPr="00DF38A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296CA6" w:rsidRPr="00DF38A7" w:rsidRDefault="00296CA6" w:rsidP="00700269">
            <w:pPr>
              <w:rPr>
                <w:b/>
                <w:sz w:val="22"/>
                <w:szCs w:val="22"/>
              </w:rPr>
            </w:pPr>
            <w:r w:rsidRPr="00DF38A7">
              <w:rPr>
                <w:b/>
                <w:sz w:val="22"/>
                <w:szCs w:val="22"/>
              </w:rPr>
              <w:t>UTSKOTTSSAMMANTRÄDE 2020/21: 3</w:t>
            </w:r>
          </w:p>
          <w:p w:rsidR="00296CA6" w:rsidRPr="00DF38A7" w:rsidRDefault="00296CA6" w:rsidP="00700269">
            <w:pPr>
              <w:rPr>
                <w:b/>
                <w:sz w:val="22"/>
                <w:szCs w:val="22"/>
              </w:rPr>
            </w:pPr>
          </w:p>
        </w:tc>
      </w:tr>
      <w:tr w:rsidR="00296CA6" w:rsidRPr="00DF38A7" w:rsidTr="00700269">
        <w:tc>
          <w:tcPr>
            <w:tcW w:w="1985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2020-09-24</w:t>
            </w:r>
          </w:p>
        </w:tc>
      </w:tr>
      <w:tr w:rsidR="00296CA6" w:rsidRPr="00DF38A7" w:rsidTr="00700269">
        <w:tc>
          <w:tcPr>
            <w:tcW w:w="1985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09.00 – 10.</w:t>
            </w:r>
            <w:r w:rsidR="00142896" w:rsidRPr="00DF38A7">
              <w:rPr>
                <w:sz w:val="22"/>
                <w:szCs w:val="22"/>
              </w:rPr>
              <w:t>25</w:t>
            </w:r>
          </w:p>
        </w:tc>
      </w:tr>
      <w:tr w:rsidR="00296CA6" w:rsidRPr="00DF38A7" w:rsidTr="00700269">
        <w:tc>
          <w:tcPr>
            <w:tcW w:w="1985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296CA6" w:rsidRPr="00DF38A7" w:rsidRDefault="00296CA6" w:rsidP="00700269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Se bilaga 1</w:t>
            </w:r>
          </w:p>
        </w:tc>
      </w:tr>
    </w:tbl>
    <w:p w:rsidR="00296CA6" w:rsidRPr="00DF38A7" w:rsidRDefault="00296CA6" w:rsidP="00296CA6">
      <w:pPr>
        <w:rPr>
          <w:sz w:val="22"/>
          <w:szCs w:val="22"/>
        </w:rPr>
      </w:pPr>
    </w:p>
    <w:p w:rsidR="00296CA6" w:rsidRPr="00DF38A7" w:rsidRDefault="00296CA6" w:rsidP="00296CA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296CA6" w:rsidRPr="00DF38A7" w:rsidRDefault="00296CA6" w:rsidP="00296CA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296CA6" w:rsidRPr="00DF38A7" w:rsidRDefault="00985B14" w:rsidP="0070026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</w:t>
            </w:r>
            <w:r w:rsidR="00296CA6" w:rsidRPr="00DF38A7">
              <w:rPr>
                <w:b/>
                <w:bCs/>
                <w:color w:val="000000"/>
                <w:sz w:val="22"/>
                <w:szCs w:val="22"/>
              </w:rPr>
              <w:t xml:space="preserve">edgivande </w:t>
            </w:r>
            <w:r>
              <w:rPr>
                <w:b/>
                <w:bCs/>
                <w:color w:val="000000"/>
                <w:sz w:val="22"/>
                <w:szCs w:val="22"/>
              </w:rPr>
              <w:t>att delat</w:t>
            </w:r>
            <w:r w:rsidR="00296CA6" w:rsidRPr="00DF38A7">
              <w:rPr>
                <w:b/>
                <w:bCs/>
                <w:color w:val="000000"/>
                <w:sz w:val="22"/>
                <w:szCs w:val="22"/>
              </w:rPr>
              <w:t xml:space="preserve"> på distans</w:t>
            </w:r>
          </w:p>
          <w:p w:rsidR="00296CA6" w:rsidRPr="00DF38A7" w:rsidRDefault="00296CA6" w:rsidP="00700269">
            <w:pPr>
              <w:rPr>
                <w:snapToGrid w:val="0"/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sz w:val="22"/>
                <w:szCs w:val="22"/>
              </w:rPr>
              <w:t>Utskottet beslutade att tillåta följande ordinarie ledamöter och suppleanter: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0E38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Magnus Jacobsson (KD), 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Sten Bergheden (M), Jimmy Ståhl (SD), Anders Hansson (M), Helena Gellerman (L), Åsa Coenraads (M), </w:t>
            </w:r>
            <w:r w:rsidR="00B33937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Abraham Halef (S), </w:t>
            </w:r>
            <w:r w:rsidR="001F0E38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Monika Lövgren (SD)</w:t>
            </w:r>
            <w:r w:rsidR="00B33937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Mikael Larsson (C), 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Jessica Thunander (V) s</w:t>
            </w:r>
            <w:r w:rsidRPr="00DF38A7">
              <w:rPr>
                <w:sz w:val="22"/>
                <w:szCs w:val="22"/>
              </w:rPr>
              <w:t xml:space="preserve">amt en tjänsteman från trafikutskottets kansli 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vara uppkopplade via videolänk.</w:t>
            </w: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296CA6" w:rsidRPr="00DF38A7" w:rsidRDefault="00296CA6" w:rsidP="00700269">
            <w:pPr>
              <w:rPr>
                <w:snapToGrid w:val="0"/>
                <w:sz w:val="22"/>
                <w:szCs w:val="22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>§ 2</w:t>
            </w: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D13AE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13AE3" w:rsidRPr="00DF38A7" w:rsidRDefault="00D13AE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60457" w:rsidRDefault="00660457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br/>
            </w:r>
          </w:p>
          <w:p w:rsidR="009A4C77" w:rsidRPr="00DF38A7" w:rsidRDefault="009A4C77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13AE3" w:rsidRPr="00DF38A7" w:rsidRDefault="00D13AE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4CB3" w:rsidRPr="00DF38A7" w:rsidRDefault="00BA4CB3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Medgivande att närvara </w:t>
            </w:r>
          </w:p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tillåta följande ordinarie ledamöter och suppleanter</w:t>
            </w:r>
            <w:r w:rsidR="00985B1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från näringsutskottet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: Lars Hjälmered (M), Anna-Caren Sätherberg (S), Mattias Jonsson (S), Ann-Charlotte Hammar Johnsson (M), Monica Haider (S), Lotta Olsson (M), Mathias Tegnér (S), Camilla Brodin (KD), Arman Teimouri (L), Eric Palmqvist (SD), </w:t>
            </w:r>
            <w:r w:rsidR="00D13AE3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Peter Helander (C), Patrik Engström (S) och 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Lorena Delgado Varas (V), </w:t>
            </w:r>
            <w:r w:rsidR="00D13AE3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samt </w:t>
            </w:r>
            <w:r w:rsidR="00985B1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tjänsteman från näringsutskottets kansli</w:t>
            </w:r>
            <w:r w:rsidR="00DE61E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samt </w:t>
            </w:r>
            <w:r w:rsidR="00D13AE3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Cesar Vargas Iglesias från Socialdemokraternas partikansli och Esbjörn Wahlberg från Centerpartiets partikansli</w:t>
            </w:r>
            <w:r w:rsidR="00660457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närvara under paragraf 3 vid utskottssammanträdet</w:t>
            </w:r>
            <w:r w:rsidR="00D13AE3"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BA4CB3" w:rsidRPr="00DF38A7" w:rsidRDefault="00BA4CB3" w:rsidP="00BA4C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</w:t>
            </w:r>
            <w:proofErr w:type="spellStart"/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Swedavia</w:t>
            </w:r>
            <w:proofErr w:type="spellEnd"/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Jonas Abrahamsson vd</w:t>
            </w:r>
            <w:r w:rsidR="00DC7A72"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Fredrik </w:t>
            </w:r>
            <w:proofErr w:type="spellStart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Jaresved</w:t>
            </w:r>
            <w:proofErr w:type="spellEnd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avdelningschef strategisk planering från </w:t>
            </w:r>
            <w:proofErr w:type="spellStart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Swedavia</w:t>
            </w:r>
            <w:proofErr w:type="spellEnd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</w:t>
            </w:r>
            <w:proofErr w:type="spellStart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konsekvensanalys av en eventuell </w:t>
            </w:r>
            <w:proofErr w:type="spellStart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förtida</w:t>
            </w:r>
            <w:proofErr w:type="spellEnd"/>
            <w:r w:rsidRPr="00DF38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avveckling av Bromma Stockholm Airport som överlämnats till regeringen.</w:t>
            </w:r>
          </w:p>
          <w:p w:rsidR="00296CA6" w:rsidRPr="00DF38A7" w:rsidRDefault="00296CA6" w:rsidP="00296C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CB3" w:rsidRPr="00DF38A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296CA6" w:rsidRPr="00DF38A7" w:rsidRDefault="00296CA6" w:rsidP="00296CA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38A7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296CA6" w:rsidRPr="00DF38A7" w:rsidRDefault="00296CA6" w:rsidP="00296CA6">
            <w:pPr>
              <w:rPr>
                <w:color w:val="000000"/>
                <w:sz w:val="22"/>
                <w:szCs w:val="22"/>
              </w:rPr>
            </w:pPr>
            <w:r w:rsidRPr="00DF38A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F38A7">
              <w:rPr>
                <w:color w:val="000000"/>
                <w:sz w:val="22"/>
                <w:szCs w:val="22"/>
              </w:rPr>
              <w:t>Utskottet justerade protokoll 2020/21:2.</w:t>
            </w:r>
          </w:p>
          <w:p w:rsidR="00296CA6" w:rsidRPr="00DF38A7" w:rsidRDefault="00296CA6" w:rsidP="00296CA6">
            <w:pPr>
              <w:rPr>
                <w:color w:val="000000"/>
                <w:sz w:val="22"/>
                <w:szCs w:val="22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CB3" w:rsidRPr="00DF38A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Europaparlamentets och rådets förordning om ändring av förordning (EU) nr 168/2013 vad gäller särskilda åtgärder för fordon i slutserier i kategori L till följd av covid-19-utbrottet</w:t>
            </w:r>
          </w:p>
          <w:p w:rsidR="00D13AE3" w:rsidRPr="00DF38A7" w:rsidRDefault="00D13AE3" w:rsidP="00296CA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42896" w:rsidRPr="00DF38A7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2020) 491.</w:t>
            </w:r>
          </w:p>
          <w:p w:rsidR="00142896" w:rsidRPr="00DF38A7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42896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ansåg att förslaget inte strider mot subsidiaritetsprincipen.</w:t>
            </w:r>
          </w:p>
          <w:p w:rsidR="00A26F93" w:rsidRPr="00DF38A7" w:rsidRDefault="00A26F93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6F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Denna paragraf förklarades omedelbart justerad.</w:t>
            </w:r>
          </w:p>
          <w:p w:rsidR="00296CA6" w:rsidRPr="00DF38A7" w:rsidRDefault="00296CA6" w:rsidP="00296CA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CB3" w:rsidRPr="00DF38A7">
              <w:rPr>
                <w:b/>
                <w:snapToGrid w:val="0"/>
                <w:sz w:val="22"/>
                <w:szCs w:val="22"/>
              </w:rPr>
              <w:t>6</w:t>
            </w: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296CA6" w:rsidRPr="00DF38A7" w:rsidRDefault="00296CA6" w:rsidP="00296CA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Förslag till Europaparlamentets och rådets förordning om ett tillfälligt </w:t>
            </w: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undantag från vissa EU -bestämmelser vad gäller användning av teknik hos leverantörer av nummeroberoende interpersonella kommunikationstjänster i syfte att bekämpa sexuella övergrepp mot barn på nätet</w:t>
            </w:r>
          </w:p>
          <w:p w:rsidR="00296CA6" w:rsidRPr="00DF38A7" w:rsidRDefault="00296CA6" w:rsidP="0070026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142896" w:rsidRPr="00DF38A7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2020) 568.</w:t>
            </w:r>
          </w:p>
          <w:p w:rsidR="00142896" w:rsidRPr="00DF38A7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26F93" w:rsidRDefault="00142896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ansåg att förslaget inte strider mot subsidiaritetsprincipen.</w:t>
            </w:r>
          </w:p>
          <w:p w:rsidR="00A26F93" w:rsidRPr="00DF38A7" w:rsidRDefault="00A26F93" w:rsidP="0014289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6F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Denna paragraf förklarades omedelbart justerad.</w:t>
            </w:r>
          </w:p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A4CB3" w:rsidRPr="00DF38A7">
              <w:rPr>
                <w:b/>
                <w:snapToGrid w:val="0"/>
                <w:sz w:val="22"/>
                <w:szCs w:val="22"/>
              </w:rPr>
              <w:t>7</w:t>
            </w: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</w:p>
          <w:p w:rsidR="00296CA6" w:rsidRPr="00DF38A7" w:rsidRDefault="00296CA6" w:rsidP="00296CA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96CA6" w:rsidRPr="00DF38A7" w:rsidRDefault="00296CA6" w:rsidP="00296CA6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Anmäldes till utskottet inkommen skrivelse enligt bilaga 2.</w:t>
            </w:r>
          </w:p>
          <w:p w:rsidR="00296CA6" w:rsidRPr="00DF38A7" w:rsidRDefault="00296CA6" w:rsidP="00296CA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6CA6" w:rsidRPr="00DF38A7" w:rsidTr="00700269">
        <w:tc>
          <w:tcPr>
            <w:tcW w:w="567" w:type="dxa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8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CB3" w:rsidRPr="00DF38A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296CA6" w:rsidRPr="00DF38A7" w:rsidRDefault="00296CA6" w:rsidP="00296CA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296CA6" w:rsidRPr="00DF38A7" w:rsidRDefault="00296CA6" w:rsidP="00296CA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96CA6" w:rsidRPr="00DF38A7" w:rsidRDefault="00296CA6" w:rsidP="00296CA6">
            <w:pPr>
              <w:rPr>
                <w:snapToGrid w:val="0"/>
                <w:sz w:val="22"/>
                <w:szCs w:val="22"/>
              </w:rPr>
            </w:pPr>
            <w:r w:rsidRPr="00DF38A7">
              <w:rPr>
                <w:snapToGrid w:val="0"/>
                <w:sz w:val="22"/>
                <w:szCs w:val="22"/>
              </w:rPr>
              <w:t>Nästa sammanträde äger rum t</w:t>
            </w:r>
            <w:r w:rsidR="006A320C" w:rsidRPr="00DF38A7">
              <w:rPr>
                <w:snapToGrid w:val="0"/>
                <w:sz w:val="22"/>
                <w:szCs w:val="22"/>
              </w:rPr>
              <w:t>isdagen</w:t>
            </w:r>
            <w:r w:rsidRPr="00DF38A7">
              <w:rPr>
                <w:snapToGrid w:val="0"/>
                <w:sz w:val="22"/>
                <w:szCs w:val="22"/>
              </w:rPr>
              <w:t xml:space="preserve"> den </w:t>
            </w:r>
            <w:r w:rsidR="006A320C" w:rsidRPr="00DF38A7">
              <w:rPr>
                <w:snapToGrid w:val="0"/>
                <w:sz w:val="22"/>
                <w:szCs w:val="22"/>
              </w:rPr>
              <w:t xml:space="preserve">13 oktober </w:t>
            </w:r>
            <w:r w:rsidRPr="00DF38A7">
              <w:rPr>
                <w:snapToGrid w:val="0"/>
                <w:sz w:val="22"/>
                <w:szCs w:val="22"/>
              </w:rPr>
              <w:t>2020</w:t>
            </w:r>
            <w:r w:rsidR="006A320C" w:rsidRPr="00DF38A7">
              <w:rPr>
                <w:snapToGrid w:val="0"/>
                <w:sz w:val="22"/>
                <w:szCs w:val="22"/>
              </w:rPr>
              <w:t>.</w:t>
            </w:r>
          </w:p>
          <w:p w:rsidR="00296CA6" w:rsidRPr="00DF38A7" w:rsidRDefault="00296CA6" w:rsidP="00296CA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96CA6" w:rsidRPr="00DF38A7" w:rsidTr="00700269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Vid protokollet</w:t>
            </w:r>
          </w:p>
          <w:p w:rsidR="00296CA6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F38A7" w:rsidRPr="00DF38A7" w:rsidRDefault="00DF38A7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 xml:space="preserve">Justeras den </w:t>
            </w:r>
            <w:r w:rsidR="00142896" w:rsidRPr="00DF38A7">
              <w:rPr>
                <w:sz w:val="22"/>
                <w:szCs w:val="22"/>
              </w:rPr>
              <w:t>13 oktober</w:t>
            </w:r>
            <w:r w:rsidRPr="00DF38A7">
              <w:rPr>
                <w:sz w:val="22"/>
                <w:szCs w:val="22"/>
              </w:rPr>
              <w:t xml:space="preserve"> 2020</w:t>
            </w: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Jens Holm</w:t>
            </w:r>
          </w:p>
          <w:p w:rsidR="00296CA6" w:rsidRPr="00DF38A7" w:rsidRDefault="00296CA6" w:rsidP="007002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296CA6" w:rsidRPr="00DF38A7" w:rsidRDefault="00296CA6" w:rsidP="00296CA6">
      <w:pPr>
        <w:pStyle w:val="Brdtext"/>
        <w:rPr>
          <w:sz w:val="22"/>
          <w:szCs w:val="22"/>
        </w:rPr>
      </w:pPr>
    </w:p>
    <w:p w:rsidR="00296CA6" w:rsidRPr="00DF38A7" w:rsidRDefault="00296CA6" w:rsidP="00296CA6">
      <w:pPr>
        <w:pStyle w:val="Brdtext"/>
        <w:rPr>
          <w:sz w:val="22"/>
          <w:szCs w:val="22"/>
        </w:rPr>
      </w:pPr>
    </w:p>
    <w:p w:rsidR="00296CA6" w:rsidRPr="00DF38A7" w:rsidRDefault="00296CA6" w:rsidP="00296CA6">
      <w:pPr>
        <w:pStyle w:val="Brdtext"/>
        <w:rPr>
          <w:sz w:val="22"/>
          <w:szCs w:val="22"/>
        </w:rPr>
      </w:pPr>
    </w:p>
    <w:p w:rsidR="00296CA6" w:rsidRDefault="00296CA6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DF38A7" w:rsidRDefault="00DF38A7" w:rsidP="00296CA6">
      <w:pPr>
        <w:pStyle w:val="Brdtext"/>
        <w:rPr>
          <w:sz w:val="22"/>
          <w:szCs w:val="22"/>
        </w:rPr>
      </w:pPr>
    </w:p>
    <w:p w:rsidR="00296CA6" w:rsidRPr="00DF38A7" w:rsidRDefault="00296CA6" w:rsidP="00296CA6">
      <w:pPr>
        <w:pStyle w:val="Brdtext"/>
        <w:rPr>
          <w:sz w:val="22"/>
          <w:szCs w:val="22"/>
        </w:rPr>
      </w:pPr>
    </w:p>
    <w:p w:rsidR="00296CA6" w:rsidRPr="00DF38A7" w:rsidRDefault="00296CA6" w:rsidP="00296CA6">
      <w:pPr>
        <w:pStyle w:val="Brdtext"/>
        <w:rPr>
          <w:sz w:val="22"/>
          <w:szCs w:val="22"/>
        </w:rPr>
      </w:pPr>
    </w:p>
    <w:p w:rsidR="00296CA6" w:rsidRPr="00DF38A7" w:rsidRDefault="00296CA6" w:rsidP="00296CA6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296CA6" w:rsidRPr="00DF38A7" w:rsidTr="0070026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DF38A7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DF38A7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DF38A7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DF38A7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DF38A7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DF38A7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142896" w:rsidRPr="00DF38A7">
              <w:rPr>
                <w:b/>
                <w:sz w:val="22"/>
                <w:szCs w:val="22"/>
                <w:lang w:val="en-GB" w:eastAsia="en-US"/>
              </w:rPr>
              <w:t>3</w:t>
            </w:r>
          </w:p>
        </w:tc>
      </w:tr>
      <w:tr w:rsidR="00296CA6" w:rsidRPr="00DF38A7" w:rsidTr="0070026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§ 1-</w:t>
            </w:r>
            <w:r w:rsidR="00985B14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 xml:space="preserve">§ </w:t>
            </w:r>
            <w:r w:rsidR="00985B14">
              <w:rPr>
                <w:sz w:val="22"/>
                <w:szCs w:val="22"/>
                <w:lang w:val="en-GB" w:eastAsia="en-US"/>
              </w:rPr>
              <w:t>4</w:t>
            </w:r>
            <w:r w:rsidRPr="00DF38A7">
              <w:rPr>
                <w:sz w:val="22"/>
                <w:szCs w:val="22"/>
                <w:lang w:val="en-GB" w:eastAsia="en-US"/>
              </w:rPr>
              <w:t>-</w:t>
            </w:r>
            <w:r w:rsidR="00142896" w:rsidRPr="00DF38A7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DF38A7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F38A7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DF38A7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DF38A7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DF38A7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DF38A7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DF38A7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DF38A7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DF38A7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DF38A7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DF38A7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DF38A7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F38A7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DF38A7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DF38A7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DF38A7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4289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985B14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985B14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14289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Abraham Halef</w:t>
            </w:r>
            <w:r w:rsidR="00296CA6" w:rsidRPr="00DF38A7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F38A7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96CA6" w:rsidRPr="00A26F93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14289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96CA6" w:rsidRPr="00DF38A7" w:rsidTr="0070026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CA6" w:rsidRPr="00DF38A7" w:rsidRDefault="00296CA6" w:rsidP="0070026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F38A7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6" w:rsidRPr="00DF38A7" w:rsidRDefault="00296CA6" w:rsidP="007002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296CA6" w:rsidRPr="00DF38A7" w:rsidRDefault="00296CA6" w:rsidP="00296CA6">
      <w:pPr>
        <w:spacing w:before="60" w:line="256" w:lineRule="auto"/>
        <w:rPr>
          <w:sz w:val="22"/>
          <w:szCs w:val="22"/>
        </w:rPr>
      </w:pPr>
      <w:r w:rsidRPr="00DF38A7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DF38A7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DF38A7">
        <w:rPr>
          <w:sz w:val="22"/>
          <w:szCs w:val="22"/>
        </w:rPr>
        <w:t>ledamöter som härutöver varit närvarande</w:t>
      </w:r>
    </w:p>
    <w:p w:rsidR="00296CA6" w:rsidRPr="00DF38A7" w:rsidRDefault="00296CA6" w:rsidP="00296CA6">
      <w:pPr>
        <w:spacing w:before="60" w:line="256" w:lineRule="auto"/>
        <w:rPr>
          <w:sz w:val="22"/>
          <w:szCs w:val="22"/>
        </w:rPr>
      </w:pPr>
    </w:p>
    <w:p w:rsidR="00296CA6" w:rsidRPr="00DF38A7" w:rsidRDefault="00296CA6" w:rsidP="00296CA6">
      <w:pPr>
        <w:spacing w:before="60" w:line="256" w:lineRule="auto"/>
        <w:rPr>
          <w:sz w:val="22"/>
          <w:szCs w:val="22"/>
          <w:lang w:eastAsia="en-US"/>
        </w:rPr>
      </w:pPr>
    </w:p>
    <w:p w:rsidR="00296CA6" w:rsidRPr="00DF38A7" w:rsidRDefault="00296CA6" w:rsidP="00296CA6">
      <w:pPr>
        <w:spacing w:before="60" w:line="256" w:lineRule="auto"/>
        <w:rPr>
          <w:sz w:val="22"/>
          <w:szCs w:val="22"/>
          <w:lang w:eastAsia="en-US"/>
        </w:rPr>
      </w:pPr>
    </w:p>
    <w:p w:rsidR="00296CA6" w:rsidRPr="00DF38A7" w:rsidRDefault="00296CA6" w:rsidP="00296CA6">
      <w:pPr>
        <w:rPr>
          <w:sz w:val="22"/>
          <w:szCs w:val="22"/>
        </w:rPr>
      </w:pPr>
      <w:r w:rsidRPr="00DF38A7">
        <w:rPr>
          <w:sz w:val="22"/>
          <w:szCs w:val="22"/>
        </w:rPr>
        <w:t>TRAFIKUTSKOTTET        2020-09-22                            Bilaga 2 till protokoll</w:t>
      </w:r>
    </w:p>
    <w:p w:rsidR="00296CA6" w:rsidRPr="00DF38A7" w:rsidRDefault="00296CA6" w:rsidP="00296CA6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                                                                                                    2020/21:</w:t>
      </w:r>
      <w:r w:rsidR="00142896" w:rsidRPr="00DF38A7">
        <w:rPr>
          <w:sz w:val="22"/>
          <w:szCs w:val="22"/>
        </w:rPr>
        <w:t>3</w:t>
      </w:r>
    </w:p>
    <w:p w:rsidR="00296CA6" w:rsidRPr="00DF38A7" w:rsidRDefault="00296CA6" w:rsidP="00296CA6">
      <w:pPr>
        <w:rPr>
          <w:sz w:val="22"/>
          <w:szCs w:val="22"/>
        </w:rPr>
      </w:pPr>
    </w:p>
    <w:p w:rsidR="00296CA6" w:rsidRPr="00DF38A7" w:rsidRDefault="00296CA6" w:rsidP="00296CA6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Skrivelse angående </w:t>
      </w:r>
      <w:r w:rsidR="00DF38A7" w:rsidRPr="00DF38A7">
        <w:rPr>
          <w:sz w:val="22"/>
          <w:szCs w:val="22"/>
        </w:rPr>
        <w:t>arbetstider för bussförare</w:t>
      </w:r>
    </w:p>
    <w:p w:rsidR="00296CA6" w:rsidRPr="00DF38A7" w:rsidRDefault="00296CA6" w:rsidP="00296CA6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Dnr: </w:t>
      </w:r>
      <w:r w:rsidR="00DF38A7" w:rsidRPr="00DF38A7">
        <w:rPr>
          <w:sz w:val="22"/>
          <w:szCs w:val="22"/>
        </w:rPr>
        <w:t>21</w:t>
      </w:r>
      <w:r w:rsidRPr="00DF38A7">
        <w:rPr>
          <w:sz w:val="22"/>
          <w:szCs w:val="22"/>
        </w:rPr>
        <w:t xml:space="preserve"> – 2020/21</w:t>
      </w:r>
    </w:p>
    <w:p w:rsidR="00296CA6" w:rsidRPr="00DF38A7" w:rsidRDefault="00296CA6" w:rsidP="00296CA6">
      <w:pPr>
        <w:rPr>
          <w:sz w:val="22"/>
          <w:szCs w:val="22"/>
        </w:rPr>
      </w:pPr>
    </w:p>
    <w:p w:rsidR="00296CA6" w:rsidRPr="00DF38A7" w:rsidRDefault="00296CA6" w:rsidP="00296CA6">
      <w:pPr>
        <w:tabs>
          <w:tab w:val="left" w:pos="8623"/>
        </w:tabs>
        <w:rPr>
          <w:sz w:val="22"/>
          <w:szCs w:val="22"/>
        </w:rPr>
      </w:pPr>
    </w:p>
    <w:p w:rsidR="00A37376" w:rsidRPr="00DF38A7" w:rsidRDefault="00A37376" w:rsidP="006D3AF9">
      <w:pPr>
        <w:rPr>
          <w:sz w:val="22"/>
          <w:szCs w:val="22"/>
        </w:rPr>
      </w:pPr>
    </w:p>
    <w:sectPr w:rsidR="00A37376" w:rsidRPr="00DF38A7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97" w:rsidRDefault="00F06C97">
      <w:r>
        <w:separator/>
      </w:r>
    </w:p>
  </w:endnote>
  <w:endnote w:type="continuationSeparator" w:id="0">
    <w:p w:rsidR="00F06C97" w:rsidRDefault="00F0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DF38A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1A21B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DF38A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1A21B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97" w:rsidRDefault="00F06C97">
      <w:r>
        <w:separator/>
      </w:r>
    </w:p>
  </w:footnote>
  <w:footnote w:type="continuationSeparator" w:id="0">
    <w:p w:rsidR="00F06C97" w:rsidRDefault="00F0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A6"/>
    <w:rsid w:val="0006043F"/>
    <w:rsid w:val="00072835"/>
    <w:rsid w:val="00094A50"/>
    <w:rsid w:val="00100C7F"/>
    <w:rsid w:val="00142896"/>
    <w:rsid w:val="001A21B7"/>
    <w:rsid w:val="001F0E38"/>
    <w:rsid w:val="0028015F"/>
    <w:rsid w:val="00280BC7"/>
    <w:rsid w:val="00296CA6"/>
    <w:rsid w:val="002B7046"/>
    <w:rsid w:val="00386CC5"/>
    <w:rsid w:val="005315D0"/>
    <w:rsid w:val="00585C22"/>
    <w:rsid w:val="00626FC5"/>
    <w:rsid w:val="00660457"/>
    <w:rsid w:val="006A320C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85B14"/>
    <w:rsid w:val="009A4C77"/>
    <w:rsid w:val="00A26F93"/>
    <w:rsid w:val="00A37376"/>
    <w:rsid w:val="00A66252"/>
    <w:rsid w:val="00B026D0"/>
    <w:rsid w:val="00B33937"/>
    <w:rsid w:val="00BA4CB3"/>
    <w:rsid w:val="00CE3397"/>
    <w:rsid w:val="00D13AE3"/>
    <w:rsid w:val="00D463D2"/>
    <w:rsid w:val="00D66118"/>
    <w:rsid w:val="00D8468E"/>
    <w:rsid w:val="00DC7A72"/>
    <w:rsid w:val="00DE3D8E"/>
    <w:rsid w:val="00DE61E6"/>
    <w:rsid w:val="00DF38A7"/>
    <w:rsid w:val="00F063C4"/>
    <w:rsid w:val="00F06C97"/>
    <w:rsid w:val="00F31A84"/>
    <w:rsid w:val="00F66E5F"/>
    <w:rsid w:val="00F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015C7-481D-4B10-B876-B2C569D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C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296C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96CA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296CA6"/>
  </w:style>
  <w:style w:type="paragraph" w:styleId="Brdtext">
    <w:name w:val="Body Text"/>
    <w:basedOn w:val="Normal"/>
    <w:link w:val="BrdtextChar"/>
    <w:rsid w:val="00296CA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96CA6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730</Words>
  <Characters>4301</Characters>
  <Application>Microsoft Office Word</Application>
  <DocSecurity>4</DocSecurity>
  <Lines>1075</Lines>
  <Paragraphs>209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2020-10-14T11:59:00Z</dcterms:created>
  <dcterms:modified xsi:type="dcterms:W3CDTF">2020-10-14T11:59:00Z</dcterms:modified>
</cp:coreProperties>
</file>