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F42" w:rsidRPr="0003445A" w:rsidRDefault="00680F42">
      <w:pPr>
        <w:pStyle w:val="Frslagsrubrik"/>
      </w:pPr>
      <w:bookmarkStart w:id="0" w:name="_Toc305102234"/>
      <w:bookmarkStart w:id="1" w:name="_Toc305135548"/>
      <w:r w:rsidRPr="0003445A">
        <w:t>Förslag till riksdagsbeslut</w:t>
      </w:r>
      <w:bookmarkEnd w:id="0"/>
      <w:bookmarkEnd w:id="1"/>
    </w:p>
    <w:p w:rsidR="00680F42" w:rsidRPr="0003445A" w:rsidRDefault="00680F42">
      <w:pPr>
        <w:pStyle w:val="Hemstlatt"/>
        <w:numPr>
          <w:ilvl w:val="0"/>
          <w:numId w:val="1"/>
        </w:numPr>
      </w:pPr>
      <w:r w:rsidRPr="0003445A">
        <w:t xml:space="preserve">Riksdagen tillkännager för regeringen som sin mening vad som anförs i motionen </w:t>
      </w:r>
      <w:r w:rsidRPr="0003445A">
        <w:rPr>
          <w:rFonts w:eastAsia="Helvetica"/>
        </w:rPr>
        <w:t>om verksamhetsomr</w:t>
      </w:r>
      <w:r w:rsidRPr="0003445A">
        <w:rPr>
          <w:rFonts w:eastAsia="Helvetica"/>
        </w:rPr>
        <w:t>å</w:t>
      </w:r>
      <w:r w:rsidRPr="0003445A">
        <w:rPr>
          <w:rFonts w:eastAsia="Helvetica"/>
        </w:rPr>
        <w:t>den.</w:t>
      </w:r>
    </w:p>
    <w:p w:rsidR="00680F42" w:rsidRPr="0003445A" w:rsidRDefault="00680F42">
      <w:pPr>
        <w:pStyle w:val="Hemstlatt"/>
        <w:numPr>
          <w:ilvl w:val="0"/>
          <w:numId w:val="1"/>
        </w:numPr>
      </w:pPr>
      <w:r w:rsidRPr="0003445A">
        <w:t xml:space="preserve">Riksdagen tillkännager för regeringen som sin mening vad som anförs i motionen </w:t>
      </w:r>
      <w:r w:rsidRPr="0003445A">
        <w:rPr>
          <w:rFonts w:eastAsia="Helvetica"/>
        </w:rPr>
        <w:t>om risk- och väsentlighetsanalyser.</w:t>
      </w:r>
    </w:p>
    <w:p w:rsidR="00680F42" w:rsidRPr="0003445A" w:rsidRDefault="00680F42">
      <w:pPr>
        <w:pStyle w:val="Hemstlatt"/>
        <w:numPr>
          <w:ilvl w:val="0"/>
          <w:numId w:val="1"/>
        </w:numPr>
      </w:pPr>
      <w:r w:rsidRPr="0003445A">
        <w:t xml:space="preserve">Riksdagen tillkännager för regeringen som sin mening vad som anförs i motionen om </w:t>
      </w:r>
      <w:r w:rsidRPr="0003445A">
        <w:rPr>
          <w:rFonts w:eastAsia="Helvetica"/>
        </w:rPr>
        <w:t>förvaltningslagens tillämpning på Fol</w:t>
      </w:r>
      <w:r w:rsidRPr="0003445A">
        <w:rPr>
          <w:rFonts w:eastAsia="Helvetica"/>
        </w:rPr>
        <w:t>k</w:t>
      </w:r>
      <w:r w:rsidRPr="0003445A">
        <w:rPr>
          <w:rFonts w:eastAsia="Helvetica"/>
        </w:rPr>
        <w:t>bildningsrådet.</w:t>
      </w:r>
    </w:p>
    <w:p w:rsidR="00680F42" w:rsidRPr="0003445A" w:rsidRDefault="00680F42">
      <w:pPr>
        <w:pStyle w:val="Rubrik1"/>
      </w:pPr>
      <w:bookmarkStart w:id="2" w:name="_Toc305135550"/>
      <w:r w:rsidRPr="0003445A">
        <w:rPr>
          <w:rFonts w:eastAsia="Helvetica"/>
        </w:rPr>
        <w:t>Inledning</w:t>
      </w:r>
      <w:bookmarkEnd w:id="2"/>
    </w:p>
    <w:p w:rsidR="00680F42" w:rsidRPr="0003445A" w:rsidRDefault="00680F42">
      <w:r w:rsidRPr="0003445A">
        <w:rPr>
          <w:rFonts w:eastAsia="Helvetica"/>
        </w:rPr>
        <w:t>Den svenska folkstyrelsen har vuxit fram och utvecklats genom starka folkr</w:t>
      </w:r>
      <w:r w:rsidRPr="0003445A">
        <w:rPr>
          <w:rFonts w:eastAsia="Helvetica"/>
        </w:rPr>
        <w:t>ö</w:t>
      </w:r>
      <w:r w:rsidRPr="0003445A">
        <w:rPr>
          <w:rFonts w:eastAsia="Helvetica"/>
        </w:rPr>
        <w:t>relser. Ett aktivt medborgerligt deltagande är en förutsättning för demokratins fortlevnad.</w:t>
      </w:r>
    </w:p>
    <w:p w:rsidR="00680F42" w:rsidRPr="0003445A" w:rsidRDefault="00680F42">
      <w:pPr>
        <w:pStyle w:val="Normaltindrag"/>
        <w:rPr>
          <w:rFonts w:eastAsia="Helvetica"/>
        </w:rPr>
      </w:pPr>
      <w:r w:rsidRPr="0003445A">
        <w:rPr>
          <w:rFonts w:eastAsia="Helvetica"/>
        </w:rPr>
        <w:t>Den stora mångfalden av folkrörelser är en av vårt lands främsta tillgångar. De många människornas engagemang i Folkrörelse-Sverige lägger grunden till ett samhällsliv präglat av öppenhet, tolerans och kreativitet.</w:t>
      </w:r>
    </w:p>
    <w:p w:rsidR="00680F42" w:rsidRPr="0003445A" w:rsidRDefault="00680F42">
      <w:pPr>
        <w:pStyle w:val="Rubrik1"/>
      </w:pPr>
      <w:bookmarkStart w:id="3" w:name="_Toc305135551"/>
      <w:r w:rsidRPr="0003445A">
        <w:rPr>
          <w:rFonts w:eastAsia="Helvetica"/>
        </w:rPr>
        <w:t>Synen på styrningen av folkrörelserna</w:t>
      </w:r>
      <w:bookmarkEnd w:id="3"/>
    </w:p>
    <w:p w:rsidR="00680F42" w:rsidRPr="0003445A" w:rsidRDefault="00680F42">
      <w:r w:rsidRPr="0003445A">
        <w:rPr>
          <w:rFonts w:eastAsia="Helvetica"/>
        </w:rPr>
        <w:t xml:space="preserve">Den breda och omfattande verksamheten i föreningslivet och folkrörelserna hänger samman med att de har fått utveckla sin verksamhet utifrån sin idé och sina medlemmars behov och vilja. Perspektivet har varit att det mellan det politiska beslutsfattandet och folkrörelserna ska finnas en armlängds avstånd. Det offentliga i form av stat, landsting och kommuner har haft förtroende för </w:t>
      </w:r>
      <w:r w:rsidRPr="0003445A">
        <w:rPr>
          <w:rFonts w:eastAsia="Helvetica"/>
        </w:rPr>
        <w:lastRenderedPageBreak/>
        <w:t>att folkrörelserna tagit sin utgångspunkt i medlemmarnas intressen, i och med att de är demokratiskt uppbyggda och därmed fattar sina egna beslut.</w:t>
      </w:r>
    </w:p>
    <w:p w:rsidR="00680F42" w:rsidRPr="0003445A" w:rsidRDefault="00680F42">
      <w:pPr>
        <w:pStyle w:val="Normaltindrag"/>
      </w:pPr>
      <w:r w:rsidRPr="0003445A">
        <w:rPr>
          <w:rFonts w:eastAsia="Helvetica"/>
        </w:rPr>
        <w:t>För oss är detta själva utgångspunkten i hela folkrörelsepolitiken. Det o</w:t>
      </w:r>
      <w:r w:rsidRPr="0003445A">
        <w:rPr>
          <w:rFonts w:eastAsia="Helvetica"/>
        </w:rPr>
        <w:t>f</w:t>
      </w:r>
      <w:r w:rsidRPr="0003445A">
        <w:rPr>
          <w:rFonts w:eastAsia="Helvetica"/>
        </w:rPr>
        <w:t>fentligas förtroende för demokratiska, självständiga organisationer är en vi</w:t>
      </w:r>
      <w:r w:rsidRPr="0003445A">
        <w:rPr>
          <w:rFonts w:eastAsia="Helvetica"/>
        </w:rPr>
        <w:t>k</w:t>
      </w:r>
      <w:r w:rsidRPr="0003445A">
        <w:rPr>
          <w:rFonts w:eastAsia="Helvetica"/>
        </w:rPr>
        <w:t>tig förutsättning för att folkrörelserna ska kunna bidra maximalt till samhäll</w:t>
      </w:r>
      <w:r w:rsidRPr="0003445A">
        <w:rPr>
          <w:rFonts w:eastAsia="Helvetica"/>
        </w:rPr>
        <w:t>s</w:t>
      </w:r>
      <w:r w:rsidRPr="0003445A">
        <w:rPr>
          <w:rFonts w:eastAsia="Helvetica"/>
        </w:rPr>
        <w:t>utvecklingen.</w:t>
      </w:r>
    </w:p>
    <w:p w:rsidR="00680F42" w:rsidRPr="0003445A" w:rsidRDefault="00680F42">
      <w:pPr>
        <w:pStyle w:val="Normaltindrag"/>
        <w:rPr>
          <w:rFonts w:eastAsia="Helvetica"/>
        </w:rPr>
      </w:pPr>
      <w:r w:rsidRPr="0003445A">
        <w:rPr>
          <w:rFonts w:eastAsia="Helvetica"/>
        </w:rPr>
        <w:t>Studieförbunden är folkrörelsernas nav och bedriver verksamhet i hela landet. Deras uppdrag är den enskilda deltagarens behov, erfarenheter och vilja till utveckling.</w:t>
      </w:r>
    </w:p>
    <w:p w:rsidR="00680F42" w:rsidRPr="0003445A" w:rsidRDefault="00680F42">
      <w:pPr>
        <w:pStyle w:val="Rubrik1"/>
      </w:pPr>
      <w:bookmarkStart w:id="4" w:name="_Toc305135552"/>
      <w:r w:rsidRPr="0003445A">
        <w:rPr>
          <w:rFonts w:eastAsia="Helvetica"/>
        </w:rPr>
        <w:t>Verksamhetsområden</w:t>
      </w:r>
      <w:bookmarkEnd w:id="4"/>
    </w:p>
    <w:p w:rsidR="00680F42" w:rsidRPr="0003445A" w:rsidRDefault="00680F42">
      <w:r w:rsidRPr="0003445A">
        <w:rPr>
          <w:rFonts w:eastAsia="Helvetica"/>
        </w:rPr>
        <w:t>Staten har angivit fyra syften för sitt stöd till folkbildningen: att stödja ver</w:t>
      </w:r>
      <w:r w:rsidRPr="0003445A">
        <w:rPr>
          <w:rFonts w:eastAsia="Helvetica"/>
        </w:rPr>
        <w:t>k</w:t>
      </w:r>
      <w:r w:rsidRPr="0003445A">
        <w:rPr>
          <w:rFonts w:eastAsia="Helvetica"/>
        </w:rPr>
        <w:t>samhet som bidrar till att stärka och utveckla demokratin, att bidra till att göra det möjligt för människor att påverka sin livssituation och skapa engagemang att delta i samhällsutvecklingen, att bidra till att utjämna utbildningsklyftor och höja bildnings- och utbildningsnivån i samhället och att bidra till att bredda intresset för och öka delaktigheten i kulturlivet. Staten har även ang</w:t>
      </w:r>
      <w:r w:rsidRPr="0003445A">
        <w:rPr>
          <w:rFonts w:eastAsia="Helvetica"/>
        </w:rPr>
        <w:t>i</w:t>
      </w:r>
      <w:r w:rsidRPr="0003445A">
        <w:rPr>
          <w:rFonts w:eastAsia="Helvetica"/>
        </w:rPr>
        <w:t>vit sju verksamhetsområden som i särskilt hög grad utgör motiv för statens stöd.</w:t>
      </w:r>
    </w:p>
    <w:p w:rsidR="00680F42" w:rsidRPr="0003445A" w:rsidRDefault="00680F42">
      <w:pPr>
        <w:pStyle w:val="Normaltindrag"/>
      </w:pPr>
      <w:r w:rsidRPr="0003445A">
        <w:rPr>
          <w:rFonts w:eastAsia="Helvetica"/>
        </w:rPr>
        <w:t xml:space="preserve">I skrivelsen redogör regeringen för </w:t>
      </w:r>
      <w:r w:rsidRPr="0003445A">
        <w:rPr>
          <w:rFonts w:eastAsia="Helvetica"/>
        </w:rPr>
        <w:t>sin syn på Riksrevisionens rapport och vi tycker att det är bra att regeringen ser kraften i studieförbundens verksa</w:t>
      </w:r>
      <w:r w:rsidRPr="0003445A">
        <w:rPr>
          <w:rFonts w:eastAsia="Helvetica"/>
        </w:rPr>
        <w:t>m</w:t>
      </w:r>
      <w:r w:rsidRPr="0003445A">
        <w:rPr>
          <w:rFonts w:eastAsia="Helvetica"/>
        </w:rPr>
        <w:t>het och även värnar om dess självständighet, genom att regeringen inte ser någon anledning att förändra roll- och ansvarsfördelningen för Folkbildning</w:t>
      </w:r>
      <w:r w:rsidRPr="0003445A">
        <w:rPr>
          <w:rFonts w:eastAsia="Helvetica"/>
        </w:rPr>
        <w:t>s</w:t>
      </w:r>
      <w:r w:rsidRPr="0003445A">
        <w:rPr>
          <w:rFonts w:eastAsia="Helvetica"/>
        </w:rPr>
        <w:t>rådet när det gäller statsbidragsfördelningen.</w:t>
      </w:r>
    </w:p>
    <w:p w:rsidR="00680F42" w:rsidRPr="0003445A" w:rsidRDefault="00680F42">
      <w:pPr>
        <w:pStyle w:val="Normaltindrag"/>
      </w:pPr>
      <w:r w:rsidRPr="0003445A">
        <w:rPr>
          <w:rFonts w:eastAsia="Helvetica"/>
        </w:rPr>
        <w:t>I Riksrevisionens rapport lyfts det fram att det inte på ett tydligt sätt går att följa hur statens syften med statsbidraget samt de sju verksamhetsområdena påverkat studieförbundens verksamhet. Fö</w:t>
      </w:r>
      <w:r w:rsidRPr="0003445A">
        <w:rPr>
          <w:rFonts w:eastAsia="Helvetica"/>
        </w:rPr>
        <w:t>r att göra styrningen tydligare har regeringen bett Folkbildningsrådet att återkomma med förslag på nya ver</w:t>
      </w:r>
      <w:r w:rsidRPr="0003445A">
        <w:rPr>
          <w:rFonts w:eastAsia="Helvetica"/>
        </w:rPr>
        <w:t>k</w:t>
      </w:r>
      <w:r w:rsidRPr="0003445A">
        <w:rPr>
          <w:rFonts w:eastAsia="Helvetica"/>
        </w:rPr>
        <w:t>samhetsområden som i särskilt hög grad ska utgöra motiv för statens stöd.</w:t>
      </w:r>
    </w:p>
    <w:p w:rsidR="00680F42" w:rsidRPr="0003445A" w:rsidRDefault="00680F42">
      <w:pPr>
        <w:pStyle w:val="Normaltindrag"/>
      </w:pPr>
      <w:r w:rsidRPr="0003445A">
        <w:rPr>
          <w:rFonts w:eastAsia="Helvetica"/>
        </w:rPr>
        <w:t>Vi anser att utformningen med fyra syften och sju verksamhetsområden innebär en detaljstyrning som begränsar den fria och frivilliga folkbildningen.</w:t>
      </w:r>
    </w:p>
    <w:p w:rsidR="00680F42" w:rsidRPr="0003445A" w:rsidRDefault="00680F42">
      <w:pPr>
        <w:pStyle w:val="Normaltindrag"/>
        <w:rPr>
          <w:rFonts w:eastAsia="Helvetica"/>
        </w:rPr>
      </w:pPr>
      <w:r w:rsidRPr="0003445A">
        <w:rPr>
          <w:rFonts w:eastAsia="Helvetica"/>
        </w:rPr>
        <w:t>Vi är av den uppfattningen att studieförbundens unika verksamhetsprofil</w:t>
      </w:r>
      <w:r w:rsidRPr="0003445A">
        <w:rPr>
          <w:rFonts w:eastAsia="Helvetica"/>
        </w:rPr>
        <w:t>e</w:t>
      </w:r>
      <w:r w:rsidRPr="0003445A">
        <w:rPr>
          <w:rFonts w:eastAsia="Helvetica"/>
        </w:rPr>
        <w:t>ring måste få möjlighet att utvecklas ytterligare. Vi ser en risk i att verksa</w:t>
      </w:r>
      <w:r w:rsidRPr="0003445A">
        <w:rPr>
          <w:rFonts w:eastAsia="Helvetica"/>
        </w:rPr>
        <w:t>m</w:t>
      </w:r>
      <w:r w:rsidRPr="0003445A">
        <w:rPr>
          <w:rFonts w:eastAsia="Helvetica"/>
        </w:rPr>
        <w:t>het</w:t>
      </w:r>
      <w:r w:rsidRPr="0003445A">
        <w:rPr>
          <w:rFonts w:eastAsia="Helvetica"/>
        </w:rPr>
        <w:t>s</w:t>
      </w:r>
      <w:r w:rsidRPr="0003445A">
        <w:rPr>
          <w:rFonts w:eastAsia="Helvetica"/>
        </w:rPr>
        <w:t>områdena i stället leder till en likriktning. Av den anledningen anser vi att verksamhetsområdena bör tas bort.</w:t>
      </w:r>
    </w:p>
    <w:p w:rsidR="00680F42" w:rsidRPr="0003445A" w:rsidRDefault="00680F42">
      <w:pPr>
        <w:pStyle w:val="Rubrik1"/>
      </w:pPr>
      <w:bookmarkStart w:id="5" w:name="_Toc305135553"/>
      <w:r w:rsidRPr="0003445A">
        <w:rPr>
          <w:rFonts w:eastAsia="Helvetica"/>
        </w:rPr>
        <w:t>Risk- och väsentlighetsanalys</w:t>
      </w:r>
      <w:bookmarkEnd w:id="5"/>
    </w:p>
    <w:p w:rsidR="00680F42" w:rsidRPr="0003445A" w:rsidRDefault="00680F42">
      <w:r w:rsidRPr="0003445A">
        <w:rPr>
          <w:rFonts w:eastAsia="Helvetica"/>
        </w:rPr>
        <w:t>I skrivelsen lyfter regeringen fram behovet av risk- och väsentlighetsanalyser. Detta var också något Riksrevisionen påpekade i sin rapport.</w:t>
      </w:r>
    </w:p>
    <w:p w:rsidR="00680F42" w:rsidRPr="0003445A" w:rsidRDefault="00680F42">
      <w:pPr>
        <w:pStyle w:val="Normaltindrag"/>
      </w:pPr>
      <w:r w:rsidRPr="0003445A">
        <w:rPr>
          <w:rFonts w:eastAsia="Helvetica"/>
        </w:rPr>
        <w:t>Vi anser att en risk- och väsentlighetsanalys bör ligga till grund för fol</w:t>
      </w:r>
      <w:r w:rsidRPr="0003445A">
        <w:rPr>
          <w:rFonts w:eastAsia="Helvetica"/>
        </w:rPr>
        <w:t>k</w:t>
      </w:r>
      <w:r w:rsidRPr="0003445A">
        <w:rPr>
          <w:rFonts w:eastAsia="Helvetica"/>
        </w:rPr>
        <w:t>bildningens internkontroll. Vi delar däremot inte den uppfattning som rege</w:t>
      </w:r>
      <w:r w:rsidRPr="0003445A">
        <w:rPr>
          <w:rFonts w:eastAsia="Helvetica"/>
        </w:rPr>
        <w:t>r</w:t>
      </w:r>
      <w:r w:rsidRPr="0003445A">
        <w:rPr>
          <w:rFonts w:eastAsia="Helvetica"/>
        </w:rPr>
        <w:t>ingen framför i skrivelsen att denna analys ska göras av Folkbildningsrådet eller en extern aktör.</w:t>
      </w:r>
    </w:p>
    <w:p w:rsidR="00680F42" w:rsidRPr="0003445A" w:rsidRDefault="00680F42">
      <w:pPr>
        <w:pStyle w:val="Normaltindrag"/>
        <w:rPr>
          <w:rFonts w:eastAsia="Helvetica"/>
        </w:rPr>
      </w:pPr>
      <w:r w:rsidRPr="0003445A">
        <w:rPr>
          <w:rFonts w:eastAsia="Helvetica"/>
        </w:rPr>
        <w:t>De tio studieförbunden har en gemensam grund och bedriver likartad ver</w:t>
      </w:r>
      <w:r w:rsidRPr="0003445A">
        <w:rPr>
          <w:rFonts w:eastAsia="Helvetica"/>
        </w:rPr>
        <w:t>k</w:t>
      </w:r>
      <w:r w:rsidRPr="0003445A">
        <w:rPr>
          <w:rFonts w:eastAsia="Helvetica"/>
        </w:rPr>
        <w:t>samhet men skiljer sig åt både vad gäller intern organisation och verksa</w:t>
      </w:r>
      <w:r w:rsidRPr="0003445A">
        <w:rPr>
          <w:rFonts w:eastAsia="Helvetica"/>
        </w:rPr>
        <w:t>m</w:t>
      </w:r>
      <w:r w:rsidRPr="0003445A">
        <w:rPr>
          <w:rFonts w:eastAsia="Helvetica"/>
        </w:rPr>
        <w:t>hetsprofilering. Därför bör studieförbunden själva ansvara för att göra risk- och väsentlighetsanalyser medan Folkbildningsrådet bör ansvara för hur detta följs upp.</w:t>
      </w:r>
    </w:p>
    <w:p w:rsidR="00680F42" w:rsidRPr="0003445A" w:rsidRDefault="00680F42">
      <w:pPr>
        <w:pStyle w:val="Rubrik1"/>
      </w:pPr>
      <w:bookmarkStart w:id="6" w:name="_Toc305135554"/>
      <w:r w:rsidRPr="0003445A">
        <w:rPr>
          <w:rFonts w:eastAsia="Helvetica"/>
        </w:rPr>
        <w:t>Förvaltningslagen</w:t>
      </w:r>
      <w:bookmarkEnd w:id="6"/>
    </w:p>
    <w:p w:rsidR="00680F42" w:rsidRPr="0003445A" w:rsidRDefault="00680F42">
      <w:pPr>
        <w:rPr>
          <w:sz w:val="32"/>
        </w:rPr>
      </w:pPr>
      <w:r w:rsidRPr="0003445A">
        <w:rPr>
          <w:rFonts w:eastAsia="Helvetica"/>
        </w:rPr>
        <w:t>Regeringen föreslår att delar av förvaltningslagen blir tillämpliga på Fol</w:t>
      </w:r>
      <w:r w:rsidRPr="0003445A">
        <w:rPr>
          <w:rFonts w:eastAsia="Helvetica"/>
        </w:rPr>
        <w:t>k</w:t>
      </w:r>
      <w:r w:rsidRPr="0003445A">
        <w:rPr>
          <w:rFonts w:eastAsia="Helvetica"/>
        </w:rPr>
        <w:t>bildningsrådet.</w:t>
      </w:r>
      <w:r w:rsidRPr="0003445A">
        <w:t xml:space="preserve"> </w:t>
      </w:r>
      <w:r w:rsidRPr="0003445A">
        <w:rPr>
          <w:rFonts w:eastAsia="Helvetica"/>
        </w:rPr>
        <w:t>Det finns i dag två privaträttsliga organ med uppgifter i my</w:t>
      </w:r>
      <w:r w:rsidRPr="0003445A">
        <w:rPr>
          <w:rFonts w:eastAsia="Helvetica"/>
        </w:rPr>
        <w:t>n</w:t>
      </w:r>
      <w:r w:rsidRPr="0003445A">
        <w:rPr>
          <w:rFonts w:eastAsia="Helvetica"/>
        </w:rPr>
        <w:t xml:space="preserve">dighets ställe: Folkbildningsrådet och Riksidrottsförbundet. </w:t>
      </w:r>
      <w:r w:rsidRPr="0003445A">
        <w:rPr>
          <w:color w:val="000000"/>
          <w:szCs w:val="24"/>
        </w:rPr>
        <w:t>När regeringen nu väljer att överväga vilka delar av förvaltningslagen som ska vara tillämpliga på Folkbildningsrådet bör det ske i en gemensam översyn av Folkbildningsr</w:t>
      </w:r>
      <w:r w:rsidRPr="0003445A">
        <w:rPr>
          <w:color w:val="000000"/>
          <w:szCs w:val="24"/>
        </w:rPr>
        <w:t>å</w:t>
      </w:r>
      <w:r w:rsidRPr="0003445A">
        <w:rPr>
          <w:color w:val="000000"/>
          <w:szCs w:val="24"/>
        </w:rPr>
        <w:t>det och Riksidrottsförbundet, detta särskilt mot bakgrund av att medlen för Riksidrottsförbundets studieförbund Sisu inte fördelas via Folkbildningsrådet. Vi föreslår detta för att säkerställa att likart</w:t>
      </w:r>
      <w:r w:rsidRPr="0003445A">
        <w:rPr>
          <w:color w:val="000000"/>
          <w:szCs w:val="24"/>
        </w:rPr>
        <w:t>ade förhållningssätt krävs av och likartade krav ställs på dessa båda organisationer när det gäller förvaltning</w:t>
      </w:r>
      <w:r w:rsidRPr="0003445A">
        <w:rPr>
          <w:color w:val="000000"/>
          <w:szCs w:val="24"/>
        </w:rPr>
        <w:t>s</w:t>
      </w:r>
      <w:r w:rsidRPr="0003445A">
        <w:rPr>
          <w:color w:val="000000"/>
          <w:szCs w:val="24"/>
        </w:rPr>
        <w:t>lagens tillämplighet.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45A">
        <w:trPr>
          <w:cantSplit/>
        </w:trPr>
        <w:tc>
          <w:tcPr>
            <w:tcW w:w="3046" w:type="dxa"/>
          </w:tcPr>
          <w:p w:rsidR="00680F42" w:rsidRPr="0003445A" w:rsidRDefault="00680F42">
            <w:pPr>
              <w:pStyle w:val="UnderskriftDatum"/>
              <w:spacing w:before="240"/>
            </w:pPr>
            <w:r w:rsidRPr="0003445A">
              <w:t>Stockholm den 5 oktober 2011</w:t>
            </w:r>
          </w:p>
        </w:tc>
        <w:tc>
          <w:tcPr>
            <w:tcW w:w="3047" w:type="dxa"/>
          </w:tcPr>
          <w:p w:rsidR="00680F42" w:rsidRPr="0003445A" w:rsidRDefault="00680F42">
            <w:pPr>
              <w:pStyle w:val="Underskrifter"/>
              <w:spacing w:before="240"/>
            </w:pPr>
          </w:p>
        </w:tc>
      </w:tr>
      <w:tr w:rsidR="00000000" w:rsidRPr="0003445A">
        <w:trPr>
          <w:cantSplit/>
        </w:trPr>
        <w:tc>
          <w:tcPr>
            <w:tcW w:w="3046" w:type="dxa"/>
          </w:tcPr>
          <w:p w:rsidR="00680F42" w:rsidRPr="0003445A" w:rsidRDefault="00680F42">
            <w:pPr>
              <w:pStyle w:val="Underskrifter"/>
            </w:pPr>
            <w:r w:rsidRPr="0003445A">
              <w:t>Berit Högman (S)</w:t>
            </w:r>
          </w:p>
        </w:tc>
        <w:tc>
          <w:tcPr>
            <w:tcW w:w="3046" w:type="dxa"/>
          </w:tcPr>
          <w:p w:rsidR="00680F42" w:rsidRPr="0003445A" w:rsidRDefault="00680F42">
            <w:pPr>
              <w:pStyle w:val="Underskrifter"/>
            </w:pPr>
          </w:p>
        </w:tc>
      </w:tr>
      <w:tr w:rsidR="00000000" w:rsidRPr="0003445A">
        <w:trPr>
          <w:cantSplit/>
        </w:trPr>
        <w:tc>
          <w:tcPr>
            <w:tcW w:w="3046" w:type="dxa"/>
          </w:tcPr>
          <w:p w:rsidR="00680F42" w:rsidRPr="0003445A" w:rsidRDefault="00680F42">
            <w:pPr>
              <w:pStyle w:val="Underskrifter"/>
            </w:pPr>
            <w:r w:rsidRPr="0003445A">
              <w:t>Peter Johnsson (S)</w:t>
            </w:r>
          </w:p>
        </w:tc>
        <w:tc>
          <w:tcPr>
            <w:tcW w:w="3046" w:type="dxa"/>
          </w:tcPr>
          <w:p w:rsidR="00680F42" w:rsidRPr="0003445A" w:rsidRDefault="00680F42">
            <w:pPr>
              <w:pStyle w:val="Underskrifter"/>
            </w:pPr>
            <w:r w:rsidRPr="0003445A">
              <w:t>Kerstin Engle (S)</w:t>
            </w:r>
          </w:p>
        </w:tc>
      </w:tr>
      <w:tr w:rsidR="00000000" w:rsidRPr="0003445A">
        <w:trPr>
          <w:cantSplit/>
        </w:trPr>
        <w:tc>
          <w:tcPr>
            <w:tcW w:w="3046" w:type="dxa"/>
          </w:tcPr>
          <w:p w:rsidR="00680F42" w:rsidRPr="0003445A" w:rsidRDefault="00680F42">
            <w:pPr>
              <w:pStyle w:val="Underskrifter"/>
            </w:pPr>
            <w:r w:rsidRPr="0003445A">
              <w:t>Per Svedberg (S)</w:t>
            </w:r>
          </w:p>
        </w:tc>
        <w:tc>
          <w:tcPr>
            <w:tcW w:w="3046" w:type="dxa"/>
          </w:tcPr>
          <w:p w:rsidR="00680F42" w:rsidRPr="0003445A" w:rsidRDefault="00680F42">
            <w:pPr>
              <w:pStyle w:val="Underskrifter"/>
            </w:pPr>
            <w:r w:rsidRPr="0003445A">
              <w:t>Christina Zedell (S)</w:t>
            </w:r>
          </w:p>
        </w:tc>
      </w:tr>
      <w:tr w:rsidR="00000000" w:rsidRPr="0003445A">
        <w:trPr>
          <w:cantSplit/>
        </w:trPr>
        <w:tc>
          <w:tcPr>
            <w:tcW w:w="3046" w:type="dxa"/>
          </w:tcPr>
          <w:p w:rsidR="00680F42" w:rsidRPr="0003445A" w:rsidRDefault="00680F42">
            <w:pPr>
              <w:pStyle w:val="Underskrifter"/>
            </w:pPr>
            <w:r w:rsidRPr="0003445A">
              <w:t>Isak From (S)</w:t>
            </w:r>
          </w:p>
        </w:tc>
        <w:tc>
          <w:tcPr>
            <w:tcW w:w="3046" w:type="dxa"/>
          </w:tcPr>
          <w:p w:rsidR="00680F42" w:rsidRPr="0003445A" w:rsidRDefault="00680F42">
            <w:pPr>
              <w:pStyle w:val="Underskrifter"/>
            </w:pPr>
            <w:r w:rsidRPr="0003445A">
              <w:t>Agneta Gille (S)</w:t>
            </w:r>
          </w:p>
        </w:tc>
      </w:tr>
    </w:tbl>
    <w:p w:rsidR="00680F42" w:rsidRPr="0003445A" w:rsidRDefault="00680F42">
      <w:pPr>
        <w:pStyle w:val="Normaltindrag"/>
      </w:pPr>
    </w:p>
    <w:sectPr w:rsidR="00680F42" w:rsidRPr="00034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F42" w:rsidRPr="0003445A" w:rsidRDefault="00680F42">
      <w:r w:rsidRPr="0003445A">
        <w:separator/>
      </w:r>
    </w:p>
  </w:endnote>
  <w:endnote w:type="continuationSeparator" w:id="0">
    <w:p w:rsidR="00680F42" w:rsidRPr="0003445A" w:rsidRDefault="00680F42">
      <w:r w:rsidRPr="00034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Pro W3">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42" w:rsidRPr="0003445A" w:rsidRDefault="0003445A">
    <w:pPr>
      <w:pStyle w:val="Sidfot"/>
    </w:pPr>
    <w:r w:rsidRPr="000344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985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42" w:rsidRDefault="00680F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F42" w:rsidRDefault="00680F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42" w:rsidRPr="0003445A" w:rsidRDefault="0003445A">
    <w:pPr>
      <w:pStyle w:val="Sidfot"/>
    </w:pPr>
    <w:r w:rsidRPr="000344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39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42" w:rsidRDefault="00680F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F42" w:rsidRDefault="00680F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42" w:rsidRPr="0003445A" w:rsidRDefault="0003445A">
    <w:pPr>
      <w:pStyle w:val="Sidfot"/>
    </w:pPr>
    <w:r w:rsidRPr="000344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393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42" w:rsidRDefault="00680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F42" w:rsidRDefault="00680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F42" w:rsidRPr="0003445A" w:rsidRDefault="00680F42">
      <w:r w:rsidRPr="0003445A">
        <w:separator/>
      </w:r>
    </w:p>
  </w:footnote>
  <w:footnote w:type="continuationSeparator" w:id="0">
    <w:p w:rsidR="00680F42" w:rsidRPr="0003445A" w:rsidRDefault="00680F42">
      <w:r w:rsidRPr="00034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42" w:rsidRPr="0003445A" w:rsidRDefault="0003445A">
    <w:pPr>
      <w:pStyle w:val="Sidhuvud"/>
    </w:pPr>
    <w:r w:rsidRPr="000344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505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42" w:rsidRDefault="00680F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F42" w:rsidRDefault="00680F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42" w:rsidRPr="0003445A" w:rsidRDefault="0003445A">
    <w:pPr>
      <w:pStyle w:val="Sidhuvud"/>
    </w:pPr>
    <w:r w:rsidRPr="000344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208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42" w:rsidRDefault="00680F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F42" w:rsidRDefault="00680F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42" w:rsidRPr="0003445A" w:rsidRDefault="00680F42">
    <w:pPr>
      <w:pStyle w:val="FSHNormal"/>
      <w:tabs>
        <w:tab w:val="right" w:pos="5840"/>
      </w:tabs>
    </w:pPr>
    <w:r w:rsidRPr="0003445A">
      <w:br/>
    </w:r>
    <w:r w:rsidRPr="0003445A">
      <w:fldChar w:fldCharType="begin" w:fldLock="1"/>
    </w:r>
    <w:r w:rsidRPr="0003445A">
      <w:instrText xml:space="preserve"> DOCPROPERTY</w:instrText>
    </w:r>
    <w:r w:rsidRPr="0003445A">
      <w:rPr>
        <w:sz w:val="18"/>
      </w:rPr>
      <w:instrText xml:space="preserve"> "YearUser" *\charformat </w:instrText>
    </w:r>
    <w:r w:rsidRPr="0003445A">
      <w:fldChar w:fldCharType="separate"/>
    </w:r>
    <w:r w:rsidRPr="0003445A">
      <w:t>2011/12</w:t>
    </w:r>
    <w:r w:rsidRPr="0003445A">
      <w:fldChar w:fldCharType="end"/>
    </w:r>
    <w:r w:rsidRPr="0003445A">
      <w:t xml:space="preserve"> </w:t>
    </w:r>
    <w:r w:rsidRPr="0003445A">
      <w:tab/>
      <w:t xml:space="preserve">mnr: </w:t>
    </w:r>
    <w:r w:rsidRPr="0003445A">
      <w:fldChar w:fldCharType="begin" w:fldLock="1"/>
    </w:r>
    <w:r w:rsidRPr="0003445A">
      <w:instrText xml:space="preserve"> DOCPROPERTY</w:instrText>
    </w:r>
    <w:r w:rsidRPr="0003445A">
      <w:rPr>
        <w:sz w:val="18"/>
      </w:rPr>
      <w:instrText xml:space="preserve"> "Motionsnummer" *\charformat </w:instrText>
    </w:r>
    <w:r w:rsidRPr="0003445A">
      <w:fldChar w:fldCharType="separate"/>
    </w:r>
    <w:r w:rsidRPr="0003445A">
      <w:t>Kr1</w:t>
    </w:r>
    <w:r w:rsidRPr="0003445A">
      <w:fldChar w:fldCharType="end"/>
    </w:r>
    <w:r w:rsidRPr="0003445A">
      <w:br/>
    </w:r>
    <w:r w:rsidRPr="0003445A">
      <w:fldChar w:fldCharType="begin" w:fldLock="1"/>
    </w:r>
    <w:r w:rsidRPr="0003445A">
      <w:instrText xml:space="preserve"> DOCPROPERTY</w:instrText>
    </w:r>
    <w:r w:rsidRPr="0003445A">
      <w:rPr>
        <w:sz w:val="18"/>
      </w:rPr>
      <w:instrText xml:space="preserve"> "Samling" *\charformat </w:instrText>
    </w:r>
    <w:r w:rsidRPr="0003445A">
      <w:fldChar w:fldCharType="end"/>
    </w:r>
    <w:r w:rsidRPr="0003445A">
      <w:tab/>
      <w:t xml:space="preserve">pnr: </w:t>
    </w:r>
    <w:r w:rsidRPr="0003445A">
      <w:fldChar w:fldCharType="begin" w:fldLock="1"/>
    </w:r>
    <w:r w:rsidRPr="0003445A">
      <w:instrText xml:space="preserve"> DOCPROPERTY</w:instrText>
    </w:r>
    <w:r w:rsidRPr="0003445A">
      <w:rPr>
        <w:sz w:val="18"/>
      </w:rPr>
      <w:instrText xml:space="preserve"> "Partinummer" *\charformat </w:instrText>
    </w:r>
    <w:r w:rsidRPr="0003445A">
      <w:fldChar w:fldCharType="separate"/>
    </w:r>
    <w:r w:rsidRPr="0003445A">
      <w:t>S25002</w:t>
    </w:r>
    <w:r w:rsidRPr="0003445A">
      <w:fldChar w:fldCharType="end"/>
    </w:r>
  </w:p>
  <w:p w:rsidR="00680F42" w:rsidRPr="0003445A" w:rsidRDefault="00680F42">
    <w:pPr>
      <w:pStyle w:val="FSHRub1"/>
    </w:pPr>
    <w:r w:rsidRPr="0003445A">
      <w:t>Motion till riksdagen</w:t>
    </w:r>
    <w:r w:rsidRPr="0003445A">
      <w:br/>
    </w:r>
    <w:r w:rsidRPr="0003445A">
      <w:fldChar w:fldCharType="begin" w:fldLock="1"/>
    </w:r>
    <w:r w:rsidRPr="0003445A">
      <w:instrText xml:space="preserve"> DOCPROPERTY "YearUser" *\charformat </w:instrText>
    </w:r>
    <w:r w:rsidRPr="0003445A">
      <w:fldChar w:fldCharType="separate"/>
    </w:r>
    <w:r w:rsidRPr="0003445A">
      <w:t>2011/12</w:t>
    </w:r>
    <w:r w:rsidRPr="0003445A">
      <w:fldChar w:fldCharType="end"/>
    </w:r>
    <w:r w:rsidRPr="0003445A">
      <w:t>:</w:t>
    </w:r>
    <w:r w:rsidRPr="0003445A">
      <w:fldChar w:fldCharType="begin" w:fldLock="1"/>
    </w:r>
    <w:r w:rsidRPr="0003445A">
      <w:instrText xml:space="preserve"> DOCPROPERTY "Motionsnummer" *\charformat </w:instrText>
    </w:r>
    <w:r w:rsidRPr="0003445A">
      <w:fldChar w:fldCharType="separate"/>
    </w:r>
    <w:r w:rsidRPr="0003445A">
      <w:t>Kr1</w:t>
    </w:r>
    <w:r w:rsidRPr="0003445A">
      <w:fldChar w:fldCharType="end"/>
    </w:r>
  </w:p>
  <w:p w:rsidR="00680F42" w:rsidRPr="0003445A" w:rsidRDefault="00680F42">
    <w:pPr>
      <w:pStyle w:val="FSHNormalS5"/>
    </w:pPr>
    <w:r w:rsidRPr="0003445A">
      <w:fldChar w:fldCharType="begin" w:fldLock="1"/>
    </w:r>
    <w:r w:rsidRPr="0003445A">
      <w:instrText xml:space="preserve"> DOCPROPERTY "MotionarText" *\charformat </w:instrText>
    </w:r>
    <w:r w:rsidRPr="0003445A">
      <w:fldChar w:fldCharType="separate"/>
    </w:r>
    <w:r w:rsidRPr="0003445A">
      <w:t>av Berit Högman m.fl. (S)</w:t>
    </w:r>
    <w:r w:rsidRPr="0003445A">
      <w:fldChar w:fldCharType="end"/>
    </w:r>
    <w:r w:rsidRPr="0003445A">
      <w:br/>
    </w:r>
    <w:r w:rsidRPr="0003445A">
      <w:fldChar w:fldCharType="begin" w:fldLock="1"/>
    </w:r>
    <w:r w:rsidRPr="0003445A">
      <w:instrText xml:space="preserve"> DOCPROPERTY "SvarFrasKort" *\charformat </w:instrText>
    </w:r>
    <w:r w:rsidRPr="0003445A">
      <w:fldChar w:fldCharType="separate"/>
    </w:r>
    <w:r w:rsidRPr="0003445A">
      <w:t>med anledning av skr. 2011/12:6</w:t>
    </w:r>
    <w:r w:rsidRPr="0003445A">
      <w:fldChar w:fldCharType="end"/>
    </w:r>
  </w:p>
  <w:p w:rsidR="00680F42" w:rsidRPr="0003445A" w:rsidRDefault="00680F42">
    <w:pPr>
      <w:pStyle w:val="FSHTitel"/>
    </w:pPr>
    <w:r w:rsidRPr="0003445A">
      <w:fldChar w:fldCharType="begin" w:fldLock="1"/>
    </w:r>
    <w:r w:rsidRPr="0003445A">
      <w:instrText xml:space="preserve"> DOCPROPERTY</w:instrText>
    </w:r>
    <w:r w:rsidRPr="0003445A">
      <w:rPr>
        <w:sz w:val="18"/>
      </w:rPr>
      <w:instrText xml:space="preserve"> "RubrikSvar" *\charformat </w:instrText>
    </w:r>
    <w:r w:rsidRPr="0003445A">
      <w:fldChar w:fldCharType="separate"/>
    </w:r>
    <w:r w:rsidRPr="0003445A">
      <w:t>Riksrevisionens rapport om statens stöd till studieförbunden</w:t>
    </w:r>
    <w:r w:rsidRPr="0003445A">
      <w:fldChar w:fldCharType="end"/>
    </w:r>
  </w:p>
  <w:p w:rsidR="00680F42" w:rsidRPr="0003445A" w:rsidRDefault="00680F42">
    <w:pPr>
      <w:pStyle w:val="Normal00"/>
    </w:pPr>
  </w:p>
  <w:p w:rsidR="00680F42" w:rsidRPr="0003445A" w:rsidRDefault="00680F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347BF"/>
    <w:multiLevelType w:val="hybridMultilevel"/>
    <w:tmpl w:val="45B249C4"/>
    <w:lvl w:ilvl="0" w:tplc="27CC26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3A204A6"/>
    <w:multiLevelType w:val="hybridMultilevel"/>
    <w:tmpl w:val="2518800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4231932">
    <w:abstractNumId w:val="3"/>
  </w:num>
  <w:num w:numId="2" w16cid:durableId="2073112302">
    <w:abstractNumId w:val="2"/>
  </w:num>
  <w:num w:numId="3" w16cid:durableId="672102598">
    <w:abstractNumId w:val="1"/>
  </w:num>
  <w:num w:numId="4" w16cid:durableId="643047983">
    <w:abstractNumId w:val="0"/>
  </w:num>
  <w:num w:numId="5" w16cid:durableId="646399297">
    <w:abstractNumId w:val="7"/>
  </w:num>
  <w:num w:numId="6" w16cid:durableId="420612395">
    <w:abstractNumId w:val="6"/>
  </w:num>
  <w:num w:numId="7" w16cid:durableId="1578054981">
    <w:abstractNumId w:val="5"/>
  </w:num>
  <w:num w:numId="8" w16cid:durableId="1489830660">
    <w:abstractNumId w:val="4"/>
  </w:num>
  <w:num w:numId="9" w16cid:durableId="1308164543">
    <w:abstractNumId w:val="8"/>
  </w:num>
  <w:num w:numId="10" w16cid:durableId="935939804">
    <w:abstractNumId w:val="9"/>
  </w:num>
  <w:num w:numId="11" w16cid:durableId="408623509">
    <w:abstractNumId w:val="12"/>
  </w:num>
  <w:num w:numId="12" w16cid:durableId="596983939">
    <w:abstractNumId w:val="15"/>
  </w:num>
  <w:num w:numId="13" w16cid:durableId="604387328">
    <w:abstractNumId w:val="17"/>
  </w:num>
  <w:num w:numId="14" w16cid:durableId="547693584">
    <w:abstractNumId w:val="18"/>
  </w:num>
  <w:num w:numId="15" w16cid:durableId="1027487474">
    <w:abstractNumId w:val="13"/>
  </w:num>
  <w:num w:numId="16" w16cid:durableId="790779760">
    <w:abstractNumId w:val="20"/>
  </w:num>
  <w:num w:numId="17" w16cid:durableId="470244453">
    <w:abstractNumId w:val="19"/>
  </w:num>
  <w:num w:numId="18" w16cid:durableId="1555507535">
    <w:abstractNumId w:val="16"/>
  </w:num>
  <w:num w:numId="19" w16cid:durableId="2134593423">
    <w:abstractNumId w:val="14"/>
  </w:num>
  <w:num w:numId="20" w16cid:durableId="1415591782">
    <w:abstractNumId w:val="11"/>
  </w:num>
  <w:num w:numId="21" w16cid:durableId="2075813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0A96CCA-2200-4F16-8C69-143CE5A64D71},{F3B87775-A8BB-406C-A44B-19CEB86061DE},{9A79731D-6EA4-4282-8936-A0551B20D296},{0D538F46-9E5C-4A02-A54E-29E2D02F7B91},{840FBD9F-1C36-4E6C-BB06-CEA2576792B6},{2CF5D5F7-6B57-4062-8484-52B3CFF28847},{9A5F98B8-5D82-4A37-A12A-4600630C44F0}"/>
  </w:docVars>
  <w:rsids>
    <w:rsidRoot w:val="00B83E3F"/>
    <w:rsid w:val="0003445A"/>
    <w:rsid w:val="00680F42"/>
    <w:rsid w:val="00B83E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25D41D-2FE3-4C3B-99A9-0FF3752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ody1">
    <w:name w:val="Body 1"/>
    <w:pPr>
      <w:spacing w:after="200" w:line="276" w:lineRule="auto"/>
      <w:outlineLvl w:val="0"/>
    </w:pPr>
    <w:rPr>
      <w:rFonts w:ascii="Helvetica" w:eastAsia="?????? Pro W3" w:hAnsi="Helvetica"/>
      <w:color w:val="000000"/>
      <w:sz w:val="22"/>
      <w:lang w:val="en-US" w:eastAsia="sv-SE"/>
    </w:r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4400</Characters>
  <Application>Microsoft Office Word</Application>
  <DocSecurity>4</DocSecurity>
  <Lines>88</Lines>
  <Paragraphs>35</Paragraphs>
  <ScaleCrop>false</ScaleCrop>
  <HeadingPairs>
    <vt:vector size="2" baseType="variant">
      <vt:variant>
        <vt:lpstr>Rubrik</vt:lpstr>
      </vt:variant>
      <vt:variant>
        <vt:i4>1</vt:i4>
      </vt:variant>
    </vt:vector>
  </HeadingPairs>
  <TitlesOfParts>
    <vt:vector size="1" baseType="lpstr">
      <vt:lpstr>S25002</vt:lpstr>
    </vt:vector>
  </TitlesOfParts>
  <Company>Riksdagen</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S25002</dc:title>
  <dc:subject>S25002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2011-10-13T08:05:00Z</cp:lastPrinted>
  <dcterms:created xsi:type="dcterms:W3CDTF">2025-12-17T19:10:00Z</dcterms:created>
  <dcterms:modified xsi:type="dcterms:W3CDTF">2025-12-17T19:10:00Z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2011/12:6 Riksrevisionens rapport om statens stöd till studieförbunden</vt:lpwstr>
  </property>
  <property fmtid="{D5CDD505-2E9C-101B-9397-08002B2CF9AE}" pid="11" name="SvarFrasKort">
    <vt:lpwstr>med anledning av skr. 2011/12:6</vt:lpwstr>
  </property>
  <property fmtid="{D5CDD505-2E9C-101B-9397-08002B2CF9AE}" pid="12" name="Svar">
    <vt:lpwstr>Regeringsskrivelse</vt:lpwstr>
  </property>
  <property fmtid="{D5CDD505-2E9C-101B-9397-08002B2CF9AE}" pid="13" name="SvarNr">
    <vt:lpwstr>2011/12:6</vt:lpwstr>
  </property>
  <property fmtid="{D5CDD505-2E9C-101B-9397-08002B2CF9AE}" pid="14" name="RubrikSvar">
    <vt:lpwstr>Riksrevisionens rapport om statens stöd till studieförbunden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Högman m.fl. (S)</vt:lpwstr>
  </property>
  <property fmtid="{D5CDD505-2E9C-101B-9397-08002B2CF9AE}" pid="26" name="MotionarLista">
    <vt:lpwstr>Högman, Berit (S)\Johnsson, Peter (S)\Engle, Kerstin (S)\Svedberg, Per (S)\Zedell, Christina (S)\From, Isak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Peter Johnsson (S), Kerstin Engle (S), Per Svedberg (S), Christina Zedell (S), Isak From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20112012000000000083000250020075</vt:lpwstr>
  </property>
  <property fmtid="{D5CDD505-2E9C-101B-9397-08002B2CF9AE}" pid="47" name="datum">
    <vt:lpwstr>111005</vt:lpwstr>
  </property>
  <property fmtid="{D5CDD505-2E9C-101B-9397-08002B2CF9AE}" pid="48" name="avsändar-e-post">
    <vt:lpwstr>ulla.rydbeck@riksdagen.se</vt:lpwstr>
  </property>
  <property fmtid="{D5CDD505-2E9C-101B-9397-08002B2CF9AE}" pid="49" name="id">
    <vt:lpwstr>20112012000000000083000250020075</vt:lpwstr>
  </property>
  <property fmtid="{D5CDD505-2E9C-101B-9397-08002B2CF9AE}" pid="50" name="nummer">
    <vt:lpwstr>1</vt:lpwstr>
  </property>
  <property fmtid="{D5CDD505-2E9C-101B-9397-08002B2CF9AE}" pid="51" name="utskottsbeteckning">
    <vt:lpwstr>Kr</vt:lpwstr>
  </property>
  <property fmtid="{D5CDD505-2E9C-101B-9397-08002B2CF9AE}" pid="52" name="GlobalUID">
    <vt:lpwstr>{115D559D-FC87-40B2-9614-D3D2444F1339}</vt:lpwstr>
  </property>
  <property fmtid="{D5CDD505-2E9C-101B-9397-08002B2CF9AE}" pid="53" name="Överföringar">
    <vt:i4>0</vt:i4>
  </property>
  <property fmtid="{D5CDD505-2E9C-101B-9397-08002B2CF9AE}" pid="54" name="Checksum">
    <vt:lpwstr>*1014356883681*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111013 15:26:31.358</vt:lpwstr>
  </property>
  <property fmtid="{D5CDD505-2E9C-101B-9397-08002B2CF9AE}" pid="58" name="urixGuid">
    <vt:lpwstr>{06AE07BB-C0BD-457E-9D6C-D12896F39D3B}</vt:lpwstr>
  </property>
</Properties>
</file>