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997" w:rsidRPr="00845997" w:rsidRDefault="00845997">
      <w:pPr>
        <w:pStyle w:val="Frslagsrubrik"/>
      </w:pPr>
      <w:r w:rsidRPr="00845997">
        <w:t>Förslag till riksdagsbeslut</w:t>
      </w:r>
    </w:p>
    <w:p w:rsidR="00845997" w:rsidRPr="00845997" w:rsidRDefault="00845997">
      <w:pPr>
        <w:pStyle w:val="Hemstlatt"/>
        <w:ind w:left="0"/>
      </w:pPr>
      <w:r w:rsidRPr="00845997">
        <w:t>Riksdagen tillkännager för regeringen som sin mening vad som anförs i motionen om en proportionalitetsprincip vid fackliga strid</w:t>
      </w:r>
      <w:r w:rsidRPr="00845997">
        <w:t>s</w:t>
      </w:r>
      <w:r w:rsidRPr="00845997">
        <w:t>åtgärder.</w:t>
      </w:r>
    </w:p>
    <w:p w:rsidR="00845997" w:rsidRPr="00845997" w:rsidRDefault="00845997">
      <w:pPr>
        <w:pStyle w:val="Rubrik1"/>
      </w:pPr>
      <w:r w:rsidRPr="00845997">
        <w:t>Motivering</w:t>
      </w:r>
    </w:p>
    <w:p w:rsidR="00845997" w:rsidRPr="00845997" w:rsidRDefault="00845997">
      <w:r w:rsidRPr="00845997">
        <w:t>Den svenska modellen är ett beprövat system med två parter som represent</w:t>
      </w:r>
      <w:r w:rsidRPr="00845997">
        <w:t>e</w:t>
      </w:r>
      <w:r w:rsidRPr="00845997">
        <w:t>rar dels arbetstagare, dels arbetsgivare. Förhandlingar mellan parterna sker utan inblandning från staten, vilket innebär att ett stort ansvar vilar på dessa parter. De måste således agera omsorgsfullt och med insikt vad beträffar den roll de har i samhället. Detta i syfte att bibehålla trovärdighet och förtroende från medborgarna.</w:t>
      </w:r>
    </w:p>
    <w:p w:rsidR="00845997" w:rsidRPr="00845997" w:rsidRDefault="00845997">
      <w:pPr>
        <w:pStyle w:val="Normaltindrag"/>
      </w:pPr>
      <w:r w:rsidRPr="00845997">
        <w:t>För större företag är kollektivavtalen en praktisk lösning. Detta har vitso</w:t>
      </w:r>
      <w:r w:rsidRPr="00845997">
        <w:t>r</w:t>
      </w:r>
      <w:r w:rsidRPr="00845997">
        <w:t>dats av bland annat företrädare för näringslivet, fackliga organisationer och politiska partier. Den svenska modellen har fungerat relativt väl inom arbet</w:t>
      </w:r>
      <w:r w:rsidRPr="00845997">
        <w:t>s</w:t>
      </w:r>
      <w:r w:rsidRPr="00845997">
        <w:t>rätten för stora och medelstora företag. Konstruktionen av modellen är dock inte alltid ändamålsenlig för små företag, med endast en eller några anställda.</w:t>
      </w:r>
    </w:p>
    <w:p w:rsidR="00845997" w:rsidRPr="00845997" w:rsidRDefault="00845997">
      <w:pPr>
        <w:pStyle w:val="Normaltindrag"/>
      </w:pPr>
      <w:r w:rsidRPr="00845997">
        <w:t>Under de senaste åren har vi sett hur olika fackförbund har visat sitt mis</w:t>
      </w:r>
      <w:r w:rsidRPr="00845997">
        <w:t>s</w:t>
      </w:r>
      <w:r w:rsidRPr="00845997">
        <w:t>nöje i olika förhandlingar genom aktioner, som har överskridit rimlighetens krav. Detta har bland annat skett via strejker, vars effekter inte har stått i pr</w:t>
      </w:r>
      <w:r w:rsidRPr="00845997">
        <w:t>o</w:t>
      </w:r>
      <w:r w:rsidRPr="00845997">
        <w:t>portion till sina ändamål. Främst har problemet dock legat i de så kallade sympatiåtgärderna. Det är en form av strejk där inte endast medlemmar i det förbund som strejkar deltar utan även andra fackliga förbund. Konsekvense</w:t>
      </w:r>
      <w:r w:rsidRPr="00845997">
        <w:t>r</w:t>
      </w:r>
      <w:r w:rsidRPr="00845997">
        <w:t>na kan bli förödande för såväl det enskilda företaget som den enskilde a</w:t>
      </w:r>
      <w:r w:rsidRPr="00845997">
        <w:t>n</w:t>
      </w:r>
      <w:r w:rsidRPr="00845997">
        <w:t>ställde.</w:t>
      </w:r>
    </w:p>
    <w:p w:rsidR="00845997" w:rsidRPr="00845997" w:rsidRDefault="00845997">
      <w:pPr>
        <w:pStyle w:val="Normaltindrag"/>
      </w:pPr>
      <w:r w:rsidRPr="00845997">
        <w:rPr>
          <w:spacing w:val="4"/>
        </w:rPr>
        <w:t>Synergieffekten som uppstår när ett litet före</w:t>
      </w:r>
      <w:r w:rsidRPr="00845997">
        <w:rPr>
          <w:spacing w:val="4"/>
        </w:rPr>
        <w:t>tag sätts i blockad och när andra fackförbund deltar i den</w:t>
      </w:r>
      <w:r w:rsidRPr="00845997">
        <w:t xml:space="preserve">na får negativa konsekvenser. Blockader skrämmer iväg kunder och med exempelvis utebliven sophämtning skapas en </w:t>
      </w:r>
      <w:r w:rsidRPr="00845997">
        <w:lastRenderedPageBreak/>
        <w:t>hälsofarlig arbetsplats, som inte kan fungera normalt. Vi har också sett exe</w:t>
      </w:r>
      <w:r w:rsidRPr="00845997">
        <w:t>m</w:t>
      </w:r>
      <w:r w:rsidRPr="00845997">
        <w:t>pel på blockader som har drivit företag i konkurs. Bakom dessa tvister kan det ligga en ovilja att skriva på ett kollektivavtal, trots att rådande arbetsförhå</w:t>
      </w:r>
      <w:r w:rsidRPr="00845997">
        <w:t>l</w:t>
      </w:r>
      <w:r w:rsidRPr="00845997">
        <w:t>landen är likvärdiga de kollektivavtalsenliga villkoren och accepterade av de anställda.</w:t>
      </w:r>
    </w:p>
    <w:p w:rsidR="00845997" w:rsidRPr="00845997" w:rsidRDefault="00845997">
      <w:pPr>
        <w:pStyle w:val="Normaltindrag"/>
      </w:pPr>
      <w:r w:rsidRPr="00845997">
        <w:t>Att värna den sve</w:t>
      </w:r>
      <w:r w:rsidRPr="00845997">
        <w:t>nska modellen behöver inte stå i motsättning till att värna svenska företag, dess anställda eller, för den skull, avtalsfriheten. Att tvinga fram en konkurs genom blockad och sympatiåtgärder står inte i proportion till målet – att förmå någon att skriva under ett valfritt avtal.</w:t>
      </w:r>
    </w:p>
    <w:p w:rsidR="00845997" w:rsidRPr="00845997" w:rsidRDefault="00845997">
      <w:pPr>
        <w:pStyle w:val="Normaltindrag"/>
        <w:rPr>
          <w:szCs w:val="24"/>
        </w:rPr>
      </w:pPr>
      <w:r w:rsidRPr="00845997">
        <w:t>Det statliga betänkandet SOU 1998:141 från år 1998 är tydligt med vad en proportionalitetsprincip skulle innebära. Det förslås att rätten till stridsåtgä</w:t>
      </w:r>
      <w:r w:rsidRPr="00845997">
        <w:t>r</w:t>
      </w:r>
      <w:r w:rsidRPr="00845997">
        <w:t>der begränsas genom införandet av en sådan princip. Proportionalitetsprinc</w:t>
      </w:r>
      <w:r w:rsidRPr="00845997">
        <w:t>i</w:t>
      </w:r>
      <w:r w:rsidRPr="00845997">
        <w:t>pen utgår från relationen mellan en vidtagen stridåtgärd och skadan den föro</w:t>
      </w:r>
      <w:r w:rsidRPr="00845997">
        <w:t>r</w:t>
      </w:r>
      <w:r w:rsidRPr="00845997">
        <w:t xml:space="preserve">sakar. En stridsåtgärd som förväntas leda till skada eller annan olägenhet, och som står i uppenbart </w:t>
      </w:r>
      <w:r w:rsidRPr="00845997">
        <w:rPr>
          <w:szCs w:val="24"/>
        </w:rPr>
        <w:t>missförhållande till åtgärdens omfattning, skall kunna förklaras olovlig.</w:t>
      </w:r>
    </w:p>
    <w:p w:rsidR="00845997" w:rsidRPr="00845997" w:rsidRDefault="00845997">
      <w:pPr>
        <w:pStyle w:val="Normaltindrag"/>
      </w:pPr>
      <w:r w:rsidRPr="00845997">
        <w:rPr>
          <w:color w:val="000000"/>
          <w:szCs w:val="24"/>
        </w:rPr>
        <w:t>Arbetsmarknadsutskottet konstaterade i sitt betänkande 2009/10:AU5 att det vid en internationell jämförelse visat sig att såväl antalet konflikter som antalet arbetstvister i övrigt på</w:t>
      </w:r>
      <w:r w:rsidRPr="00845997">
        <w:rPr>
          <w:color w:val="000000"/>
          <w:szCs w:val="24"/>
        </w:rPr>
        <w:t xml:space="preserve"> den svenska arbetsmarknaden är lågt. Det må vara sant, men även om de är få kan det vara nog så förödande. </w:t>
      </w:r>
      <w:r w:rsidRPr="00845997">
        <w:rPr>
          <w:szCs w:val="24"/>
        </w:rPr>
        <w:t>Det bästa vore om parterna självmant kunde komma överens om en</w:t>
      </w:r>
      <w:r w:rsidRPr="00845997">
        <w:t xml:space="preserve"> proportionalitetsprincip, vilket gynnar såväl arbetstagare som arbetsgivare. Då detta inte alltid är mö</w:t>
      </w:r>
      <w:r w:rsidRPr="00845997">
        <w:t>j</w:t>
      </w:r>
      <w:r w:rsidRPr="00845997">
        <w:t>ligt kan det finnas anledning för regeringen att överväga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5997">
        <w:trPr>
          <w:cantSplit/>
        </w:trPr>
        <w:tc>
          <w:tcPr>
            <w:tcW w:w="3046" w:type="dxa"/>
          </w:tcPr>
          <w:p w:rsidR="00845997" w:rsidRPr="00845997" w:rsidRDefault="00845997">
            <w:pPr>
              <w:pStyle w:val="UnderskriftDatum"/>
              <w:spacing w:before="240"/>
            </w:pPr>
            <w:r w:rsidRPr="00845997">
              <w:t>Stockholm den 15 oktober 2010</w:t>
            </w:r>
          </w:p>
        </w:tc>
        <w:tc>
          <w:tcPr>
            <w:tcW w:w="3047" w:type="dxa"/>
          </w:tcPr>
          <w:p w:rsidR="00845997" w:rsidRPr="00845997" w:rsidRDefault="00845997">
            <w:pPr>
              <w:pStyle w:val="Underskrifter"/>
              <w:spacing w:before="240"/>
            </w:pPr>
          </w:p>
        </w:tc>
      </w:tr>
      <w:tr w:rsidR="00000000" w:rsidRPr="00845997">
        <w:trPr>
          <w:cantSplit/>
        </w:trPr>
        <w:tc>
          <w:tcPr>
            <w:tcW w:w="3046" w:type="dxa"/>
          </w:tcPr>
          <w:p w:rsidR="00845997" w:rsidRPr="00845997" w:rsidRDefault="00845997">
            <w:pPr>
              <w:pStyle w:val="Underskrifter"/>
            </w:pPr>
            <w:r w:rsidRPr="00845997">
              <w:t>Ulrika Karlsson i Uppsala (M)</w:t>
            </w:r>
          </w:p>
        </w:tc>
        <w:tc>
          <w:tcPr>
            <w:tcW w:w="3046" w:type="dxa"/>
          </w:tcPr>
          <w:p w:rsidR="00845997" w:rsidRPr="00845997" w:rsidRDefault="00845997">
            <w:pPr>
              <w:pStyle w:val="Underskrifter"/>
            </w:pPr>
          </w:p>
        </w:tc>
      </w:tr>
    </w:tbl>
    <w:p w:rsidR="00845997" w:rsidRPr="00845997" w:rsidRDefault="00845997">
      <w:pPr>
        <w:pStyle w:val="Normaltindrag"/>
      </w:pPr>
    </w:p>
    <w:sectPr w:rsidR="00000000" w:rsidRPr="008459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997" w:rsidRPr="00845997" w:rsidRDefault="00845997">
      <w:r w:rsidRPr="00845997">
        <w:separator/>
      </w:r>
    </w:p>
  </w:endnote>
  <w:endnote w:type="continuationSeparator" w:id="0">
    <w:p w:rsidR="00845997" w:rsidRPr="00845997" w:rsidRDefault="00845997">
      <w:r w:rsidRPr="008459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997" w:rsidRPr="00845997" w:rsidRDefault="00845997">
    <w:pPr>
      <w:pStyle w:val="Sidfot"/>
    </w:pPr>
    <w:r w:rsidRPr="008459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20866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997" w:rsidRDefault="008459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5997" w:rsidRDefault="008459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997" w:rsidRPr="00845997" w:rsidRDefault="00845997">
    <w:pPr>
      <w:pStyle w:val="Sidfot"/>
    </w:pPr>
    <w:r w:rsidRPr="008459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343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997" w:rsidRDefault="008459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5997" w:rsidRDefault="008459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997" w:rsidRPr="00845997" w:rsidRDefault="00845997">
    <w:pPr>
      <w:pStyle w:val="Sidfot"/>
    </w:pPr>
    <w:r w:rsidRPr="008459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574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997" w:rsidRDefault="008459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5997" w:rsidRDefault="008459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997" w:rsidRPr="00845997" w:rsidRDefault="00845997">
      <w:r w:rsidRPr="00845997">
        <w:separator/>
      </w:r>
    </w:p>
  </w:footnote>
  <w:footnote w:type="continuationSeparator" w:id="0">
    <w:p w:rsidR="00845997" w:rsidRPr="00845997" w:rsidRDefault="00845997">
      <w:r w:rsidRPr="008459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997" w:rsidRPr="00845997" w:rsidRDefault="00845997">
    <w:pPr>
      <w:pStyle w:val="Sidhuvud"/>
    </w:pPr>
    <w:r w:rsidRPr="008459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46583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997" w:rsidRDefault="008459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5997" w:rsidRDefault="008459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997" w:rsidRPr="00845997" w:rsidRDefault="00845997">
    <w:pPr>
      <w:pStyle w:val="Sidhuvud"/>
    </w:pPr>
    <w:r w:rsidRPr="008459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5572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997" w:rsidRDefault="008459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5997" w:rsidRDefault="008459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997" w:rsidRPr="00845997" w:rsidRDefault="00845997">
    <w:pPr>
      <w:pStyle w:val="FSHNormal"/>
      <w:tabs>
        <w:tab w:val="right" w:pos="5840"/>
      </w:tabs>
    </w:pPr>
    <w:r w:rsidRPr="00845997">
      <w:br/>
    </w:r>
    <w:r w:rsidRPr="00845997">
      <w:fldChar w:fldCharType="begin" w:fldLock="1"/>
    </w:r>
    <w:r w:rsidRPr="00845997">
      <w:instrText xml:space="preserve"> DOCPROPERTY</w:instrText>
    </w:r>
    <w:r w:rsidRPr="00845997">
      <w:rPr>
        <w:sz w:val="18"/>
      </w:rPr>
      <w:instrText xml:space="preserve"> "YearUser" *\charformat </w:instrText>
    </w:r>
    <w:r w:rsidRPr="00845997">
      <w:fldChar w:fldCharType="separate"/>
    </w:r>
    <w:r w:rsidRPr="00845997">
      <w:t>2010/11</w:t>
    </w:r>
    <w:r w:rsidRPr="00845997">
      <w:fldChar w:fldCharType="end"/>
    </w:r>
    <w:r w:rsidRPr="00845997">
      <w:t xml:space="preserve"> </w:t>
    </w:r>
    <w:r w:rsidRPr="00845997">
      <w:tab/>
      <w:t xml:space="preserve">mnr: </w:t>
    </w:r>
    <w:r w:rsidRPr="00845997">
      <w:fldChar w:fldCharType="begin" w:fldLock="1"/>
    </w:r>
    <w:r w:rsidRPr="00845997">
      <w:instrText xml:space="preserve"> DOCPROPERTY</w:instrText>
    </w:r>
    <w:r w:rsidRPr="00845997">
      <w:rPr>
        <w:sz w:val="18"/>
      </w:rPr>
      <w:instrText xml:space="preserve"> "Motionsnummer" *\charformat </w:instrText>
    </w:r>
    <w:r w:rsidRPr="00845997">
      <w:fldChar w:fldCharType="separate"/>
    </w:r>
    <w:r w:rsidRPr="00845997">
      <w:t>A361</w:t>
    </w:r>
    <w:r w:rsidRPr="00845997">
      <w:fldChar w:fldCharType="end"/>
    </w:r>
    <w:r w:rsidRPr="00845997">
      <w:br/>
    </w:r>
    <w:r w:rsidRPr="00845997">
      <w:fldChar w:fldCharType="begin" w:fldLock="1"/>
    </w:r>
    <w:r w:rsidRPr="00845997">
      <w:instrText xml:space="preserve"> DOCPROPERTY</w:instrText>
    </w:r>
    <w:r w:rsidRPr="00845997">
      <w:rPr>
        <w:sz w:val="18"/>
      </w:rPr>
      <w:instrText xml:space="preserve"> "Samling" *\charformat </w:instrText>
    </w:r>
    <w:r w:rsidRPr="00845997">
      <w:fldChar w:fldCharType="end"/>
    </w:r>
    <w:r w:rsidRPr="00845997">
      <w:tab/>
      <w:t xml:space="preserve">pnr: </w:t>
    </w:r>
    <w:r w:rsidRPr="00845997">
      <w:fldChar w:fldCharType="begin" w:fldLock="1"/>
    </w:r>
    <w:r w:rsidRPr="00845997">
      <w:instrText xml:space="preserve"> DOCPROPERTY</w:instrText>
    </w:r>
    <w:r w:rsidRPr="00845997">
      <w:rPr>
        <w:sz w:val="18"/>
      </w:rPr>
      <w:instrText xml:space="preserve"> "Partinummer" *\charformat </w:instrText>
    </w:r>
    <w:r w:rsidRPr="00845997">
      <w:fldChar w:fldCharType="separate"/>
    </w:r>
    <w:r w:rsidRPr="00845997">
      <w:t>M1604</w:t>
    </w:r>
    <w:r w:rsidRPr="00845997">
      <w:fldChar w:fldCharType="end"/>
    </w:r>
  </w:p>
  <w:p w:rsidR="00845997" w:rsidRPr="00845997" w:rsidRDefault="00845997">
    <w:pPr>
      <w:pStyle w:val="FSHRub1"/>
    </w:pPr>
    <w:r w:rsidRPr="00845997">
      <w:t>Motion till riksdagen</w:t>
    </w:r>
    <w:r w:rsidRPr="00845997">
      <w:br/>
    </w:r>
    <w:r w:rsidRPr="00845997">
      <w:fldChar w:fldCharType="begin" w:fldLock="1"/>
    </w:r>
    <w:r w:rsidRPr="00845997">
      <w:instrText xml:space="preserve"> DOCPROPERTY "YearUser" *\charformat </w:instrText>
    </w:r>
    <w:r w:rsidRPr="00845997">
      <w:fldChar w:fldCharType="separate"/>
    </w:r>
    <w:r w:rsidRPr="00845997">
      <w:t>2010/11</w:t>
    </w:r>
    <w:r w:rsidRPr="00845997">
      <w:fldChar w:fldCharType="end"/>
    </w:r>
    <w:r w:rsidRPr="00845997">
      <w:t>:</w:t>
    </w:r>
    <w:r w:rsidRPr="00845997">
      <w:fldChar w:fldCharType="begin" w:fldLock="1"/>
    </w:r>
    <w:r w:rsidRPr="00845997">
      <w:instrText xml:space="preserve"> DOCPROPERTY "Motionsnummer" *\charformat </w:instrText>
    </w:r>
    <w:r w:rsidRPr="00845997">
      <w:fldChar w:fldCharType="separate"/>
    </w:r>
    <w:r w:rsidRPr="00845997">
      <w:t>A361</w:t>
    </w:r>
    <w:r w:rsidRPr="00845997">
      <w:fldChar w:fldCharType="end"/>
    </w:r>
  </w:p>
  <w:p w:rsidR="00845997" w:rsidRPr="00845997" w:rsidRDefault="00845997">
    <w:pPr>
      <w:pStyle w:val="FSHNormalS5"/>
    </w:pPr>
    <w:r w:rsidRPr="00845997">
      <w:fldChar w:fldCharType="begin" w:fldLock="1"/>
    </w:r>
    <w:r w:rsidRPr="00845997">
      <w:instrText xml:space="preserve"> DOCPROPERTY "MotionarText" *\charformat </w:instrText>
    </w:r>
    <w:r w:rsidRPr="00845997">
      <w:fldChar w:fldCharType="separate"/>
    </w:r>
    <w:r w:rsidRPr="00845997">
      <w:t>av Ulrika Karlsson i Uppsala (M)</w:t>
    </w:r>
    <w:r w:rsidRPr="00845997">
      <w:fldChar w:fldCharType="end"/>
    </w:r>
    <w:r w:rsidRPr="00845997">
      <w:br/>
    </w:r>
    <w:r w:rsidRPr="00845997">
      <w:fldChar w:fldCharType="begin" w:fldLock="1"/>
    </w:r>
    <w:r w:rsidRPr="00845997">
      <w:instrText xml:space="preserve"> DOCPROPERTY "SvarFrasKort" *\charformat </w:instrText>
    </w:r>
    <w:r w:rsidRPr="00845997">
      <w:fldChar w:fldCharType="end"/>
    </w:r>
  </w:p>
  <w:p w:rsidR="00845997" w:rsidRPr="00845997" w:rsidRDefault="00845997">
    <w:pPr>
      <w:pStyle w:val="FSHTitel"/>
    </w:pPr>
    <w:r w:rsidRPr="00845997">
      <w:fldChar w:fldCharType="begin" w:fldLock="1"/>
    </w:r>
    <w:r w:rsidRPr="00845997">
      <w:instrText xml:space="preserve"> DOCPROPERTY</w:instrText>
    </w:r>
    <w:r w:rsidRPr="00845997">
      <w:rPr>
        <w:sz w:val="18"/>
      </w:rPr>
      <w:instrText xml:space="preserve"> "RubrikSvar" *\charformat </w:instrText>
    </w:r>
    <w:r w:rsidRPr="00845997">
      <w:fldChar w:fldCharType="separate"/>
    </w:r>
    <w:r w:rsidRPr="00845997">
      <w:t>Proportionalitetsprincip vid fackliga stridsåtgärder</w:t>
    </w:r>
    <w:r w:rsidRPr="00845997">
      <w:fldChar w:fldCharType="end"/>
    </w:r>
  </w:p>
  <w:p w:rsidR="00845997" w:rsidRPr="00845997" w:rsidRDefault="00845997">
    <w:pPr>
      <w:pStyle w:val="Normal00"/>
    </w:pPr>
  </w:p>
  <w:p w:rsidR="00845997" w:rsidRPr="00845997" w:rsidRDefault="008459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9989938">
    <w:abstractNumId w:val="3"/>
  </w:num>
  <w:num w:numId="2" w16cid:durableId="1987975575">
    <w:abstractNumId w:val="2"/>
  </w:num>
  <w:num w:numId="3" w16cid:durableId="2018000236">
    <w:abstractNumId w:val="1"/>
  </w:num>
  <w:num w:numId="4" w16cid:durableId="231352607">
    <w:abstractNumId w:val="0"/>
  </w:num>
  <w:num w:numId="5" w16cid:durableId="966280800">
    <w:abstractNumId w:val="7"/>
  </w:num>
  <w:num w:numId="6" w16cid:durableId="548608759">
    <w:abstractNumId w:val="6"/>
  </w:num>
  <w:num w:numId="7" w16cid:durableId="819732276">
    <w:abstractNumId w:val="5"/>
  </w:num>
  <w:num w:numId="8" w16cid:durableId="1471437373">
    <w:abstractNumId w:val="4"/>
  </w:num>
  <w:num w:numId="9" w16cid:durableId="586841810">
    <w:abstractNumId w:val="8"/>
  </w:num>
  <w:num w:numId="10" w16cid:durableId="529028007">
    <w:abstractNumId w:val="9"/>
  </w:num>
  <w:num w:numId="11" w16cid:durableId="2053114063">
    <w:abstractNumId w:val="10"/>
  </w:num>
  <w:num w:numId="12" w16cid:durableId="348333456">
    <w:abstractNumId w:val="13"/>
  </w:num>
  <w:num w:numId="13" w16cid:durableId="790519900">
    <w:abstractNumId w:val="15"/>
  </w:num>
  <w:num w:numId="14" w16cid:durableId="105278216">
    <w:abstractNumId w:val="16"/>
  </w:num>
  <w:num w:numId="15" w16cid:durableId="1930114544">
    <w:abstractNumId w:val="11"/>
  </w:num>
  <w:num w:numId="16" w16cid:durableId="1872962032">
    <w:abstractNumId w:val="18"/>
  </w:num>
  <w:num w:numId="17" w16cid:durableId="543521501">
    <w:abstractNumId w:val="17"/>
  </w:num>
  <w:num w:numId="18" w16cid:durableId="982470031">
    <w:abstractNumId w:val="14"/>
  </w:num>
  <w:num w:numId="19" w16cid:durableId="697049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B11711"/>
    <w:rsid w:val="00845997"/>
    <w:rsid w:val="00B117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4F0C980-D188-444C-8F2C-EA542E12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2930</Characters>
  <Application>Microsoft Office Word</Application>
  <DocSecurity>4</DocSecurity>
  <Lines>53</Lines>
  <Paragraphs>14</Paragraphs>
  <ScaleCrop>false</ScaleCrop>
  <HeadingPairs>
    <vt:vector size="2" baseType="variant">
      <vt:variant>
        <vt:lpstr>Rubrik</vt:lpstr>
      </vt:variant>
      <vt:variant>
        <vt:i4>1</vt:i4>
      </vt:variant>
    </vt:vector>
  </HeadingPairs>
  <TitlesOfParts>
    <vt:vector size="1" baseType="lpstr">
      <vt:lpstr>m1604</vt:lpstr>
    </vt:vector>
  </TitlesOfParts>
  <Company>Riksdagen</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m1604</dc:title>
  <dc:subject>m1604</dc:subject>
  <dc:creator>Riksdagen</dc:creator>
  <cp:keywords>Riksdagen</cp:keywords>
  <dc:description>Versal/gemen i partibeteckning. Gemen i tryck för 0910, versal för 1011 och nyare</dc:description>
  <cp:lastModifiedBy>Lars Brink</cp:lastModifiedBy>
  <cp:revision>2</cp:revision>
  <cp:lastPrinted>2010-12-05T07:17:00Z</cp:lastPrinted>
  <dcterms:created xsi:type="dcterms:W3CDTF">2025-12-18T00:21:00Z</dcterms:created>
  <dcterms:modified xsi:type="dcterms:W3CDTF">2025-12-18T00:21:00Z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Proportionalitetsprincip vid fackliga stridsåtgärder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Proportionalitetsprincip vid fackliga stridsåtgärder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20102011000000000109000016040069</vt:lpwstr>
  </property>
  <property fmtid="{D5CDD505-2E9C-101B-9397-08002B2CF9AE}" pid="47" name="datum">
    <vt:lpwstr>101015</vt:lpwstr>
  </property>
  <property fmtid="{D5CDD505-2E9C-101B-9397-08002B2CF9AE}" pid="48" name="avsändar-e-post">
    <vt:lpwstr>therez.olsson@riksdagen.se</vt:lpwstr>
  </property>
  <property fmtid="{D5CDD505-2E9C-101B-9397-08002B2CF9AE}" pid="49" name="id">
    <vt:lpwstr>20102011000000000109000016040069</vt:lpwstr>
  </property>
  <property fmtid="{D5CDD505-2E9C-101B-9397-08002B2CF9AE}" pid="50" name="nummer">
    <vt:lpwstr>361</vt:lpwstr>
  </property>
  <property fmtid="{D5CDD505-2E9C-101B-9397-08002B2CF9AE}" pid="51" name="utskottsbeteckning">
    <vt:lpwstr>A</vt:lpwstr>
  </property>
  <property fmtid="{D5CDD505-2E9C-101B-9397-08002B2CF9AE}" pid="52" name="GlobalUID">
    <vt:lpwstr>{761F73AB-589E-4333-9567-50EAB89E46C2}</vt:lpwstr>
  </property>
  <property fmtid="{D5CDD505-2E9C-101B-9397-08002B2CF9AE}" pid="53" name="Överföringar">
    <vt:i4>0</vt:i4>
  </property>
  <property fmtid="{D5CDD505-2E9C-101B-9397-08002B2CF9AE}" pid="54" name="Checksum">
    <vt:lpwstr>*0007979585255*</vt:lpwstr>
  </property>
  <property fmtid="{D5CDD505-2E9C-101B-9397-08002B2CF9AE}" pid="55" name="skuggnummer">
    <vt:lpwstr>2212</vt:lpwstr>
  </property>
  <property fmtid="{D5CDD505-2E9C-101B-9397-08002B2CF9AE}" pid="56" name="urixVersion">
    <vt:lpwstr>4.3.2.0</vt:lpwstr>
  </property>
  <property fmtid="{D5CDD505-2E9C-101B-9397-08002B2CF9AE}" pid="57" name="urixOrigin">
    <vt:lpwstr>101205 08:18:02.659</vt:lpwstr>
  </property>
  <property fmtid="{D5CDD505-2E9C-101B-9397-08002B2CF9AE}" pid="58" name="urixGuid">
    <vt:lpwstr>{D8421B46-B22E-412F-867E-6B751D4C2719}</vt:lpwstr>
  </property>
</Properties>
</file>