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31 maj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juni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2020/21:49 Torsdagen den 27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2020/21:771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relationer med Belarus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2020/21:204 Aggressionsbrottet i svensk rätt och svensk straffrättslig domsrätt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2020/21:FiU33 Ändringar i regelverket om hantering av finansiella företag i kris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2020/21:FiU47 Genomförande av ändringar i Solvens II-direktivet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2020/21:FiU50 Nya kapitaltäckningsregler för värdepappersbolag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2020/21:SoU16 Hälso- och sjukvårdens organisation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2020/21:666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Biobränsle och klimat- och miljömålen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2020/21:680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Strandskyddets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2020/21:715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Besked gällande slutförvaret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2020/21:718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Vindkraft och spridning av mikroplaster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2020/21:723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Likvärdig bedömning och tillsyn av impregnerat trä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2020/21:733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Vindkraftens påverkan på djurlivet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2020/21:734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ökad trafiksäkerhet för jakthundar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2020/21:684 av Charlotte Quensel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Trängselskatt och smittspridning i kollektivtrafiken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2020/21:703 av Johnny Skalin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Överskattning av skatteintäkter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2020/21:706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Inbetalning av skatter man fått anstånd med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2020/21:732 av David Lång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2020/21:722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Objektiv undervisning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2020/21:747 av Michael Rubbestad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Olämplig information inom sex och samlevnad i mellanstadiet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31 maj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2021-05-31</SAFIR_Sammantradesdatum_Doc>
    <SAFIR_SammantradeID xmlns="C07A1A6C-0B19-41D9-BDF8-F523BA3921EB">1fc7c2cb-f268-422d-b63a-87e858e3bd48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1EC1C-4CB4-4773-9D28-AF8182EA0C3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31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