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364" w:rsidRPr="00420F2D" w:rsidRDefault="0076075C">
      <w:pPr>
        <w:pStyle w:val="Rubrik1"/>
        <w:shd w:val="clear" w:color="000000" w:fill="auto"/>
      </w:pPr>
      <w:r w:rsidRPr="00420F2D">
        <w:t>Sammanfattning av Vänsterpartiets budgetförslag</w:t>
      </w:r>
    </w:p>
    <w:p w:rsidR="00501364" w:rsidRPr="00420F2D" w:rsidRDefault="0076075C">
      <w:pPr>
        <w:shd w:val="clear" w:color="000000" w:fill="auto"/>
      </w:pPr>
      <w:r w:rsidRPr="00420F2D">
        <w:t>Vänsterpartiet avvisar regeringens förslag till neddragningar av Banverkets anslag med totalt 210 miljoner kronor. För att minska tågförseningar, höja kvaliteten och få fler att ta tåget, vill vi under en treårsperiod avsätta 2 250 miljoner kronor till ökat banunderhåll. Vi avsätter också 1 000 miljoner kronor under en femårsperiod för att rädda nedläggningshotade bansträckor. Vi vill utöka sjöfartens kapacitet in och ut från Mälaren och avsätter resurser som möjliggör en utbyggnad av Södertälje sluss. Inom kollektivtrafiken a</w:t>
      </w:r>
      <w:r w:rsidRPr="00420F2D">
        <w:t>v</w:t>
      </w:r>
      <w:r w:rsidRPr="00420F2D">
        <w:t>sätter vi under treårsperiod 2 250 miljoner kronor för att ge den lokala och regionala kollektivtrafiken möjlighet att utvecklas under långsiktigt stabila förutsättningar. Vi anser att staten ska stödja forskning och uppförande av pilot- och demoanläggningar som tillverkar förnybara drivmedel och avsätter därför 100 miljoner kronor till ett forsknings-, utvecklings- och demonstr</w:t>
      </w:r>
      <w:r w:rsidRPr="00420F2D">
        <w:t>a</w:t>
      </w:r>
      <w:r w:rsidRPr="00420F2D">
        <w:t>tionsprogram. Till sist vill vi minska den digitala klyftan i samhället genom att ge Folkbildningsförbundet i uppdrag att starta ett informations- och utbil</w:t>
      </w:r>
      <w:r w:rsidRPr="00420F2D">
        <w:t>d</w:t>
      </w:r>
      <w:r w:rsidRPr="00420F2D">
        <w:t>ningsprojekt som ska aktivera de människor som inte har tillgång till eller av olika anledningar inte använder sig av Internet.</w:t>
      </w:r>
    </w:p>
    <w:p w:rsidR="00501364" w:rsidRPr="00420F2D" w:rsidRDefault="0076075C">
      <w:pPr>
        <w:pStyle w:val="Hemstlrubrik"/>
        <w:pageBreakBefore/>
        <w:shd w:val="clear" w:color="000000" w:fill="auto"/>
        <w:spacing w:before="0"/>
      </w:pPr>
      <w:r w:rsidRPr="00420F2D">
        <w:lastRenderedPageBreak/>
        <w:t>Förslag till riksdagsbeslut</w:t>
      </w:r>
    </w:p>
    <w:p w:rsidR="00BB2406" w:rsidRPr="00420F2D" w:rsidRDefault="00BB2406">
      <w:pPr>
        <w:pStyle w:val="Hemstlatt"/>
        <w:numPr>
          <w:ilvl w:val="0"/>
          <w:numId w:val="1"/>
        </w:numPr>
        <w:shd w:val="clear" w:color="000000" w:fill="auto"/>
      </w:pPr>
      <w:r w:rsidRPr="00420F2D">
        <w:t>Riksdagen tillkännager för regeringen som sin mening vad i motionen anförs om att förslaget till investeringsplan bör justeras inom den föreslagna låneramen så att posten Farleder förstärks med 41 miljoner kronor.</w:t>
      </w:r>
    </w:p>
    <w:p w:rsidR="00BB2406" w:rsidRPr="00420F2D" w:rsidRDefault="00BB2406">
      <w:pPr>
        <w:pStyle w:val="Hemstlatt"/>
        <w:numPr>
          <w:ilvl w:val="0"/>
          <w:numId w:val="1"/>
        </w:numPr>
        <w:shd w:val="clear" w:color="000000" w:fill="auto"/>
      </w:pPr>
      <w:r w:rsidRPr="00420F2D">
        <w:t>Riksdagen anvisar med följande ändringar i förhållande till regeringens förslag anslagen under utgiftsområde 22 Kommunikationer enligt uppställning:</w:t>
      </w:r>
    </w:p>
    <w:tbl>
      <w:tblPr>
        <w:tblW w:w="5897" w:type="dxa"/>
        <w:tblInd w:w="55" w:type="dxa"/>
        <w:tblLayout w:type="fixed"/>
        <w:tblCellMar>
          <w:left w:w="70" w:type="dxa"/>
          <w:right w:w="70" w:type="dxa"/>
        </w:tblCellMar>
        <w:tblLook w:val="0000" w:firstRow="0" w:lastRow="0" w:firstColumn="0" w:lastColumn="0" w:noHBand="0" w:noVBand="0"/>
      </w:tblPr>
      <w:tblGrid>
        <w:gridCol w:w="595"/>
        <w:gridCol w:w="3107"/>
        <w:gridCol w:w="1155"/>
        <w:gridCol w:w="1040"/>
      </w:tblGrid>
      <w:tr w:rsidR="00FE0A76" w:rsidRPr="00420F2D">
        <w:trPr>
          <w:trHeight w:val="420"/>
        </w:trPr>
        <w:tc>
          <w:tcPr>
            <w:tcW w:w="3702" w:type="dxa"/>
            <w:gridSpan w:val="2"/>
            <w:tcBorders>
              <w:top w:val="single" w:sz="4" w:space="0" w:color="auto"/>
              <w:left w:val="nil"/>
              <w:bottom w:val="single" w:sz="8" w:space="0" w:color="000000"/>
              <w:right w:val="nil"/>
            </w:tcBorders>
          </w:tcPr>
          <w:p w:rsidR="00BB2406" w:rsidRPr="00420F2D" w:rsidRDefault="00BB2406">
            <w:pPr>
              <w:shd w:val="clear" w:color="000000" w:fill="auto"/>
              <w:spacing w:before="60" w:line="200" w:lineRule="exact"/>
              <w:rPr>
                <w:b/>
                <w:bCs/>
                <w:color w:val="000000"/>
                <w:sz w:val="16"/>
                <w:szCs w:val="16"/>
              </w:rPr>
            </w:pPr>
            <w:r w:rsidRPr="00420F2D">
              <w:rPr>
                <w:b/>
                <w:bCs/>
                <w:color w:val="000000"/>
                <w:sz w:val="16"/>
                <w:szCs w:val="16"/>
              </w:rPr>
              <w:t>UO 22 Kommunikationer</w:t>
            </w:r>
          </w:p>
        </w:tc>
        <w:tc>
          <w:tcPr>
            <w:tcW w:w="1155" w:type="dxa"/>
            <w:tcBorders>
              <w:top w:val="single" w:sz="4" w:space="0" w:color="auto"/>
              <w:left w:val="nil"/>
              <w:bottom w:val="single" w:sz="8" w:space="0" w:color="000000"/>
              <w:right w:val="nil"/>
            </w:tcBorders>
            <w:vAlign w:val="bottom"/>
          </w:tcPr>
          <w:p w:rsidR="00BB2406" w:rsidRPr="00420F2D" w:rsidRDefault="00BB2406">
            <w:pPr>
              <w:shd w:val="clear" w:color="000000" w:fill="auto"/>
              <w:spacing w:before="60" w:line="200" w:lineRule="exact"/>
              <w:jc w:val="right"/>
              <w:rPr>
                <w:b/>
                <w:bCs/>
                <w:color w:val="000000"/>
                <w:sz w:val="16"/>
                <w:szCs w:val="16"/>
              </w:rPr>
            </w:pPr>
            <w:r w:rsidRPr="00420F2D">
              <w:rPr>
                <w:b/>
                <w:bCs/>
                <w:color w:val="000000"/>
                <w:sz w:val="16"/>
                <w:szCs w:val="16"/>
              </w:rPr>
              <w:t>Regeringens förslag (tkr)</w:t>
            </w:r>
          </w:p>
        </w:tc>
        <w:tc>
          <w:tcPr>
            <w:tcW w:w="1040" w:type="dxa"/>
            <w:tcBorders>
              <w:top w:val="single" w:sz="4" w:space="0" w:color="auto"/>
              <w:left w:val="nil"/>
              <w:bottom w:val="single" w:sz="8" w:space="0" w:color="000000"/>
              <w:right w:val="nil"/>
            </w:tcBorders>
            <w:vAlign w:val="bottom"/>
          </w:tcPr>
          <w:p w:rsidR="00BB2406" w:rsidRPr="00420F2D" w:rsidRDefault="00BB2406">
            <w:pPr>
              <w:shd w:val="clear" w:color="000000" w:fill="auto"/>
              <w:spacing w:before="60" w:line="200" w:lineRule="exact"/>
              <w:jc w:val="right"/>
              <w:rPr>
                <w:b/>
                <w:bCs/>
                <w:color w:val="000000"/>
                <w:sz w:val="16"/>
                <w:szCs w:val="16"/>
              </w:rPr>
            </w:pPr>
            <w:r w:rsidRPr="00420F2D">
              <w:rPr>
                <w:b/>
                <w:bCs/>
                <w:color w:val="000000"/>
                <w:sz w:val="16"/>
                <w:szCs w:val="16"/>
              </w:rPr>
              <w:t>Förändring (tkr)</w:t>
            </w:r>
          </w:p>
        </w:tc>
      </w:tr>
      <w:tr w:rsidR="00FE0A76" w:rsidRPr="00420F2D">
        <w:trPr>
          <w:trHeight w:val="319"/>
        </w:trPr>
        <w:tc>
          <w:tcPr>
            <w:tcW w:w="595" w:type="dxa"/>
            <w:tcBorders>
              <w:top w:val="nil"/>
              <w:left w:val="nil"/>
              <w:bottom w:val="nil"/>
              <w:right w:val="nil"/>
            </w:tcBorders>
            <w:vAlign w:val="bottom"/>
          </w:tcPr>
          <w:p w:rsidR="00BB2406" w:rsidRPr="00420F2D" w:rsidRDefault="00BB2406">
            <w:pPr>
              <w:shd w:val="clear" w:color="000000" w:fill="auto"/>
              <w:spacing w:before="60" w:line="200" w:lineRule="exact"/>
              <w:ind w:right="-330"/>
              <w:rPr>
                <w:color w:val="000000"/>
                <w:sz w:val="16"/>
                <w:szCs w:val="16"/>
              </w:rPr>
            </w:pPr>
            <w:r w:rsidRPr="00420F2D">
              <w:rPr>
                <w:color w:val="000000"/>
                <w:sz w:val="16"/>
                <w:szCs w:val="16"/>
              </w:rPr>
              <w:t xml:space="preserve">36:3 </w:t>
            </w:r>
          </w:p>
        </w:tc>
        <w:tc>
          <w:tcPr>
            <w:tcW w:w="3107" w:type="dxa"/>
            <w:tcBorders>
              <w:top w:val="nil"/>
              <w:left w:val="nil"/>
              <w:bottom w:val="nil"/>
              <w:right w:val="nil"/>
            </w:tcBorders>
            <w:vAlign w:val="bottom"/>
          </w:tcPr>
          <w:p w:rsidR="00BB2406" w:rsidRPr="00420F2D" w:rsidRDefault="00BB2406">
            <w:pPr>
              <w:shd w:val="clear" w:color="000000" w:fill="auto"/>
              <w:spacing w:before="60" w:line="200" w:lineRule="exact"/>
              <w:ind w:right="-330"/>
              <w:rPr>
                <w:color w:val="000000"/>
                <w:sz w:val="16"/>
                <w:szCs w:val="16"/>
              </w:rPr>
            </w:pPr>
            <w:r w:rsidRPr="00420F2D">
              <w:rPr>
                <w:color w:val="000000"/>
                <w:sz w:val="16"/>
                <w:szCs w:val="16"/>
              </w:rPr>
              <w:t>Banverket: Administration</w:t>
            </w:r>
          </w:p>
        </w:tc>
        <w:tc>
          <w:tcPr>
            <w:tcW w:w="1155" w:type="dxa"/>
            <w:tcBorders>
              <w:top w:val="nil"/>
              <w:left w:val="nil"/>
              <w:bottom w:val="nil"/>
              <w:right w:val="nil"/>
            </w:tcBorders>
            <w:vAlign w:val="bottom"/>
          </w:tcPr>
          <w:p w:rsidR="00BB2406" w:rsidRPr="00420F2D" w:rsidRDefault="00BB2406">
            <w:pPr>
              <w:shd w:val="clear" w:color="000000" w:fill="auto"/>
              <w:spacing w:before="60" w:line="200" w:lineRule="exact"/>
              <w:ind w:right="-330"/>
              <w:jc w:val="right"/>
              <w:rPr>
                <w:color w:val="000000"/>
                <w:sz w:val="16"/>
                <w:szCs w:val="16"/>
              </w:rPr>
            </w:pPr>
            <w:r w:rsidRPr="00420F2D">
              <w:rPr>
                <w:sz w:val="16"/>
                <w:szCs w:val="16"/>
              </w:rPr>
              <w:t>677 600</w:t>
            </w:r>
          </w:p>
        </w:tc>
        <w:tc>
          <w:tcPr>
            <w:tcW w:w="1040" w:type="dxa"/>
            <w:tcBorders>
              <w:top w:val="nil"/>
              <w:left w:val="nil"/>
              <w:bottom w:val="nil"/>
              <w:right w:val="nil"/>
            </w:tcBorders>
            <w:vAlign w:val="bottom"/>
          </w:tcPr>
          <w:p w:rsidR="00BB2406" w:rsidRPr="00420F2D" w:rsidRDefault="00BB2406">
            <w:pPr>
              <w:shd w:val="clear" w:color="000000" w:fill="auto"/>
              <w:spacing w:before="60" w:line="200" w:lineRule="exact"/>
              <w:ind w:right="-330"/>
              <w:jc w:val="right"/>
              <w:rPr>
                <w:color w:val="000000"/>
                <w:sz w:val="16"/>
                <w:szCs w:val="16"/>
              </w:rPr>
            </w:pPr>
            <w:r w:rsidRPr="00420F2D">
              <w:rPr>
                <w:color w:val="000000"/>
                <w:sz w:val="16"/>
                <w:szCs w:val="16"/>
              </w:rPr>
              <w:t>+50 000</w:t>
            </w:r>
          </w:p>
        </w:tc>
      </w:tr>
      <w:tr w:rsidR="00FE0A76" w:rsidRPr="00420F2D">
        <w:trPr>
          <w:trHeight w:val="319"/>
        </w:trPr>
        <w:tc>
          <w:tcPr>
            <w:tcW w:w="595" w:type="dxa"/>
            <w:tcBorders>
              <w:top w:val="nil"/>
              <w:left w:val="nil"/>
              <w:bottom w:val="nil"/>
              <w:right w:val="nil"/>
            </w:tcBorders>
            <w:vAlign w:val="bottom"/>
          </w:tcPr>
          <w:p w:rsidR="00BB2406" w:rsidRPr="00420F2D" w:rsidRDefault="00BB2406">
            <w:pPr>
              <w:shd w:val="clear" w:color="000000" w:fill="auto"/>
              <w:spacing w:before="60" w:line="200" w:lineRule="exact"/>
              <w:ind w:right="-330"/>
              <w:rPr>
                <w:color w:val="000000"/>
                <w:sz w:val="16"/>
                <w:szCs w:val="16"/>
              </w:rPr>
            </w:pPr>
            <w:r w:rsidRPr="00420F2D">
              <w:rPr>
                <w:color w:val="000000"/>
                <w:sz w:val="16"/>
                <w:szCs w:val="16"/>
              </w:rPr>
              <w:t xml:space="preserve">36:4 </w:t>
            </w:r>
          </w:p>
        </w:tc>
        <w:tc>
          <w:tcPr>
            <w:tcW w:w="3107" w:type="dxa"/>
            <w:tcBorders>
              <w:top w:val="nil"/>
              <w:left w:val="nil"/>
              <w:bottom w:val="nil"/>
              <w:right w:val="nil"/>
            </w:tcBorders>
            <w:vAlign w:val="bottom"/>
          </w:tcPr>
          <w:p w:rsidR="00BB2406" w:rsidRPr="00420F2D" w:rsidRDefault="00BB2406">
            <w:pPr>
              <w:shd w:val="clear" w:color="000000" w:fill="auto"/>
              <w:spacing w:before="60" w:line="200" w:lineRule="exact"/>
              <w:ind w:right="-330"/>
              <w:rPr>
                <w:color w:val="000000"/>
                <w:sz w:val="16"/>
                <w:szCs w:val="16"/>
              </w:rPr>
            </w:pPr>
            <w:r w:rsidRPr="00420F2D">
              <w:rPr>
                <w:color w:val="000000"/>
                <w:sz w:val="16"/>
                <w:szCs w:val="16"/>
              </w:rPr>
              <w:t>Banverket: Banhållning och sektorsuppgifter</w:t>
            </w:r>
          </w:p>
        </w:tc>
        <w:tc>
          <w:tcPr>
            <w:tcW w:w="1155" w:type="dxa"/>
            <w:tcBorders>
              <w:top w:val="nil"/>
              <w:left w:val="nil"/>
              <w:bottom w:val="nil"/>
              <w:right w:val="nil"/>
            </w:tcBorders>
            <w:vAlign w:val="bottom"/>
          </w:tcPr>
          <w:p w:rsidR="00BB2406" w:rsidRPr="00420F2D" w:rsidRDefault="00BB2406">
            <w:pPr>
              <w:shd w:val="clear" w:color="000000" w:fill="auto"/>
              <w:spacing w:before="60" w:line="200" w:lineRule="exact"/>
              <w:ind w:right="-330"/>
              <w:jc w:val="right"/>
              <w:rPr>
                <w:color w:val="000000"/>
                <w:sz w:val="16"/>
                <w:szCs w:val="16"/>
              </w:rPr>
            </w:pPr>
            <w:r w:rsidRPr="00420F2D">
              <w:rPr>
                <w:color w:val="000000"/>
                <w:sz w:val="16"/>
                <w:szCs w:val="16"/>
              </w:rPr>
              <w:t>13 315 800</w:t>
            </w:r>
          </w:p>
        </w:tc>
        <w:tc>
          <w:tcPr>
            <w:tcW w:w="1040" w:type="dxa"/>
            <w:tcBorders>
              <w:top w:val="nil"/>
              <w:left w:val="nil"/>
              <w:bottom w:val="nil"/>
              <w:right w:val="nil"/>
            </w:tcBorders>
            <w:vAlign w:val="bottom"/>
          </w:tcPr>
          <w:p w:rsidR="00BB2406" w:rsidRPr="00420F2D" w:rsidRDefault="00BB2406">
            <w:pPr>
              <w:shd w:val="clear" w:color="000000" w:fill="auto"/>
              <w:spacing w:before="60" w:line="200" w:lineRule="exact"/>
              <w:ind w:right="-330"/>
              <w:jc w:val="right"/>
              <w:rPr>
                <w:color w:val="000000"/>
                <w:sz w:val="16"/>
                <w:szCs w:val="16"/>
              </w:rPr>
            </w:pPr>
            <w:r w:rsidRPr="00420F2D">
              <w:rPr>
                <w:color w:val="000000"/>
                <w:sz w:val="16"/>
                <w:szCs w:val="16"/>
              </w:rPr>
              <w:t>+860 000</w:t>
            </w:r>
          </w:p>
        </w:tc>
      </w:tr>
      <w:tr w:rsidR="00FE0A76" w:rsidRPr="00420F2D">
        <w:trPr>
          <w:trHeight w:val="319"/>
        </w:trPr>
        <w:tc>
          <w:tcPr>
            <w:tcW w:w="595" w:type="dxa"/>
            <w:tcBorders>
              <w:top w:val="nil"/>
              <w:left w:val="nil"/>
              <w:bottom w:val="nil"/>
              <w:right w:val="nil"/>
            </w:tcBorders>
            <w:vAlign w:val="bottom"/>
          </w:tcPr>
          <w:p w:rsidR="00BB2406" w:rsidRPr="00420F2D" w:rsidRDefault="00BB2406">
            <w:pPr>
              <w:shd w:val="clear" w:color="000000" w:fill="auto"/>
              <w:spacing w:before="60" w:line="200" w:lineRule="exact"/>
              <w:ind w:right="-330"/>
              <w:rPr>
                <w:color w:val="000000"/>
                <w:sz w:val="16"/>
                <w:szCs w:val="16"/>
              </w:rPr>
            </w:pPr>
            <w:r w:rsidRPr="00420F2D">
              <w:rPr>
                <w:color w:val="000000"/>
                <w:sz w:val="16"/>
                <w:szCs w:val="16"/>
              </w:rPr>
              <w:t xml:space="preserve">36:7 </w:t>
            </w:r>
          </w:p>
        </w:tc>
        <w:tc>
          <w:tcPr>
            <w:tcW w:w="3107" w:type="dxa"/>
            <w:tcBorders>
              <w:top w:val="nil"/>
              <w:left w:val="nil"/>
              <w:bottom w:val="nil"/>
              <w:right w:val="nil"/>
            </w:tcBorders>
            <w:vAlign w:val="bottom"/>
          </w:tcPr>
          <w:p w:rsidR="00BB2406" w:rsidRPr="00420F2D" w:rsidRDefault="00BB2406">
            <w:pPr>
              <w:shd w:val="clear" w:color="000000" w:fill="auto"/>
              <w:spacing w:before="60" w:line="200" w:lineRule="exact"/>
              <w:ind w:right="-330"/>
              <w:rPr>
                <w:color w:val="000000"/>
                <w:sz w:val="16"/>
                <w:szCs w:val="16"/>
              </w:rPr>
            </w:pPr>
            <w:r w:rsidRPr="00420F2D">
              <w:rPr>
                <w:color w:val="000000"/>
                <w:sz w:val="16"/>
                <w:szCs w:val="16"/>
              </w:rPr>
              <w:t>Ersättning till viss kanaltrafik m.m.</w:t>
            </w:r>
          </w:p>
        </w:tc>
        <w:tc>
          <w:tcPr>
            <w:tcW w:w="1155" w:type="dxa"/>
            <w:tcBorders>
              <w:top w:val="nil"/>
              <w:left w:val="nil"/>
              <w:bottom w:val="nil"/>
              <w:right w:val="nil"/>
            </w:tcBorders>
            <w:vAlign w:val="bottom"/>
          </w:tcPr>
          <w:p w:rsidR="00BB2406" w:rsidRPr="00420F2D" w:rsidRDefault="00BB2406">
            <w:pPr>
              <w:shd w:val="clear" w:color="000000" w:fill="auto"/>
              <w:spacing w:before="60" w:line="200" w:lineRule="exact"/>
              <w:ind w:right="-330"/>
              <w:jc w:val="right"/>
              <w:rPr>
                <w:color w:val="000000"/>
                <w:sz w:val="16"/>
                <w:szCs w:val="16"/>
              </w:rPr>
            </w:pPr>
            <w:r w:rsidRPr="00420F2D">
              <w:rPr>
                <w:color w:val="000000"/>
                <w:sz w:val="16"/>
                <w:szCs w:val="16"/>
              </w:rPr>
              <w:t>62 300</w:t>
            </w:r>
          </w:p>
        </w:tc>
        <w:tc>
          <w:tcPr>
            <w:tcW w:w="1040" w:type="dxa"/>
            <w:tcBorders>
              <w:top w:val="nil"/>
              <w:left w:val="nil"/>
              <w:bottom w:val="nil"/>
              <w:right w:val="nil"/>
            </w:tcBorders>
            <w:vAlign w:val="bottom"/>
          </w:tcPr>
          <w:p w:rsidR="00BB2406" w:rsidRPr="00420F2D" w:rsidRDefault="00BB2406">
            <w:pPr>
              <w:shd w:val="clear" w:color="000000" w:fill="auto"/>
              <w:spacing w:before="60" w:line="200" w:lineRule="exact"/>
              <w:ind w:right="-330"/>
              <w:jc w:val="right"/>
              <w:rPr>
                <w:color w:val="000000"/>
                <w:sz w:val="16"/>
                <w:szCs w:val="16"/>
              </w:rPr>
            </w:pPr>
            <w:r w:rsidRPr="00420F2D">
              <w:rPr>
                <w:sz w:val="16"/>
                <w:szCs w:val="16"/>
              </w:rPr>
              <w:t>+70 000</w:t>
            </w:r>
          </w:p>
        </w:tc>
      </w:tr>
      <w:tr w:rsidR="00FE0A76" w:rsidRPr="00420F2D">
        <w:trPr>
          <w:trHeight w:val="319"/>
        </w:trPr>
        <w:tc>
          <w:tcPr>
            <w:tcW w:w="595" w:type="dxa"/>
            <w:tcBorders>
              <w:top w:val="nil"/>
              <w:left w:val="nil"/>
              <w:bottom w:val="nil"/>
              <w:right w:val="nil"/>
            </w:tcBorders>
            <w:vAlign w:val="bottom"/>
          </w:tcPr>
          <w:p w:rsidR="00BB2406" w:rsidRPr="00420F2D" w:rsidRDefault="00BB2406">
            <w:pPr>
              <w:shd w:val="clear" w:color="000000" w:fill="auto"/>
              <w:spacing w:before="60" w:line="200" w:lineRule="exact"/>
              <w:ind w:right="-330"/>
              <w:rPr>
                <w:color w:val="000000"/>
                <w:sz w:val="16"/>
                <w:szCs w:val="16"/>
              </w:rPr>
            </w:pPr>
            <w:r w:rsidRPr="00420F2D">
              <w:rPr>
                <w:color w:val="000000"/>
                <w:sz w:val="16"/>
                <w:szCs w:val="16"/>
              </w:rPr>
              <w:t xml:space="preserve">36:12 </w:t>
            </w:r>
          </w:p>
        </w:tc>
        <w:tc>
          <w:tcPr>
            <w:tcW w:w="3107" w:type="dxa"/>
            <w:tcBorders>
              <w:top w:val="nil"/>
              <w:left w:val="nil"/>
              <w:bottom w:val="nil"/>
              <w:right w:val="nil"/>
            </w:tcBorders>
            <w:vAlign w:val="bottom"/>
          </w:tcPr>
          <w:p w:rsidR="00BB2406" w:rsidRPr="00420F2D" w:rsidRDefault="00BB2406">
            <w:pPr>
              <w:shd w:val="clear" w:color="000000" w:fill="auto"/>
              <w:spacing w:before="60" w:line="200" w:lineRule="exact"/>
              <w:ind w:right="-330"/>
              <w:rPr>
                <w:color w:val="000000"/>
                <w:sz w:val="16"/>
                <w:szCs w:val="16"/>
              </w:rPr>
            </w:pPr>
            <w:r w:rsidRPr="00420F2D">
              <w:rPr>
                <w:color w:val="000000"/>
                <w:sz w:val="16"/>
                <w:szCs w:val="16"/>
              </w:rPr>
              <w:t>Rikstrafiken: Trafikupphandling</w:t>
            </w:r>
          </w:p>
        </w:tc>
        <w:tc>
          <w:tcPr>
            <w:tcW w:w="1155" w:type="dxa"/>
            <w:tcBorders>
              <w:top w:val="nil"/>
              <w:left w:val="nil"/>
              <w:bottom w:val="nil"/>
              <w:right w:val="nil"/>
            </w:tcBorders>
            <w:vAlign w:val="bottom"/>
          </w:tcPr>
          <w:p w:rsidR="00BB2406" w:rsidRPr="00420F2D" w:rsidRDefault="00BB2406">
            <w:pPr>
              <w:shd w:val="clear" w:color="000000" w:fill="auto"/>
              <w:spacing w:before="60" w:line="200" w:lineRule="exact"/>
              <w:ind w:right="-330"/>
              <w:jc w:val="right"/>
              <w:rPr>
                <w:color w:val="000000"/>
                <w:sz w:val="16"/>
                <w:szCs w:val="16"/>
              </w:rPr>
            </w:pPr>
            <w:r w:rsidRPr="00420F2D">
              <w:rPr>
                <w:color w:val="000000"/>
                <w:sz w:val="16"/>
                <w:szCs w:val="16"/>
              </w:rPr>
              <w:t>986 000</w:t>
            </w:r>
          </w:p>
        </w:tc>
        <w:tc>
          <w:tcPr>
            <w:tcW w:w="1040" w:type="dxa"/>
            <w:tcBorders>
              <w:top w:val="nil"/>
              <w:left w:val="nil"/>
              <w:bottom w:val="nil"/>
              <w:right w:val="nil"/>
            </w:tcBorders>
            <w:vAlign w:val="bottom"/>
          </w:tcPr>
          <w:p w:rsidR="00BB2406" w:rsidRPr="00420F2D" w:rsidRDefault="00BB2406">
            <w:pPr>
              <w:shd w:val="clear" w:color="000000" w:fill="auto"/>
              <w:spacing w:before="60" w:line="200" w:lineRule="exact"/>
              <w:ind w:right="-330"/>
              <w:jc w:val="right"/>
              <w:rPr>
                <w:color w:val="000000"/>
                <w:sz w:val="16"/>
                <w:szCs w:val="16"/>
              </w:rPr>
            </w:pPr>
            <w:r w:rsidRPr="00420F2D">
              <w:rPr>
                <w:color w:val="000000"/>
                <w:sz w:val="16"/>
                <w:szCs w:val="16"/>
              </w:rPr>
              <w:t>+510 000</w:t>
            </w:r>
          </w:p>
        </w:tc>
      </w:tr>
      <w:tr w:rsidR="00FE0A76" w:rsidRPr="00420F2D">
        <w:trPr>
          <w:trHeight w:val="319"/>
        </w:trPr>
        <w:tc>
          <w:tcPr>
            <w:tcW w:w="595" w:type="dxa"/>
            <w:tcBorders>
              <w:top w:val="nil"/>
              <w:left w:val="nil"/>
              <w:bottom w:val="nil"/>
              <w:right w:val="nil"/>
            </w:tcBorders>
            <w:vAlign w:val="bottom"/>
          </w:tcPr>
          <w:p w:rsidR="00BB2406" w:rsidRPr="00420F2D" w:rsidRDefault="00BB2406">
            <w:pPr>
              <w:shd w:val="clear" w:color="000000" w:fill="auto"/>
              <w:spacing w:before="60" w:line="200" w:lineRule="exact"/>
              <w:ind w:right="-330"/>
              <w:rPr>
                <w:bCs/>
                <w:color w:val="000000"/>
                <w:sz w:val="16"/>
                <w:szCs w:val="16"/>
              </w:rPr>
            </w:pPr>
            <w:r w:rsidRPr="00420F2D">
              <w:rPr>
                <w:bCs/>
                <w:color w:val="000000"/>
                <w:sz w:val="16"/>
                <w:szCs w:val="16"/>
              </w:rPr>
              <w:t xml:space="preserve">36:14 </w:t>
            </w:r>
          </w:p>
        </w:tc>
        <w:tc>
          <w:tcPr>
            <w:tcW w:w="3107" w:type="dxa"/>
            <w:tcBorders>
              <w:top w:val="nil"/>
              <w:left w:val="nil"/>
              <w:bottom w:val="nil"/>
              <w:right w:val="nil"/>
            </w:tcBorders>
            <w:vAlign w:val="bottom"/>
          </w:tcPr>
          <w:p w:rsidR="00BB2406" w:rsidRPr="00420F2D" w:rsidRDefault="00BB2406">
            <w:pPr>
              <w:shd w:val="clear" w:color="000000" w:fill="auto"/>
              <w:spacing w:before="60" w:line="200" w:lineRule="exact"/>
              <w:ind w:right="-330"/>
              <w:rPr>
                <w:bCs/>
                <w:color w:val="000000"/>
                <w:sz w:val="16"/>
                <w:szCs w:val="16"/>
              </w:rPr>
            </w:pPr>
            <w:r w:rsidRPr="00420F2D">
              <w:rPr>
                <w:bCs/>
                <w:color w:val="000000"/>
                <w:sz w:val="16"/>
                <w:szCs w:val="16"/>
              </w:rPr>
              <w:t>Statens väg- och transportforskningsinstitut</w:t>
            </w:r>
          </w:p>
        </w:tc>
        <w:tc>
          <w:tcPr>
            <w:tcW w:w="1155" w:type="dxa"/>
            <w:tcBorders>
              <w:top w:val="nil"/>
              <w:left w:val="nil"/>
              <w:bottom w:val="nil"/>
              <w:right w:val="nil"/>
            </w:tcBorders>
            <w:vAlign w:val="bottom"/>
          </w:tcPr>
          <w:p w:rsidR="00BB2406" w:rsidRPr="00420F2D" w:rsidRDefault="00BB2406">
            <w:pPr>
              <w:shd w:val="clear" w:color="000000" w:fill="auto"/>
              <w:spacing w:before="60" w:line="200" w:lineRule="exact"/>
              <w:ind w:right="-330"/>
              <w:jc w:val="right"/>
              <w:rPr>
                <w:bCs/>
                <w:color w:val="000000"/>
                <w:sz w:val="16"/>
                <w:szCs w:val="16"/>
              </w:rPr>
            </w:pPr>
            <w:r w:rsidRPr="00420F2D">
              <w:rPr>
                <w:bCs/>
                <w:color w:val="000000"/>
                <w:sz w:val="16"/>
                <w:szCs w:val="16"/>
              </w:rPr>
              <w:t>39 700</w:t>
            </w:r>
          </w:p>
        </w:tc>
        <w:tc>
          <w:tcPr>
            <w:tcW w:w="1040" w:type="dxa"/>
            <w:tcBorders>
              <w:top w:val="nil"/>
              <w:left w:val="nil"/>
              <w:bottom w:val="nil"/>
              <w:right w:val="nil"/>
            </w:tcBorders>
            <w:vAlign w:val="bottom"/>
          </w:tcPr>
          <w:p w:rsidR="00BB2406" w:rsidRPr="00420F2D" w:rsidRDefault="00BB2406">
            <w:pPr>
              <w:shd w:val="clear" w:color="000000" w:fill="auto"/>
              <w:spacing w:before="60" w:line="200" w:lineRule="exact"/>
              <w:ind w:right="-330"/>
              <w:jc w:val="right"/>
              <w:rPr>
                <w:bCs/>
                <w:color w:val="000000"/>
                <w:sz w:val="16"/>
                <w:szCs w:val="16"/>
              </w:rPr>
            </w:pPr>
            <w:r w:rsidRPr="00420F2D">
              <w:rPr>
                <w:bCs/>
                <w:color w:val="000000"/>
                <w:sz w:val="16"/>
                <w:szCs w:val="16"/>
              </w:rPr>
              <w:t>+100 000</w:t>
            </w:r>
          </w:p>
        </w:tc>
      </w:tr>
      <w:tr w:rsidR="00FE0A76" w:rsidRPr="00420F2D">
        <w:trPr>
          <w:trHeight w:val="319"/>
        </w:trPr>
        <w:tc>
          <w:tcPr>
            <w:tcW w:w="595" w:type="dxa"/>
            <w:tcBorders>
              <w:top w:val="nil"/>
              <w:left w:val="nil"/>
              <w:bottom w:val="nil"/>
              <w:right w:val="nil"/>
            </w:tcBorders>
            <w:vAlign w:val="bottom"/>
          </w:tcPr>
          <w:p w:rsidR="00BB2406" w:rsidRPr="00420F2D" w:rsidRDefault="00BB2406">
            <w:pPr>
              <w:shd w:val="clear" w:color="000000" w:fill="auto"/>
              <w:spacing w:before="60" w:line="200" w:lineRule="exact"/>
              <w:ind w:right="-329"/>
              <w:rPr>
                <w:color w:val="000000"/>
                <w:sz w:val="16"/>
                <w:szCs w:val="16"/>
              </w:rPr>
            </w:pPr>
            <w:r w:rsidRPr="00420F2D">
              <w:rPr>
                <w:color w:val="000000"/>
                <w:sz w:val="16"/>
                <w:szCs w:val="16"/>
              </w:rPr>
              <w:t>37:5      Nytt   anslag</w:t>
            </w:r>
          </w:p>
        </w:tc>
        <w:tc>
          <w:tcPr>
            <w:tcW w:w="3107" w:type="dxa"/>
            <w:tcBorders>
              <w:top w:val="nil"/>
              <w:left w:val="nil"/>
              <w:bottom w:val="nil"/>
              <w:right w:val="nil"/>
            </w:tcBorders>
            <w:vAlign w:val="bottom"/>
          </w:tcPr>
          <w:p w:rsidR="00BB2406" w:rsidRPr="00420F2D" w:rsidRDefault="00BB2406">
            <w:pPr>
              <w:shd w:val="clear" w:color="000000" w:fill="auto"/>
              <w:spacing w:before="114" w:line="200" w:lineRule="exact"/>
              <w:ind w:right="-329"/>
              <w:rPr>
                <w:color w:val="000000"/>
                <w:sz w:val="16"/>
                <w:szCs w:val="16"/>
              </w:rPr>
            </w:pPr>
            <w:r w:rsidRPr="00420F2D">
              <w:rPr>
                <w:color w:val="000000"/>
                <w:sz w:val="16"/>
                <w:szCs w:val="16"/>
              </w:rPr>
              <w:t>Post- och telestyrelsen: Ersättning för särskilda tjänster till IT-utbildning</w:t>
            </w:r>
          </w:p>
        </w:tc>
        <w:tc>
          <w:tcPr>
            <w:tcW w:w="1155" w:type="dxa"/>
            <w:tcBorders>
              <w:top w:val="nil"/>
              <w:left w:val="nil"/>
              <w:bottom w:val="nil"/>
              <w:right w:val="nil"/>
            </w:tcBorders>
            <w:vAlign w:val="bottom"/>
          </w:tcPr>
          <w:p w:rsidR="00BB2406" w:rsidRPr="00420F2D" w:rsidRDefault="00BB2406">
            <w:pPr>
              <w:shd w:val="clear" w:color="000000" w:fill="auto"/>
              <w:spacing w:beforeLines="60" w:before="144" w:line="200" w:lineRule="exact"/>
              <w:ind w:right="-330"/>
              <w:jc w:val="right"/>
              <w:rPr>
                <w:color w:val="000000"/>
                <w:sz w:val="16"/>
                <w:szCs w:val="16"/>
              </w:rPr>
            </w:pPr>
            <w:r w:rsidRPr="00420F2D">
              <w:rPr>
                <w:color w:val="000000"/>
                <w:sz w:val="16"/>
                <w:szCs w:val="16"/>
              </w:rPr>
              <w:t>0</w:t>
            </w:r>
          </w:p>
        </w:tc>
        <w:tc>
          <w:tcPr>
            <w:tcW w:w="1040" w:type="dxa"/>
            <w:tcBorders>
              <w:top w:val="nil"/>
              <w:left w:val="nil"/>
              <w:bottom w:val="nil"/>
              <w:right w:val="nil"/>
            </w:tcBorders>
            <w:vAlign w:val="bottom"/>
          </w:tcPr>
          <w:p w:rsidR="00BB2406" w:rsidRPr="00420F2D" w:rsidRDefault="00BB2406">
            <w:pPr>
              <w:shd w:val="clear" w:color="000000" w:fill="auto"/>
              <w:spacing w:beforeLines="60" w:before="144" w:line="200" w:lineRule="exact"/>
              <w:ind w:right="-330"/>
              <w:jc w:val="right"/>
              <w:rPr>
                <w:color w:val="000000"/>
                <w:sz w:val="16"/>
                <w:szCs w:val="16"/>
              </w:rPr>
            </w:pPr>
            <w:r w:rsidRPr="00420F2D">
              <w:rPr>
                <w:color w:val="000000"/>
                <w:sz w:val="16"/>
                <w:szCs w:val="16"/>
              </w:rPr>
              <w:t>+100 000</w:t>
            </w:r>
          </w:p>
        </w:tc>
      </w:tr>
      <w:tr w:rsidR="00FE0A76" w:rsidRPr="00420F2D">
        <w:trPr>
          <w:trHeight w:val="319"/>
        </w:trPr>
        <w:tc>
          <w:tcPr>
            <w:tcW w:w="3702" w:type="dxa"/>
            <w:gridSpan w:val="2"/>
            <w:tcBorders>
              <w:top w:val="nil"/>
              <w:left w:val="nil"/>
              <w:bottom w:val="single" w:sz="4" w:space="0" w:color="auto"/>
              <w:right w:val="nil"/>
            </w:tcBorders>
            <w:vAlign w:val="bottom"/>
          </w:tcPr>
          <w:p w:rsidR="00BB2406" w:rsidRPr="00420F2D" w:rsidRDefault="00BB2406">
            <w:pPr>
              <w:shd w:val="clear" w:color="000000" w:fill="auto"/>
              <w:spacing w:before="60" w:line="200" w:lineRule="exact"/>
              <w:rPr>
                <w:b/>
                <w:bCs/>
                <w:color w:val="000000"/>
                <w:sz w:val="16"/>
                <w:szCs w:val="16"/>
              </w:rPr>
            </w:pPr>
            <w:r w:rsidRPr="00420F2D">
              <w:rPr>
                <w:b/>
                <w:bCs/>
                <w:color w:val="000000"/>
                <w:sz w:val="16"/>
                <w:szCs w:val="16"/>
              </w:rPr>
              <w:t>Summa</w:t>
            </w:r>
          </w:p>
        </w:tc>
        <w:tc>
          <w:tcPr>
            <w:tcW w:w="1155" w:type="dxa"/>
            <w:tcBorders>
              <w:top w:val="nil"/>
              <w:left w:val="nil"/>
              <w:bottom w:val="single" w:sz="4" w:space="0" w:color="auto"/>
              <w:right w:val="nil"/>
            </w:tcBorders>
            <w:vAlign w:val="bottom"/>
          </w:tcPr>
          <w:p w:rsidR="00BB2406" w:rsidRPr="00420F2D" w:rsidRDefault="00BB2406">
            <w:pPr>
              <w:shd w:val="clear" w:color="000000" w:fill="auto"/>
              <w:spacing w:before="60" w:line="200" w:lineRule="exact"/>
              <w:ind w:right="113"/>
              <w:jc w:val="right"/>
              <w:rPr>
                <w:b/>
                <w:bCs/>
                <w:color w:val="000000"/>
                <w:sz w:val="16"/>
                <w:szCs w:val="16"/>
              </w:rPr>
            </w:pPr>
          </w:p>
        </w:tc>
        <w:tc>
          <w:tcPr>
            <w:tcW w:w="1040" w:type="dxa"/>
            <w:tcBorders>
              <w:top w:val="nil"/>
              <w:left w:val="nil"/>
              <w:bottom w:val="single" w:sz="4" w:space="0" w:color="auto"/>
              <w:right w:val="nil"/>
            </w:tcBorders>
            <w:vAlign w:val="bottom"/>
          </w:tcPr>
          <w:p w:rsidR="00BB2406" w:rsidRPr="00420F2D" w:rsidRDefault="00BB2406">
            <w:pPr>
              <w:shd w:val="clear" w:color="000000" w:fill="auto"/>
              <w:spacing w:before="60" w:line="200" w:lineRule="exact"/>
              <w:ind w:right="32"/>
              <w:jc w:val="right"/>
              <w:rPr>
                <w:b/>
                <w:bCs/>
                <w:color w:val="000000"/>
                <w:sz w:val="16"/>
                <w:szCs w:val="16"/>
              </w:rPr>
            </w:pPr>
            <w:r w:rsidRPr="00420F2D">
              <w:rPr>
                <w:b/>
                <w:bCs/>
                <w:color w:val="000000"/>
                <w:sz w:val="16"/>
                <w:szCs w:val="16"/>
              </w:rPr>
              <w:t xml:space="preserve">+1 690 000 </w:t>
            </w:r>
          </w:p>
        </w:tc>
      </w:tr>
    </w:tbl>
    <w:p w:rsidR="00BB2406" w:rsidRPr="00420F2D" w:rsidRDefault="00BB2406">
      <w:pPr>
        <w:shd w:val="clear" w:color="000000" w:fill="auto"/>
      </w:pPr>
    </w:p>
    <w:p w:rsidR="00501364" w:rsidRPr="00420F2D" w:rsidRDefault="0076075C">
      <w:pPr>
        <w:pStyle w:val="Rubrik1"/>
        <w:shd w:val="clear" w:color="000000" w:fill="auto"/>
        <w:spacing w:before="240"/>
      </w:pPr>
      <w:r w:rsidRPr="00420F2D">
        <w:t>Järnvägar</w:t>
      </w:r>
    </w:p>
    <w:p w:rsidR="00501364" w:rsidRPr="00420F2D" w:rsidRDefault="0076075C">
      <w:pPr>
        <w:pStyle w:val="Rubrik2"/>
        <w:shd w:val="clear" w:color="000000" w:fill="auto"/>
        <w:spacing w:before="120"/>
      </w:pPr>
      <w:r w:rsidRPr="00420F2D">
        <w:t>Administration</w:t>
      </w:r>
    </w:p>
    <w:p w:rsidR="00501364" w:rsidRPr="00420F2D" w:rsidRDefault="0076075C">
      <w:pPr>
        <w:shd w:val="clear" w:color="000000" w:fill="auto"/>
        <w:autoSpaceDE w:val="0"/>
        <w:autoSpaceDN w:val="0"/>
        <w:adjustRightInd w:val="0"/>
      </w:pPr>
      <w:r w:rsidRPr="00420F2D">
        <w:t>Regeringen föreslår en besparing på Banverkets administration med 50 milj</w:t>
      </w:r>
      <w:r w:rsidRPr="00420F2D">
        <w:t>o</w:t>
      </w:r>
      <w:r w:rsidRPr="00420F2D">
        <w:t>ner kronor. Visst är det viktigt att ifrågasätta byråkrati och administration, men här görs en neddragning av Banverkets administration utan en tillsty</w:t>
      </w:r>
      <w:r w:rsidRPr="00420F2D">
        <w:t>m</w:t>
      </w:r>
      <w:r w:rsidRPr="00420F2D">
        <w:t>melse till motivering. Det kan vi inte acceptera och återför därför beloppet om 50 miljoner kronor till anslag 36:3.</w:t>
      </w:r>
    </w:p>
    <w:p w:rsidR="00501364" w:rsidRPr="00420F2D" w:rsidRDefault="0076075C">
      <w:pPr>
        <w:pStyle w:val="Rubrik2"/>
        <w:shd w:val="clear" w:color="000000" w:fill="auto"/>
      </w:pPr>
      <w:r w:rsidRPr="00420F2D">
        <w:t>Banhållning</w:t>
      </w:r>
    </w:p>
    <w:p w:rsidR="00501364" w:rsidRPr="00420F2D" w:rsidRDefault="0076075C">
      <w:pPr>
        <w:shd w:val="clear" w:color="000000" w:fill="auto"/>
      </w:pPr>
      <w:r w:rsidRPr="00420F2D">
        <w:t xml:space="preserve">Regeringen gör en nedskärning av banunderhållet med 160 miljoner kronor jämfört med det beräknade beloppet som den tidigare regeringen hade avsatt i budgetproposition 2006. </w:t>
      </w:r>
      <w:r w:rsidRPr="00420F2D">
        <w:rPr>
          <w:szCs w:val="24"/>
        </w:rPr>
        <w:t>Vi ser med stor oro på att regeringen i sitt budgetfö</w:t>
      </w:r>
      <w:r w:rsidRPr="00420F2D">
        <w:rPr>
          <w:szCs w:val="24"/>
        </w:rPr>
        <w:t>r</w:t>
      </w:r>
      <w:r w:rsidRPr="00420F2D">
        <w:rPr>
          <w:szCs w:val="24"/>
        </w:rPr>
        <w:t>slag för 2007 i utgiftsområde 22 volym 12 på ett flertal ställen anger en ny politisk inriktning, nämligen att man i jämförelse med tidigare investering</w:t>
      </w:r>
      <w:r w:rsidRPr="00420F2D">
        <w:rPr>
          <w:szCs w:val="24"/>
        </w:rPr>
        <w:t>s</w:t>
      </w:r>
      <w:r w:rsidRPr="00420F2D">
        <w:rPr>
          <w:szCs w:val="24"/>
        </w:rPr>
        <w:t>planer inom infrastrukturen avser att satsa en större del av investeringarna inom vägsektorn. Vi finner det vara en märklig prioritering, eftersom rege</w:t>
      </w:r>
      <w:r w:rsidRPr="00420F2D">
        <w:rPr>
          <w:szCs w:val="24"/>
        </w:rPr>
        <w:t>r</w:t>
      </w:r>
      <w:r w:rsidRPr="00420F2D">
        <w:rPr>
          <w:szCs w:val="24"/>
        </w:rPr>
        <w:t>ingen hänvisar till att samhällsekonomiska analyser ska spela en viktig roll vid prioriteringen av infrastrukturinvesteringar. Vi finner det också märkligt att regeringen i budgetpropositionen överväger andra lösningar än den s.k. Citybanan för att säkerställa att järnvägstrafiken kan flyta på till och från Stockholm, vilket är viktigt för järnvägstrafiken i stort. Neddragningen av Banverkets anslag till banhållning med 160 miljoner kronor är kanske början på den inslagna vägen att prioritera vägtrafik framför järnväg. Vi avvisar detta förhållningssätt och återför dessa 160 miljoner kronor till anslag 36:4.</w:t>
      </w:r>
    </w:p>
    <w:p w:rsidR="00501364" w:rsidRPr="00420F2D" w:rsidRDefault="0076075C">
      <w:pPr>
        <w:pStyle w:val="Normaltindrag"/>
        <w:shd w:val="clear" w:color="000000" w:fill="auto"/>
        <w:rPr>
          <w:szCs w:val="24"/>
        </w:rPr>
      </w:pPr>
      <w:r w:rsidRPr="00420F2D">
        <w:t xml:space="preserve">Banverket har gått igenom 55 bansträckor som de kallar för lågtrafikerade. Eftersom de medel som staten anvisat inte räcker har verket flaggat för att 17 järnvägssträckor under en </w:t>
      </w:r>
      <w:r w:rsidRPr="00420F2D">
        <w:rPr>
          <w:szCs w:val="24"/>
        </w:rPr>
        <w:t>fyraårsperiod kommer att läggas ned på grund av bristande anslag till underhåll. Även om dessa banor i dag är lågtrafiker</w:t>
      </w:r>
      <w:r w:rsidRPr="00420F2D">
        <w:rPr>
          <w:szCs w:val="24"/>
        </w:rPr>
        <w:t>a</w:t>
      </w:r>
      <w:r w:rsidRPr="00420F2D">
        <w:rPr>
          <w:szCs w:val="24"/>
        </w:rPr>
        <w:t xml:space="preserve">de, är det ett stort resursslöseri att avskaffa redan befintlig infrastruktur. </w:t>
      </w:r>
      <w:r w:rsidRPr="00420F2D">
        <w:rPr>
          <w:color w:val="000000"/>
          <w:szCs w:val="24"/>
        </w:rPr>
        <w:t>I stället borde vi se värdet av att försöka utnyttja en infrastruktur som vi redan har betalat för.</w:t>
      </w:r>
      <w:r w:rsidRPr="00420F2D">
        <w:rPr>
          <w:szCs w:val="24"/>
        </w:rPr>
        <w:t xml:space="preserve"> Den största investeringen är redan genomförd i och med att banan finns där. </w:t>
      </w:r>
      <w:r w:rsidRPr="00420F2D">
        <w:rPr>
          <w:color w:val="000000"/>
          <w:szCs w:val="24"/>
        </w:rPr>
        <w:t>Vi behöver ett ekologiskt hållbart transportsystem och här utgör järnvägen ett modernt, effektivt och miljövänligt sätt att förflytta både gods och människor på. Att i det läget göra sig av med järnvägskapacitet är helt fel väg att gå. Vänsterpartiet</w:t>
      </w:r>
      <w:r w:rsidRPr="00420F2D">
        <w:t xml:space="preserve"> föreslår att det </w:t>
      </w:r>
      <w:r w:rsidRPr="00420F2D">
        <w:rPr>
          <w:szCs w:val="24"/>
        </w:rPr>
        <w:t>avsätts 1 000 miljoner kronor under 5 år, för att säkerställa att dessa banor inte läggs ned. Det betyder 200 miljoner kronor varje år och detta belopp finns uppfört under anslag 36:4.</w:t>
      </w:r>
    </w:p>
    <w:p w:rsidR="00501364" w:rsidRPr="00420F2D" w:rsidRDefault="0076075C">
      <w:pPr>
        <w:pStyle w:val="Normaltindrag"/>
        <w:shd w:val="clear" w:color="000000" w:fill="auto"/>
      </w:pPr>
      <w:r w:rsidRPr="00420F2D">
        <w:t xml:space="preserve">Banverket har även i sin framtidsplan för perioden 2004 till 2012 redogjort för att det under planperioden saknas 8 miljarder kronor till banunderhåll om man vill minska tågförseningarna med 50 </w:t>
      </w:r>
      <w:r w:rsidRPr="00420F2D">
        <w:rPr>
          <w:szCs w:val="24"/>
        </w:rPr>
        <w:t xml:space="preserve">procent. Vi </w:t>
      </w:r>
      <w:r w:rsidRPr="00420F2D">
        <w:rPr>
          <w:color w:val="000000"/>
          <w:szCs w:val="24"/>
        </w:rPr>
        <w:t>vill se ett transports</w:t>
      </w:r>
      <w:r w:rsidRPr="00420F2D">
        <w:rPr>
          <w:color w:val="000000"/>
          <w:szCs w:val="24"/>
        </w:rPr>
        <w:t>y</w:t>
      </w:r>
      <w:r w:rsidRPr="00420F2D">
        <w:rPr>
          <w:color w:val="000000"/>
          <w:szCs w:val="24"/>
        </w:rPr>
        <w:t>stem som är ekologiskt hållbart. Det betyder bl.a. att vi måste få fler transpo</w:t>
      </w:r>
      <w:r w:rsidRPr="00420F2D">
        <w:rPr>
          <w:color w:val="000000"/>
          <w:szCs w:val="24"/>
        </w:rPr>
        <w:t>r</w:t>
      </w:r>
      <w:r w:rsidRPr="00420F2D">
        <w:rPr>
          <w:color w:val="000000"/>
          <w:szCs w:val="24"/>
        </w:rPr>
        <w:t>ter av gods och människor att flytta från vägtrafik till järnvägar och kollekti</w:t>
      </w:r>
      <w:r w:rsidRPr="00420F2D">
        <w:rPr>
          <w:color w:val="000000"/>
          <w:szCs w:val="24"/>
        </w:rPr>
        <w:t>v</w:t>
      </w:r>
      <w:r w:rsidRPr="00420F2D">
        <w:rPr>
          <w:color w:val="000000"/>
          <w:szCs w:val="24"/>
        </w:rPr>
        <w:t xml:space="preserve">trafik. Det är även helt i linje med riksdagens transportpolitiska mål God miljö, som innebär att transportsystemet ska bidra till att miljökvalitetsmålen uppnås. För att göra tågtrafik attraktivt krävs en viss kvalitet när det gäller standard, tillgänglighet och punktlighet. Vi behöver därför avsätta resurser, så att dagens problem med förseningar kan minska. Vänsterpartiet </w:t>
      </w:r>
      <w:r w:rsidRPr="00420F2D">
        <w:t>föreslår dä</w:t>
      </w:r>
      <w:r w:rsidRPr="00420F2D">
        <w:t>r</w:t>
      </w:r>
      <w:r w:rsidRPr="00420F2D">
        <w:t>för att det under kommande treårsperiod avsätts 2 250 miljoner kronor till ökat banunderhåll, vilket är tänkt att minska förseningarna på tågtrafiken. För år 2007 betyder det att anslag 36:4 höjs med 500 miljoner kronor.</w:t>
      </w:r>
    </w:p>
    <w:p w:rsidR="00501364" w:rsidRPr="00420F2D" w:rsidRDefault="0076075C">
      <w:pPr>
        <w:pStyle w:val="Normaltindrag"/>
        <w:shd w:val="clear" w:color="000000" w:fill="auto"/>
        <w:spacing w:after="120"/>
      </w:pPr>
      <w:r w:rsidRPr="00420F2D">
        <w:t>Fördelning inom anslag 36:4 fördelar sig enligt följande (mkr) under 2007–2009:</w:t>
      </w:r>
    </w:p>
    <w:tbl>
      <w:tblPr>
        <w:tblW w:w="5655" w:type="dxa"/>
        <w:tblLayout w:type="fixed"/>
        <w:tblCellMar>
          <w:left w:w="70" w:type="dxa"/>
          <w:right w:w="70" w:type="dxa"/>
        </w:tblCellMar>
        <w:tblLook w:val="0000" w:firstRow="0" w:lastRow="0" w:firstColumn="0" w:lastColumn="0" w:noHBand="0" w:noVBand="0"/>
      </w:tblPr>
      <w:tblGrid>
        <w:gridCol w:w="643"/>
        <w:gridCol w:w="2492"/>
        <w:gridCol w:w="840"/>
        <w:gridCol w:w="840"/>
        <w:gridCol w:w="840"/>
      </w:tblGrid>
      <w:tr w:rsidR="00501364" w:rsidRPr="00420F2D">
        <w:trPr>
          <w:trHeight w:val="420"/>
        </w:trPr>
        <w:tc>
          <w:tcPr>
            <w:tcW w:w="643" w:type="dxa"/>
            <w:tcBorders>
              <w:top w:val="single" w:sz="4" w:space="0" w:color="auto"/>
              <w:bottom w:val="single" w:sz="4" w:space="0" w:color="auto"/>
            </w:tcBorders>
          </w:tcPr>
          <w:p w:rsidR="00501364" w:rsidRPr="00420F2D" w:rsidRDefault="0076075C">
            <w:pPr>
              <w:shd w:val="clear" w:color="000000" w:fill="auto"/>
              <w:spacing w:before="60" w:line="200" w:lineRule="exact"/>
              <w:jc w:val="left"/>
              <w:rPr>
                <w:b/>
                <w:bCs/>
                <w:color w:val="000000"/>
                <w:sz w:val="16"/>
                <w:szCs w:val="16"/>
              </w:rPr>
            </w:pPr>
            <w:r w:rsidRPr="00420F2D">
              <w:rPr>
                <w:b/>
                <w:bCs/>
                <w:color w:val="000000"/>
                <w:sz w:val="16"/>
                <w:szCs w:val="16"/>
              </w:rPr>
              <w:t>UO 22</w:t>
            </w:r>
          </w:p>
        </w:tc>
        <w:tc>
          <w:tcPr>
            <w:tcW w:w="2492" w:type="dxa"/>
            <w:tcBorders>
              <w:top w:val="single" w:sz="4" w:space="0" w:color="auto"/>
              <w:bottom w:val="single" w:sz="4" w:space="0" w:color="auto"/>
            </w:tcBorders>
          </w:tcPr>
          <w:p w:rsidR="00501364" w:rsidRPr="00420F2D" w:rsidRDefault="0076075C">
            <w:pPr>
              <w:shd w:val="clear" w:color="000000" w:fill="auto"/>
              <w:spacing w:before="60" w:line="200" w:lineRule="exact"/>
              <w:jc w:val="left"/>
              <w:rPr>
                <w:b/>
                <w:bCs/>
                <w:color w:val="000000"/>
                <w:sz w:val="16"/>
                <w:szCs w:val="16"/>
              </w:rPr>
            </w:pPr>
            <w:r w:rsidRPr="00420F2D">
              <w:rPr>
                <w:b/>
                <w:color w:val="000000"/>
                <w:sz w:val="16"/>
                <w:szCs w:val="16"/>
              </w:rPr>
              <w:t xml:space="preserve">Banverket: Banhållning och </w:t>
            </w:r>
            <w:r w:rsidRPr="00420F2D">
              <w:rPr>
                <w:b/>
                <w:color w:val="000000"/>
                <w:sz w:val="16"/>
                <w:szCs w:val="16"/>
              </w:rPr>
              <w:br/>
              <w:t>sektorsuppgifter</w:t>
            </w:r>
          </w:p>
        </w:tc>
        <w:tc>
          <w:tcPr>
            <w:tcW w:w="840" w:type="dxa"/>
            <w:tcBorders>
              <w:top w:val="single" w:sz="4" w:space="0" w:color="auto"/>
              <w:bottom w:val="single" w:sz="4" w:space="0" w:color="auto"/>
            </w:tcBorders>
          </w:tcPr>
          <w:p w:rsidR="00501364" w:rsidRPr="00420F2D" w:rsidRDefault="0076075C">
            <w:pPr>
              <w:shd w:val="clear" w:color="000000" w:fill="auto"/>
              <w:spacing w:before="60" w:line="200" w:lineRule="exact"/>
              <w:jc w:val="right"/>
              <w:rPr>
                <w:b/>
                <w:bCs/>
                <w:color w:val="000000"/>
                <w:sz w:val="16"/>
                <w:szCs w:val="16"/>
              </w:rPr>
            </w:pPr>
            <w:r w:rsidRPr="00420F2D">
              <w:rPr>
                <w:b/>
                <w:bCs/>
                <w:color w:val="000000"/>
                <w:sz w:val="16"/>
                <w:szCs w:val="16"/>
              </w:rPr>
              <w:t>2007</w:t>
            </w:r>
          </w:p>
        </w:tc>
        <w:tc>
          <w:tcPr>
            <w:tcW w:w="840" w:type="dxa"/>
            <w:tcBorders>
              <w:top w:val="single" w:sz="4" w:space="0" w:color="auto"/>
              <w:bottom w:val="single" w:sz="4" w:space="0" w:color="auto"/>
            </w:tcBorders>
          </w:tcPr>
          <w:p w:rsidR="00501364" w:rsidRPr="00420F2D" w:rsidRDefault="0076075C">
            <w:pPr>
              <w:shd w:val="clear" w:color="000000" w:fill="auto"/>
              <w:spacing w:before="60" w:line="200" w:lineRule="exact"/>
              <w:jc w:val="right"/>
              <w:rPr>
                <w:b/>
                <w:bCs/>
                <w:color w:val="000000"/>
                <w:sz w:val="16"/>
                <w:szCs w:val="16"/>
              </w:rPr>
            </w:pPr>
            <w:r w:rsidRPr="00420F2D">
              <w:rPr>
                <w:b/>
                <w:bCs/>
                <w:color w:val="000000"/>
                <w:sz w:val="16"/>
                <w:szCs w:val="16"/>
              </w:rPr>
              <w:t>2008</w:t>
            </w:r>
          </w:p>
        </w:tc>
        <w:tc>
          <w:tcPr>
            <w:tcW w:w="840" w:type="dxa"/>
            <w:tcBorders>
              <w:top w:val="single" w:sz="4" w:space="0" w:color="auto"/>
              <w:bottom w:val="single" w:sz="4" w:space="0" w:color="auto"/>
            </w:tcBorders>
          </w:tcPr>
          <w:p w:rsidR="00501364" w:rsidRPr="00420F2D" w:rsidRDefault="0076075C">
            <w:pPr>
              <w:shd w:val="clear" w:color="000000" w:fill="auto"/>
              <w:spacing w:before="60" w:line="200" w:lineRule="exact"/>
              <w:jc w:val="right"/>
              <w:rPr>
                <w:b/>
                <w:bCs/>
                <w:color w:val="000000"/>
                <w:sz w:val="16"/>
                <w:szCs w:val="16"/>
              </w:rPr>
            </w:pPr>
            <w:r w:rsidRPr="00420F2D">
              <w:rPr>
                <w:b/>
                <w:bCs/>
                <w:color w:val="000000"/>
                <w:sz w:val="16"/>
                <w:szCs w:val="16"/>
              </w:rPr>
              <w:t>2009</w:t>
            </w:r>
          </w:p>
        </w:tc>
      </w:tr>
      <w:tr w:rsidR="00501364" w:rsidRPr="00420F2D">
        <w:trPr>
          <w:trHeight w:val="319"/>
        </w:trPr>
        <w:tc>
          <w:tcPr>
            <w:tcW w:w="643" w:type="dxa"/>
            <w:tcBorders>
              <w:top w:val="single" w:sz="4" w:space="0" w:color="auto"/>
            </w:tcBorders>
          </w:tcPr>
          <w:p w:rsidR="00501364" w:rsidRPr="00420F2D" w:rsidRDefault="0076075C">
            <w:pPr>
              <w:shd w:val="clear" w:color="000000" w:fill="auto"/>
              <w:spacing w:before="60" w:line="200" w:lineRule="exact"/>
              <w:jc w:val="left"/>
              <w:rPr>
                <w:color w:val="000000"/>
                <w:sz w:val="16"/>
                <w:szCs w:val="16"/>
              </w:rPr>
            </w:pPr>
            <w:r w:rsidRPr="00420F2D">
              <w:rPr>
                <w:color w:val="000000"/>
                <w:sz w:val="16"/>
                <w:szCs w:val="16"/>
              </w:rPr>
              <w:t>A 36:4</w:t>
            </w:r>
          </w:p>
        </w:tc>
        <w:tc>
          <w:tcPr>
            <w:tcW w:w="2492" w:type="dxa"/>
            <w:tcBorders>
              <w:top w:val="single" w:sz="4" w:space="0" w:color="auto"/>
            </w:tcBorders>
          </w:tcPr>
          <w:p w:rsidR="00501364" w:rsidRPr="00420F2D" w:rsidRDefault="0076075C">
            <w:pPr>
              <w:shd w:val="clear" w:color="000000" w:fill="auto"/>
              <w:spacing w:before="60" w:line="200" w:lineRule="exact"/>
              <w:jc w:val="left"/>
              <w:rPr>
                <w:color w:val="000000"/>
                <w:sz w:val="16"/>
                <w:szCs w:val="16"/>
              </w:rPr>
            </w:pPr>
            <w:r w:rsidRPr="00420F2D">
              <w:rPr>
                <w:color w:val="000000"/>
                <w:sz w:val="16"/>
                <w:szCs w:val="16"/>
              </w:rPr>
              <w:t>Ökat banunderhåll</w:t>
            </w:r>
          </w:p>
        </w:tc>
        <w:tc>
          <w:tcPr>
            <w:tcW w:w="840" w:type="dxa"/>
            <w:tcBorders>
              <w:top w:val="single" w:sz="4" w:space="0" w:color="auto"/>
            </w:tcBorders>
          </w:tcPr>
          <w:p w:rsidR="00501364" w:rsidRPr="00420F2D" w:rsidRDefault="0076075C">
            <w:pPr>
              <w:shd w:val="clear" w:color="000000" w:fill="auto"/>
              <w:spacing w:before="60" w:line="200" w:lineRule="exact"/>
              <w:jc w:val="right"/>
              <w:rPr>
                <w:color w:val="000000"/>
                <w:sz w:val="16"/>
                <w:szCs w:val="16"/>
              </w:rPr>
            </w:pPr>
            <w:r w:rsidRPr="00420F2D">
              <w:rPr>
                <w:color w:val="000000"/>
                <w:sz w:val="16"/>
                <w:szCs w:val="16"/>
              </w:rPr>
              <w:t>+500</w:t>
            </w:r>
          </w:p>
        </w:tc>
        <w:tc>
          <w:tcPr>
            <w:tcW w:w="840" w:type="dxa"/>
            <w:tcBorders>
              <w:top w:val="single" w:sz="4" w:space="0" w:color="auto"/>
            </w:tcBorders>
          </w:tcPr>
          <w:p w:rsidR="00501364" w:rsidRPr="00420F2D" w:rsidRDefault="0076075C">
            <w:pPr>
              <w:shd w:val="clear" w:color="000000" w:fill="auto"/>
              <w:spacing w:before="60" w:line="200" w:lineRule="exact"/>
              <w:jc w:val="right"/>
              <w:rPr>
                <w:color w:val="000000"/>
                <w:sz w:val="16"/>
                <w:szCs w:val="16"/>
              </w:rPr>
            </w:pPr>
            <w:r w:rsidRPr="00420F2D">
              <w:rPr>
                <w:color w:val="000000"/>
                <w:sz w:val="16"/>
                <w:szCs w:val="16"/>
              </w:rPr>
              <w:t xml:space="preserve">+750 </w:t>
            </w:r>
          </w:p>
        </w:tc>
        <w:tc>
          <w:tcPr>
            <w:tcW w:w="840" w:type="dxa"/>
            <w:tcBorders>
              <w:top w:val="single" w:sz="4" w:space="0" w:color="auto"/>
            </w:tcBorders>
          </w:tcPr>
          <w:p w:rsidR="00501364" w:rsidRPr="00420F2D" w:rsidRDefault="0076075C">
            <w:pPr>
              <w:shd w:val="clear" w:color="000000" w:fill="auto"/>
              <w:spacing w:before="60" w:line="200" w:lineRule="exact"/>
              <w:jc w:val="right"/>
              <w:rPr>
                <w:color w:val="000000"/>
                <w:sz w:val="16"/>
                <w:szCs w:val="16"/>
              </w:rPr>
            </w:pPr>
            <w:r w:rsidRPr="00420F2D">
              <w:rPr>
                <w:color w:val="000000"/>
                <w:sz w:val="16"/>
                <w:szCs w:val="16"/>
              </w:rPr>
              <w:t>+1 000</w:t>
            </w:r>
          </w:p>
        </w:tc>
      </w:tr>
      <w:tr w:rsidR="00501364" w:rsidRPr="00420F2D">
        <w:trPr>
          <w:trHeight w:val="319"/>
        </w:trPr>
        <w:tc>
          <w:tcPr>
            <w:tcW w:w="643" w:type="dxa"/>
          </w:tcPr>
          <w:p w:rsidR="00501364" w:rsidRPr="00420F2D" w:rsidRDefault="0076075C">
            <w:pPr>
              <w:shd w:val="clear" w:color="000000" w:fill="auto"/>
              <w:spacing w:before="60" w:line="200" w:lineRule="exact"/>
              <w:jc w:val="left"/>
              <w:rPr>
                <w:color w:val="000000"/>
                <w:sz w:val="16"/>
                <w:szCs w:val="16"/>
              </w:rPr>
            </w:pPr>
            <w:r w:rsidRPr="00420F2D">
              <w:rPr>
                <w:color w:val="000000"/>
                <w:sz w:val="16"/>
                <w:szCs w:val="16"/>
              </w:rPr>
              <w:t>A 36:4</w:t>
            </w:r>
          </w:p>
        </w:tc>
        <w:tc>
          <w:tcPr>
            <w:tcW w:w="2492" w:type="dxa"/>
          </w:tcPr>
          <w:p w:rsidR="00501364" w:rsidRPr="00420F2D" w:rsidRDefault="0076075C">
            <w:pPr>
              <w:shd w:val="clear" w:color="000000" w:fill="auto"/>
              <w:spacing w:before="60" w:line="200" w:lineRule="exact"/>
              <w:jc w:val="left"/>
              <w:rPr>
                <w:color w:val="000000"/>
                <w:sz w:val="16"/>
                <w:szCs w:val="16"/>
              </w:rPr>
            </w:pPr>
            <w:r w:rsidRPr="00420F2D">
              <w:rPr>
                <w:color w:val="000000"/>
                <w:sz w:val="16"/>
                <w:szCs w:val="16"/>
              </w:rPr>
              <w:t>Banunderhåll 17 banor</w:t>
            </w:r>
          </w:p>
        </w:tc>
        <w:tc>
          <w:tcPr>
            <w:tcW w:w="840" w:type="dxa"/>
          </w:tcPr>
          <w:p w:rsidR="00501364" w:rsidRPr="00420F2D" w:rsidRDefault="0076075C">
            <w:pPr>
              <w:shd w:val="clear" w:color="000000" w:fill="auto"/>
              <w:spacing w:before="60" w:line="200" w:lineRule="exact"/>
              <w:jc w:val="right"/>
              <w:rPr>
                <w:color w:val="000000"/>
                <w:sz w:val="16"/>
                <w:szCs w:val="16"/>
              </w:rPr>
            </w:pPr>
            <w:r w:rsidRPr="00420F2D">
              <w:rPr>
                <w:color w:val="000000"/>
                <w:sz w:val="16"/>
                <w:szCs w:val="16"/>
              </w:rPr>
              <w:t>+200</w:t>
            </w:r>
          </w:p>
        </w:tc>
        <w:tc>
          <w:tcPr>
            <w:tcW w:w="840" w:type="dxa"/>
          </w:tcPr>
          <w:p w:rsidR="00501364" w:rsidRPr="00420F2D" w:rsidRDefault="0076075C">
            <w:pPr>
              <w:shd w:val="clear" w:color="000000" w:fill="auto"/>
              <w:spacing w:before="60" w:line="200" w:lineRule="exact"/>
              <w:jc w:val="right"/>
              <w:rPr>
                <w:color w:val="000000"/>
                <w:sz w:val="16"/>
                <w:szCs w:val="16"/>
              </w:rPr>
            </w:pPr>
            <w:r w:rsidRPr="00420F2D">
              <w:rPr>
                <w:color w:val="000000"/>
                <w:sz w:val="16"/>
                <w:szCs w:val="16"/>
              </w:rPr>
              <w:t>+200</w:t>
            </w:r>
          </w:p>
        </w:tc>
        <w:tc>
          <w:tcPr>
            <w:tcW w:w="840" w:type="dxa"/>
          </w:tcPr>
          <w:p w:rsidR="00501364" w:rsidRPr="00420F2D" w:rsidRDefault="0076075C">
            <w:pPr>
              <w:shd w:val="clear" w:color="000000" w:fill="auto"/>
              <w:spacing w:before="60" w:line="200" w:lineRule="exact"/>
              <w:jc w:val="right"/>
              <w:rPr>
                <w:color w:val="000000"/>
                <w:sz w:val="16"/>
                <w:szCs w:val="16"/>
              </w:rPr>
            </w:pPr>
            <w:r w:rsidRPr="00420F2D">
              <w:rPr>
                <w:color w:val="000000"/>
                <w:sz w:val="16"/>
                <w:szCs w:val="16"/>
              </w:rPr>
              <w:t>+200</w:t>
            </w:r>
          </w:p>
        </w:tc>
      </w:tr>
      <w:tr w:rsidR="00501364" w:rsidRPr="00420F2D">
        <w:trPr>
          <w:trHeight w:val="319"/>
        </w:trPr>
        <w:tc>
          <w:tcPr>
            <w:tcW w:w="643" w:type="dxa"/>
          </w:tcPr>
          <w:p w:rsidR="00501364" w:rsidRPr="00420F2D" w:rsidRDefault="0076075C">
            <w:pPr>
              <w:shd w:val="clear" w:color="000000" w:fill="auto"/>
              <w:spacing w:before="60" w:line="200" w:lineRule="exact"/>
              <w:jc w:val="left"/>
              <w:rPr>
                <w:color w:val="000000"/>
                <w:sz w:val="16"/>
                <w:szCs w:val="16"/>
              </w:rPr>
            </w:pPr>
            <w:r w:rsidRPr="00420F2D">
              <w:rPr>
                <w:color w:val="000000"/>
                <w:sz w:val="16"/>
                <w:szCs w:val="16"/>
              </w:rPr>
              <w:t>A 36:4</w:t>
            </w:r>
          </w:p>
        </w:tc>
        <w:tc>
          <w:tcPr>
            <w:tcW w:w="2492" w:type="dxa"/>
          </w:tcPr>
          <w:p w:rsidR="00501364" w:rsidRPr="00420F2D" w:rsidRDefault="0076075C">
            <w:pPr>
              <w:shd w:val="clear" w:color="000000" w:fill="auto"/>
              <w:spacing w:before="60" w:line="200" w:lineRule="exact"/>
              <w:jc w:val="left"/>
              <w:rPr>
                <w:color w:val="000000"/>
                <w:sz w:val="16"/>
                <w:szCs w:val="16"/>
              </w:rPr>
            </w:pPr>
            <w:r w:rsidRPr="00420F2D">
              <w:rPr>
                <w:color w:val="000000"/>
                <w:sz w:val="16"/>
                <w:szCs w:val="16"/>
              </w:rPr>
              <w:t>Nej till regeringens besparing av banunderhåll</w:t>
            </w:r>
          </w:p>
        </w:tc>
        <w:tc>
          <w:tcPr>
            <w:tcW w:w="840" w:type="dxa"/>
          </w:tcPr>
          <w:p w:rsidR="00501364" w:rsidRPr="00420F2D" w:rsidRDefault="0076075C">
            <w:pPr>
              <w:shd w:val="clear" w:color="000000" w:fill="auto"/>
              <w:spacing w:before="60" w:line="200" w:lineRule="exact"/>
              <w:jc w:val="right"/>
              <w:rPr>
                <w:color w:val="000000"/>
                <w:sz w:val="16"/>
                <w:szCs w:val="16"/>
              </w:rPr>
            </w:pPr>
            <w:r w:rsidRPr="00420F2D">
              <w:rPr>
                <w:sz w:val="16"/>
                <w:szCs w:val="16"/>
              </w:rPr>
              <w:t>+160</w:t>
            </w:r>
          </w:p>
        </w:tc>
        <w:tc>
          <w:tcPr>
            <w:tcW w:w="840" w:type="dxa"/>
          </w:tcPr>
          <w:p w:rsidR="00501364" w:rsidRPr="00420F2D" w:rsidRDefault="0076075C">
            <w:pPr>
              <w:shd w:val="clear" w:color="000000" w:fill="auto"/>
              <w:spacing w:before="60" w:line="200" w:lineRule="exact"/>
              <w:jc w:val="right"/>
              <w:rPr>
                <w:color w:val="000000"/>
                <w:sz w:val="16"/>
                <w:szCs w:val="16"/>
              </w:rPr>
            </w:pPr>
            <w:r w:rsidRPr="00420F2D">
              <w:rPr>
                <w:sz w:val="16"/>
                <w:szCs w:val="16"/>
              </w:rPr>
              <w:t>+160</w:t>
            </w:r>
          </w:p>
        </w:tc>
        <w:tc>
          <w:tcPr>
            <w:tcW w:w="840" w:type="dxa"/>
          </w:tcPr>
          <w:p w:rsidR="00501364" w:rsidRPr="00420F2D" w:rsidRDefault="0076075C">
            <w:pPr>
              <w:shd w:val="clear" w:color="000000" w:fill="auto"/>
              <w:spacing w:before="60" w:line="200" w:lineRule="exact"/>
              <w:jc w:val="right"/>
              <w:rPr>
                <w:color w:val="000000"/>
                <w:sz w:val="16"/>
                <w:szCs w:val="16"/>
              </w:rPr>
            </w:pPr>
            <w:r w:rsidRPr="00420F2D">
              <w:rPr>
                <w:sz w:val="16"/>
                <w:szCs w:val="16"/>
              </w:rPr>
              <w:t>+160</w:t>
            </w:r>
          </w:p>
        </w:tc>
      </w:tr>
      <w:tr w:rsidR="00501364" w:rsidRPr="00420F2D">
        <w:trPr>
          <w:trHeight w:val="319"/>
        </w:trPr>
        <w:tc>
          <w:tcPr>
            <w:tcW w:w="643" w:type="dxa"/>
            <w:tcBorders>
              <w:bottom w:val="single" w:sz="4" w:space="0" w:color="auto"/>
            </w:tcBorders>
          </w:tcPr>
          <w:p w:rsidR="00501364" w:rsidRPr="00420F2D" w:rsidRDefault="00501364">
            <w:pPr>
              <w:shd w:val="clear" w:color="000000" w:fill="auto"/>
              <w:spacing w:before="60" w:line="200" w:lineRule="exact"/>
              <w:jc w:val="left"/>
              <w:rPr>
                <w:b/>
                <w:color w:val="000000"/>
                <w:sz w:val="16"/>
                <w:szCs w:val="16"/>
              </w:rPr>
            </w:pPr>
          </w:p>
        </w:tc>
        <w:tc>
          <w:tcPr>
            <w:tcW w:w="2492" w:type="dxa"/>
            <w:tcBorders>
              <w:bottom w:val="single" w:sz="4" w:space="0" w:color="auto"/>
            </w:tcBorders>
            <w:vAlign w:val="bottom"/>
          </w:tcPr>
          <w:p w:rsidR="00501364" w:rsidRPr="00420F2D" w:rsidRDefault="0076075C">
            <w:pPr>
              <w:shd w:val="clear" w:color="000000" w:fill="auto"/>
              <w:spacing w:before="60" w:line="200" w:lineRule="exact"/>
              <w:jc w:val="left"/>
              <w:rPr>
                <w:b/>
                <w:color w:val="000000"/>
                <w:sz w:val="16"/>
                <w:szCs w:val="16"/>
              </w:rPr>
            </w:pPr>
            <w:r w:rsidRPr="00420F2D">
              <w:rPr>
                <w:b/>
                <w:color w:val="000000"/>
                <w:sz w:val="16"/>
                <w:szCs w:val="16"/>
              </w:rPr>
              <w:t>Summa</w:t>
            </w:r>
          </w:p>
        </w:tc>
        <w:tc>
          <w:tcPr>
            <w:tcW w:w="840" w:type="dxa"/>
            <w:tcBorders>
              <w:bottom w:val="single" w:sz="4" w:space="0" w:color="auto"/>
            </w:tcBorders>
            <w:vAlign w:val="bottom"/>
          </w:tcPr>
          <w:p w:rsidR="00501364" w:rsidRPr="00420F2D" w:rsidRDefault="0076075C">
            <w:pPr>
              <w:shd w:val="clear" w:color="000000" w:fill="auto"/>
              <w:spacing w:before="60" w:line="200" w:lineRule="exact"/>
              <w:jc w:val="right"/>
              <w:rPr>
                <w:b/>
                <w:color w:val="000000"/>
                <w:sz w:val="16"/>
                <w:szCs w:val="16"/>
              </w:rPr>
            </w:pPr>
            <w:r w:rsidRPr="00420F2D">
              <w:rPr>
                <w:b/>
                <w:color w:val="000000"/>
                <w:sz w:val="16"/>
                <w:szCs w:val="16"/>
              </w:rPr>
              <w:t>+860</w:t>
            </w:r>
          </w:p>
        </w:tc>
        <w:tc>
          <w:tcPr>
            <w:tcW w:w="840" w:type="dxa"/>
            <w:tcBorders>
              <w:bottom w:val="single" w:sz="4" w:space="0" w:color="auto"/>
            </w:tcBorders>
            <w:vAlign w:val="bottom"/>
          </w:tcPr>
          <w:p w:rsidR="00501364" w:rsidRPr="00420F2D" w:rsidRDefault="0076075C">
            <w:pPr>
              <w:shd w:val="clear" w:color="000000" w:fill="auto"/>
              <w:spacing w:before="60" w:line="200" w:lineRule="exact"/>
              <w:jc w:val="right"/>
              <w:rPr>
                <w:b/>
                <w:color w:val="000000"/>
                <w:sz w:val="16"/>
                <w:szCs w:val="16"/>
              </w:rPr>
            </w:pPr>
            <w:r w:rsidRPr="00420F2D">
              <w:rPr>
                <w:b/>
                <w:color w:val="000000"/>
                <w:sz w:val="16"/>
                <w:szCs w:val="16"/>
              </w:rPr>
              <w:t>+1 110</w:t>
            </w:r>
          </w:p>
        </w:tc>
        <w:tc>
          <w:tcPr>
            <w:tcW w:w="840" w:type="dxa"/>
            <w:tcBorders>
              <w:bottom w:val="single" w:sz="4" w:space="0" w:color="auto"/>
            </w:tcBorders>
            <w:vAlign w:val="bottom"/>
          </w:tcPr>
          <w:p w:rsidR="00501364" w:rsidRPr="00420F2D" w:rsidRDefault="0076075C">
            <w:pPr>
              <w:shd w:val="clear" w:color="000000" w:fill="auto"/>
              <w:spacing w:before="60" w:line="200" w:lineRule="exact"/>
              <w:jc w:val="right"/>
              <w:rPr>
                <w:b/>
                <w:sz w:val="16"/>
                <w:szCs w:val="16"/>
              </w:rPr>
            </w:pPr>
            <w:r w:rsidRPr="00420F2D">
              <w:rPr>
                <w:b/>
                <w:sz w:val="16"/>
                <w:szCs w:val="16"/>
              </w:rPr>
              <w:t>+1 360</w:t>
            </w:r>
          </w:p>
        </w:tc>
      </w:tr>
    </w:tbl>
    <w:p w:rsidR="00501364" w:rsidRPr="00420F2D" w:rsidRDefault="0076075C">
      <w:pPr>
        <w:shd w:val="clear" w:color="000000" w:fill="auto"/>
      </w:pPr>
      <w:r w:rsidRPr="00420F2D">
        <w:t>I en motion om järnvägstrafiken, 2006/07:T303, utvecklar vi vår politik när det gäller järnvägstrafiken.</w:t>
      </w:r>
    </w:p>
    <w:p w:rsidR="00501364" w:rsidRPr="00420F2D" w:rsidRDefault="0076075C">
      <w:pPr>
        <w:pStyle w:val="Rubrik2"/>
        <w:shd w:val="clear" w:color="000000" w:fill="auto"/>
      </w:pPr>
      <w:r w:rsidRPr="00420F2D">
        <w:t>Sjöfart</w:t>
      </w:r>
    </w:p>
    <w:p w:rsidR="00501364" w:rsidRPr="00420F2D" w:rsidRDefault="0076075C">
      <w:pPr>
        <w:shd w:val="clear" w:color="000000" w:fill="auto"/>
      </w:pPr>
      <w:r w:rsidRPr="00420F2D">
        <w:t>Regeringen föreslår en sänkning av investeringsanslaget till farleder. Anslaget sänks med 41 miljoner kronor och uppgår i regeringens förslag till 114 milj</w:t>
      </w:r>
      <w:r w:rsidRPr="00420F2D">
        <w:t>o</w:t>
      </w:r>
      <w:r w:rsidRPr="00420F2D">
        <w:t>ner kronor. Vi ser ingen anledning till att dra ned detta anslag och det finns inte heller någon motivering i själva texten. Regeringens förslag till investe</w:t>
      </w:r>
      <w:r w:rsidRPr="00420F2D">
        <w:t>r</w:t>
      </w:r>
      <w:r w:rsidRPr="00420F2D">
        <w:t xml:space="preserve">ingsplan bör justeras inom den föreslagna låneramen så att posten Farleder förstärks med 41 miljoner kronor. Detta bör riksdagen som sin mening ge regeringen till känna. </w:t>
      </w:r>
    </w:p>
    <w:p w:rsidR="00501364" w:rsidRPr="00420F2D" w:rsidRDefault="0076075C">
      <w:pPr>
        <w:pStyle w:val="Normaltindrag"/>
        <w:shd w:val="clear" w:color="000000" w:fill="auto"/>
      </w:pPr>
      <w:r w:rsidRPr="00420F2D">
        <w:t>Vi föreslår att Södertälje sluss tilldelas investeringsmedel. Nya större båtar i Mälaren skulle kunna öka sjöfartens konkurrenskraft gentemot övriga tran</w:t>
      </w:r>
      <w:r w:rsidRPr="00420F2D">
        <w:t>s</w:t>
      </w:r>
      <w:r w:rsidRPr="00420F2D">
        <w:t>portslag. En uppskjuten, eller i värsta fall, utebliven slussinvestering kan få allvarliga följder för Mälarsjöfarten. För Västerås, Köping och hela Ber</w:t>
      </w:r>
      <w:r w:rsidRPr="00420F2D">
        <w:t>g</w:t>
      </w:r>
      <w:r w:rsidRPr="00420F2D">
        <w:t>slagsområdet skulle detta få mycket negativa konsekvenser. Mälarhamnarna är viktiga för exporten från företagen i hela det omgivande området. Försä</w:t>
      </w:r>
      <w:r w:rsidRPr="00420F2D">
        <w:t>m</w:t>
      </w:r>
      <w:r w:rsidRPr="00420F2D">
        <w:t>rade transportmöjligheter gör att företagen förlorar i en konkurrenssituation och tvingas flytta bort från området. Till hamnen i Västerås kommer bl.a. fartyg med alternativa energibränslen till kraftvärmeverket.</w:t>
      </w:r>
    </w:p>
    <w:p w:rsidR="00501364" w:rsidRPr="00420F2D" w:rsidRDefault="0076075C">
      <w:pPr>
        <w:pStyle w:val="Normaltindrag"/>
        <w:shd w:val="clear" w:color="000000" w:fill="auto"/>
      </w:pPr>
      <w:r w:rsidRPr="00420F2D">
        <w:t>Minskade sjötransporter innebär naturligtvis ökat antal landtransporter, vilket är tvärt emot intentionen i det miljöpolitiska transportmålet. Som ett första steg avsätter vi 70 miljoner kronor 2007 (210 miljoner för perioden 2007–2009) för att påbörja en ombyggnad av Södertälje sluss och anslag 36:7 tillförs dessa medel.</w:t>
      </w:r>
    </w:p>
    <w:p w:rsidR="00501364" w:rsidRPr="00420F2D" w:rsidRDefault="0076075C">
      <w:pPr>
        <w:pStyle w:val="Normaltindrag"/>
        <w:shd w:val="clear" w:color="000000" w:fill="auto"/>
      </w:pPr>
      <w:r w:rsidRPr="00420F2D">
        <w:t>Vår motion T330 utvecklar vi frågan om Gotlandstrafiken och vi föreslår en utökning med 220 miljoner kronor från år 2008.</w:t>
      </w:r>
    </w:p>
    <w:p w:rsidR="00501364" w:rsidRPr="00420F2D" w:rsidRDefault="0076075C">
      <w:pPr>
        <w:pStyle w:val="Normaltindrag"/>
        <w:shd w:val="clear" w:color="000000" w:fill="auto"/>
      </w:pPr>
      <w:r w:rsidRPr="00420F2D">
        <w:t>I Vänsterpartiets motion om sjötrafik, T340, utvecklar vi vår politik när det gäller sjöfarten.</w:t>
      </w:r>
    </w:p>
    <w:p w:rsidR="00501364" w:rsidRPr="00420F2D" w:rsidRDefault="0076075C">
      <w:pPr>
        <w:pStyle w:val="Rubrik2"/>
        <w:shd w:val="clear" w:color="000000" w:fill="auto"/>
      </w:pPr>
      <w:r w:rsidRPr="00420F2D">
        <w:t>Interregional kollektivtrafik</w:t>
      </w:r>
    </w:p>
    <w:p w:rsidR="00501364" w:rsidRPr="00420F2D" w:rsidRDefault="0076075C">
      <w:pPr>
        <w:pStyle w:val="Rubrik3"/>
        <w:shd w:val="clear" w:color="000000" w:fill="auto"/>
        <w:spacing w:before="120"/>
      </w:pPr>
      <w:r w:rsidRPr="00420F2D">
        <w:t>Allmänt ökat stöd</w:t>
      </w:r>
    </w:p>
    <w:p w:rsidR="00501364" w:rsidRPr="00420F2D" w:rsidRDefault="0076075C">
      <w:pPr>
        <w:shd w:val="clear" w:color="000000" w:fill="auto"/>
      </w:pPr>
      <w:r w:rsidRPr="00420F2D">
        <w:t>Vi betalar gemensamt för kollektivtrafiken med våra skatter och biljettpengar. Kollektivtrafiken tillhör medborgarna och är liksom övrig infrastruktur, vård, omsorg och skola en del av den grundläggande samhällsservicen. Avregl</w:t>
      </w:r>
      <w:r w:rsidRPr="00420F2D">
        <w:t>e</w:t>
      </w:r>
      <w:r w:rsidRPr="00420F2D">
        <w:t>ring, bolagisering och konkurrensutsättning har på senare tid varit ledord. Detta har tvingat fram stora förändringar och försämringar inom kollektivtr</w:t>
      </w:r>
      <w:r w:rsidRPr="00420F2D">
        <w:t>a</w:t>
      </w:r>
      <w:r w:rsidRPr="00420F2D">
        <w:t>fiken. I stället för att fortsätta på den inslagna vägen menar Vänsterpartiet att det nu är hög tid för stat, kommuner och landsting att återta den nödvändiga kontrollen över kollektivtrafiken, eftersom den utgör en grundläggande sa</w:t>
      </w:r>
      <w:r w:rsidRPr="00420F2D">
        <w:t>m</w:t>
      </w:r>
      <w:r w:rsidRPr="00420F2D">
        <w:t>hällsservice. Inte minst för att stärka kvinnors behov av resande.</w:t>
      </w:r>
    </w:p>
    <w:p w:rsidR="00501364" w:rsidRPr="00420F2D" w:rsidRDefault="0076075C">
      <w:pPr>
        <w:pStyle w:val="Normaltindrag"/>
        <w:shd w:val="clear" w:color="000000" w:fill="auto"/>
      </w:pPr>
      <w:r w:rsidRPr="00420F2D">
        <w:t>Kollektivtrafiken ska därför i huvudsak drivas av samhället: i kommunal regi, landstingsregi eller statlig regi. Det innebär därför att privatisering av lokala, regionala eller nationella kollektivtrafikföretag ska motverkas, inte stimuleras. Om länstrafikbolag och kommunala trafikbolag på grund av ek</w:t>
      </w:r>
      <w:r w:rsidRPr="00420F2D">
        <w:t>o</w:t>
      </w:r>
      <w:r w:rsidRPr="00420F2D">
        <w:t>nomiska svårigheter höjer biljettpriserna finns en uppenbar risk att många väljer bort det kollektiva resandet, vilket leder till minskad trafikering. För att ge den lokala och regionala kollektivtrafiken möjlighet att utvecklas måste den få långsiktigt stabila förutsättningar för ekonomin. Kvinnor och män måste kunna lita på att kollektivtrafiken fungerar och är tillförlitlig om man vill ta sig till och från jobbet eller utbildningen. Om inte blir det svårt att få fler att resa kollektivt.</w:t>
      </w:r>
    </w:p>
    <w:p w:rsidR="00501364" w:rsidRPr="00420F2D" w:rsidRDefault="0076075C">
      <w:pPr>
        <w:pStyle w:val="Normaltindrag"/>
        <w:shd w:val="clear" w:color="000000" w:fill="auto"/>
      </w:pPr>
      <w:r w:rsidRPr="00420F2D">
        <w:t>Vänsterpartiet föreslår därför att kollektivtrafiken tillförs 2 250 miljoner kronor under en treårsperiod. För 2007 höjs anslag 36:12 med 500 miljoner kronor. Året efter höjs anslaget till 750 miljoner kronor och för 2009 avsätts 1 000 miljoner kronor.</w:t>
      </w:r>
    </w:p>
    <w:p w:rsidR="00501364" w:rsidRPr="00420F2D" w:rsidRDefault="0076075C">
      <w:pPr>
        <w:pStyle w:val="Rubrik3"/>
        <w:shd w:val="clear" w:color="000000" w:fill="auto"/>
      </w:pPr>
      <w:r w:rsidRPr="00420F2D">
        <w:t>Kollektivtrafik i glesbygd</w:t>
      </w:r>
    </w:p>
    <w:p w:rsidR="00501364" w:rsidRPr="00420F2D" w:rsidRDefault="0076075C">
      <w:pPr>
        <w:shd w:val="clear" w:color="000000" w:fill="auto"/>
        <w:rPr>
          <w:szCs w:val="24"/>
        </w:rPr>
      </w:pPr>
      <w:r w:rsidRPr="00420F2D">
        <w:t>Behovet av transporter varierar stort beroende på var i landet man bor. Det finns därför inte en lösning som passar hela landet. De långa avstånden i Norrland och andra delar av vårt land med låg befolkningstäthet leder till att många måste resa långa sträckor dagligen för att kunna ta sig till och från sina arbeten eller utbildningar. Det har tidigare hos Rikstrafiken funnits ett spec</w:t>
      </w:r>
      <w:r w:rsidRPr="00420F2D">
        <w:t>i</w:t>
      </w:r>
      <w:r w:rsidRPr="00420F2D">
        <w:t>ellt anslag för just de fyra nordligaste länen, men som försvann i samband med förra årets budget. Vi vill säkerställa att dessa medel verkligen ska finnas kvar och föreslår därför att kollektivtrafik i glesbygd tillförs 10 miljoner kr</w:t>
      </w:r>
      <w:r w:rsidRPr="00420F2D">
        <w:t>o</w:t>
      </w:r>
      <w:r w:rsidRPr="00420F2D">
        <w:t>nor.</w:t>
      </w:r>
    </w:p>
    <w:p w:rsidR="00501364" w:rsidRPr="00420F2D" w:rsidRDefault="0076075C">
      <w:pPr>
        <w:pStyle w:val="Normaltindrag"/>
        <w:shd w:val="clear" w:color="000000" w:fill="auto"/>
      </w:pPr>
      <w:r w:rsidRPr="00420F2D">
        <w:t>I en motion om kollektivtrafiken, 2006/07:T302, utvecklar vi vår politik när det gäller kollektivtrafiken.</w:t>
      </w:r>
    </w:p>
    <w:p w:rsidR="00501364" w:rsidRPr="00420F2D" w:rsidRDefault="0076075C">
      <w:pPr>
        <w:pStyle w:val="Rubrik2"/>
        <w:shd w:val="clear" w:color="000000" w:fill="auto"/>
      </w:pPr>
      <w:r w:rsidRPr="00420F2D">
        <w:t>Forskning och utveckling</w:t>
      </w:r>
    </w:p>
    <w:p w:rsidR="00501364" w:rsidRPr="00420F2D" w:rsidRDefault="0076075C">
      <w:pPr>
        <w:shd w:val="clear" w:color="000000" w:fill="auto"/>
      </w:pPr>
      <w:r w:rsidRPr="00420F2D">
        <w:t>Transportsystemet står inför stora förändringar. Om vi ska gå från traditione</w:t>
      </w:r>
      <w:r w:rsidRPr="00420F2D">
        <w:t>l</w:t>
      </w:r>
      <w:r w:rsidRPr="00420F2D">
        <w:t>la fossila till koldioxidneutrala bränslen krävs ett teknikskifte. Men ett tekni</w:t>
      </w:r>
      <w:r w:rsidRPr="00420F2D">
        <w:t>k</w:t>
      </w:r>
      <w:r w:rsidRPr="00420F2D">
        <w:t>skifte är även förenat med kostnader i form av forskning och demonstration</w:t>
      </w:r>
      <w:r w:rsidRPr="00420F2D">
        <w:t>s</w:t>
      </w:r>
      <w:r w:rsidRPr="00420F2D">
        <w:t>projekt. Staten bör därför stödja både forskning och uppförande av pilot- och demoanläggningar som tillverkar förnybara drivmedel.</w:t>
      </w:r>
    </w:p>
    <w:p w:rsidR="00501364" w:rsidRPr="00420F2D" w:rsidRDefault="0076075C">
      <w:pPr>
        <w:pStyle w:val="Normaltindrag"/>
        <w:shd w:val="clear" w:color="000000" w:fill="auto"/>
        <w:rPr>
          <w:bCs/>
          <w:color w:val="000000"/>
        </w:rPr>
      </w:pPr>
      <w:r w:rsidRPr="00420F2D">
        <w:t>I utredningen om förnybara fordonsbränslen föreslås ett forsknings-, u</w:t>
      </w:r>
      <w:r w:rsidRPr="00420F2D">
        <w:t>t</w:t>
      </w:r>
      <w:r w:rsidRPr="00420F2D">
        <w:t>vecklings- och demonstrationsprogram som totalt omfattar 150 miljoner kr</w:t>
      </w:r>
      <w:r w:rsidRPr="00420F2D">
        <w:t>o</w:t>
      </w:r>
      <w:r w:rsidRPr="00420F2D">
        <w:t>nor per år i statliga utgifter. Genom olika typer av medfinansiering kan dock de totala insatserna bli det dubbla enligt utredningen. Vi föreslår därför att det avsätts 100 miljoner kronor varje år till ett forsknings-, utvecklings- och d</w:t>
      </w:r>
      <w:r w:rsidRPr="00420F2D">
        <w:t>e</w:t>
      </w:r>
      <w:r w:rsidRPr="00420F2D">
        <w:t xml:space="preserve">monstrationsprogram som ska administreras av </w:t>
      </w:r>
      <w:r w:rsidRPr="00420F2D">
        <w:rPr>
          <w:bCs/>
          <w:color w:val="000000"/>
        </w:rPr>
        <w:t>Statens väg- och transpor</w:t>
      </w:r>
      <w:r w:rsidRPr="00420F2D">
        <w:rPr>
          <w:bCs/>
          <w:color w:val="000000"/>
        </w:rPr>
        <w:t>t</w:t>
      </w:r>
      <w:r w:rsidRPr="00420F2D">
        <w:rPr>
          <w:bCs/>
          <w:color w:val="000000"/>
        </w:rPr>
        <w:t>forskningsinstitut (anslag 36:14).</w:t>
      </w:r>
    </w:p>
    <w:p w:rsidR="00501364" w:rsidRPr="00420F2D" w:rsidRDefault="0076075C">
      <w:pPr>
        <w:pStyle w:val="Normaltindrag"/>
        <w:shd w:val="clear" w:color="000000" w:fill="auto"/>
      </w:pPr>
      <w:r w:rsidRPr="00420F2D">
        <w:t>Inom trafikforskningen är det ofta män som arbetar och det är ofta även mannens resemönster och värderingar som styr de kunskapsområden som utvecklas. Därför måste inriktningen av ett forsknings-, utvecklings- och demonstrationsprogram främja jämställdhetsmålet, och könsfördelningen mellan de anlitade forskarna bör vara jämn.</w:t>
      </w:r>
    </w:p>
    <w:p w:rsidR="00501364" w:rsidRPr="00420F2D" w:rsidRDefault="0076075C">
      <w:pPr>
        <w:pStyle w:val="Normaltindrag"/>
        <w:shd w:val="clear" w:color="000000" w:fill="auto"/>
      </w:pPr>
      <w:r w:rsidRPr="00420F2D">
        <w:t>I en motion om en miljöanpassad vägtrafik, 2006/07:Sk246, utvecklar vi vår politik när det gäller vägtrafiken.</w:t>
      </w:r>
    </w:p>
    <w:p w:rsidR="00501364" w:rsidRPr="00420F2D" w:rsidRDefault="0076075C">
      <w:pPr>
        <w:pStyle w:val="Rubrik2"/>
        <w:shd w:val="clear" w:color="000000" w:fill="auto"/>
      </w:pPr>
      <w:r w:rsidRPr="00420F2D">
        <w:t>Politikområde IT, elektronisk kommunikation och post</w:t>
      </w:r>
    </w:p>
    <w:p w:rsidR="00501364" w:rsidRPr="00420F2D" w:rsidRDefault="0076075C">
      <w:pPr>
        <w:shd w:val="clear" w:color="000000" w:fill="auto"/>
      </w:pPr>
      <w:r w:rsidRPr="00420F2D">
        <w:t>IT kan leda till ett klassamhälle med stark kontroll och utslagning eller till ett demokratiskt samhälle med stor delaktighet. Därför är det viktigt att vi fattar rätt politiska beslut så att alla får en chans att använda IT. Nästan en tredjedel av befolkningen saknar tillgång till tekniken i sina hem, vilket beror på att de inte kan eller inte vill. Det kan handla om korttidsutbildade, arbetslösa, pe</w:t>
      </w:r>
      <w:r w:rsidRPr="00420F2D">
        <w:t>n</w:t>
      </w:r>
      <w:r w:rsidRPr="00420F2D">
        <w:t>sionärer, invandrare eller funktionshindrade. Detta måste motarbetas med olika riktade åtgärder från statens sida. Det är nödvändigt med stora inform</w:t>
      </w:r>
      <w:r w:rsidRPr="00420F2D">
        <w:t>a</w:t>
      </w:r>
      <w:r w:rsidRPr="00420F2D">
        <w:t>tionssatsningar från exempelvis studieförbund, folkhögskolor och utbil</w:t>
      </w:r>
      <w:r w:rsidRPr="00420F2D">
        <w:t>d</w:t>
      </w:r>
      <w:r w:rsidRPr="00420F2D">
        <w:t>ningsradion för att skapa en bred delaktighet för alla. Folkbildningsförbundet har ett förslag om att starta informations- och utbildningsprojekt som skulle aktivera de människor som inte har tillgång till eller av olika anledningar inte använder sig av Internet. Utbildningen är tänkt att ske via främst tv (Utbil</w:t>
      </w:r>
      <w:r w:rsidRPr="00420F2D">
        <w:t>d</w:t>
      </w:r>
      <w:r w:rsidRPr="00420F2D">
        <w:t xml:space="preserve">ningsradion) och i form av studiecirklar. Vi finner förslaget intressant och vill att staten avsätter medel till Folkbildningsförbundet. Vi har därför avsatt 100 miljoner kronor för detta ändamål och stödet till Folkbildningsförbundet ska kanaliseras via PTS, Post- och telestyrelsen. </w:t>
      </w:r>
    </w:p>
    <w:p w:rsidR="00501364" w:rsidRPr="00420F2D" w:rsidRDefault="0076075C">
      <w:pPr>
        <w:pStyle w:val="Normaltindrag"/>
        <w:shd w:val="clear" w:color="000000" w:fill="auto"/>
      </w:pPr>
      <w:r w:rsidRPr="00420F2D">
        <w:t>I en motion om IT och bredband, 2006/07:T356, utvecklar vi vår politik när det gäller IT och bredband.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F2D">
        <w:trPr>
          <w:cantSplit/>
        </w:trPr>
        <w:tc>
          <w:tcPr>
            <w:tcW w:w="3046" w:type="dxa"/>
          </w:tcPr>
          <w:p w:rsidR="00BB2406" w:rsidRPr="00420F2D" w:rsidRDefault="00BB2406">
            <w:pPr>
              <w:pStyle w:val="UnderskriftDatum"/>
              <w:shd w:val="clear" w:color="000000" w:fill="auto"/>
              <w:spacing w:before="240"/>
            </w:pPr>
            <w:r w:rsidRPr="00420F2D">
              <w:t>Stockholm den 26 oktober 2006</w:t>
            </w:r>
          </w:p>
        </w:tc>
        <w:tc>
          <w:tcPr>
            <w:tcW w:w="3047" w:type="dxa"/>
          </w:tcPr>
          <w:p w:rsidR="00BB2406" w:rsidRPr="00420F2D" w:rsidRDefault="00BB2406">
            <w:pPr>
              <w:pStyle w:val="Underskrifter"/>
              <w:shd w:val="clear" w:color="000000" w:fill="auto"/>
              <w:spacing w:before="240"/>
            </w:pPr>
          </w:p>
        </w:tc>
      </w:tr>
      <w:tr w:rsidR="00000000" w:rsidRPr="00420F2D">
        <w:trPr>
          <w:cantSplit/>
        </w:trPr>
        <w:tc>
          <w:tcPr>
            <w:tcW w:w="3046" w:type="dxa"/>
          </w:tcPr>
          <w:p w:rsidR="00BB2406" w:rsidRPr="00420F2D" w:rsidRDefault="00BB2406">
            <w:pPr>
              <w:pStyle w:val="Underskrifter"/>
              <w:shd w:val="clear" w:color="000000" w:fill="auto"/>
            </w:pPr>
            <w:r w:rsidRPr="00420F2D">
              <w:t>Lars Ohly (v)</w:t>
            </w:r>
          </w:p>
        </w:tc>
        <w:tc>
          <w:tcPr>
            <w:tcW w:w="3046" w:type="dxa"/>
          </w:tcPr>
          <w:p w:rsidR="00BB2406" w:rsidRPr="00420F2D" w:rsidRDefault="00BB2406">
            <w:pPr>
              <w:pStyle w:val="Underskrifter"/>
              <w:shd w:val="clear" w:color="000000" w:fill="auto"/>
            </w:pPr>
          </w:p>
        </w:tc>
      </w:tr>
      <w:tr w:rsidR="00000000" w:rsidRPr="00420F2D">
        <w:trPr>
          <w:cantSplit/>
        </w:trPr>
        <w:tc>
          <w:tcPr>
            <w:tcW w:w="3046" w:type="dxa"/>
          </w:tcPr>
          <w:p w:rsidR="00BB2406" w:rsidRPr="00420F2D" w:rsidRDefault="00BB2406">
            <w:pPr>
              <w:pStyle w:val="Underskrifter"/>
              <w:shd w:val="clear" w:color="000000" w:fill="auto"/>
            </w:pPr>
            <w:r w:rsidRPr="00420F2D">
              <w:t>Marie Engström (v)</w:t>
            </w:r>
          </w:p>
        </w:tc>
        <w:tc>
          <w:tcPr>
            <w:tcW w:w="3046" w:type="dxa"/>
          </w:tcPr>
          <w:p w:rsidR="00BB2406" w:rsidRPr="00420F2D" w:rsidRDefault="00BB2406">
            <w:pPr>
              <w:pStyle w:val="Underskrifter"/>
              <w:shd w:val="clear" w:color="000000" w:fill="auto"/>
            </w:pPr>
            <w:r w:rsidRPr="00420F2D">
              <w:t>Wiwi-Anne Johansson (v)</w:t>
            </w:r>
          </w:p>
        </w:tc>
      </w:tr>
      <w:tr w:rsidR="00000000" w:rsidRPr="00420F2D">
        <w:trPr>
          <w:cantSplit/>
        </w:trPr>
        <w:tc>
          <w:tcPr>
            <w:tcW w:w="3046" w:type="dxa"/>
          </w:tcPr>
          <w:p w:rsidR="00BB2406" w:rsidRPr="00420F2D" w:rsidRDefault="00BB2406">
            <w:pPr>
              <w:pStyle w:val="Underskrifter"/>
              <w:shd w:val="clear" w:color="000000" w:fill="auto"/>
            </w:pPr>
            <w:r w:rsidRPr="00420F2D">
              <w:t>Elina Linna (v)</w:t>
            </w:r>
          </w:p>
        </w:tc>
        <w:tc>
          <w:tcPr>
            <w:tcW w:w="3046" w:type="dxa"/>
          </w:tcPr>
          <w:p w:rsidR="00BB2406" w:rsidRPr="00420F2D" w:rsidRDefault="00BB2406">
            <w:pPr>
              <w:pStyle w:val="Underskrifter"/>
              <w:shd w:val="clear" w:color="000000" w:fill="auto"/>
            </w:pPr>
            <w:r w:rsidRPr="00420F2D">
              <w:t>Peter Pedersen (v)</w:t>
            </w:r>
          </w:p>
        </w:tc>
      </w:tr>
      <w:tr w:rsidR="00000000" w:rsidRPr="00420F2D">
        <w:trPr>
          <w:cantSplit/>
        </w:trPr>
        <w:tc>
          <w:tcPr>
            <w:tcW w:w="3046" w:type="dxa"/>
          </w:tcPr>
          <w:p w:rsidR="00BB2406" w:rsidRPr="00420F2D" w:rsidRDefault="00BB2406">
            <w:pPr>
              <w:pStyle w:val="Underskrifter"/>
              <w:shd w:val="clear" w:color="000000" w:fill="auto"/>
            </w:pPr>
            <w:r w:rsidRPr="00420F2D">
              <w:t>Kent Persson (v)</w:t>
            </w:r>
          </w:p>
        </w:tc>
        <w:tc>
          <w:tcPr>
            <w:tcW w:w="3046" w:type="dxa"/>
          </w:tcPr>
          <w:p w:rsidR="00BB2406" w:rsidRPr="00420F2D" w:rsidRDefault="00BB2406">
            <w:pPr>
              <w:pStyle w:val="Underskrifter"/>
              <w:shd w:val="clear" w:color="000000" w:fill="auto"/>
            </w:pPr>
            <w:r w:rsidRPr="00420F2D">
              <w:t>Alice Åström (v)</w:t>
            </w:r>
          </w:p>
        </w:tc>
      </w:tr>
      <w:tr w:rsidR="00000000" w:rsidRPr="00420F2D">
        <w:trPr>
          <w:cantSplit/>
        </w:trPr>
        <w:tc>
          <w:tcPr>
            <w:tcW w:w="3046" w:type="dxa"/>
          </w:tcPr>
          <w:p w:rsidR="00BB2406" w:rsidRPr="00420F2D" w:rsidRDefault="00BB2406">
            <w:pPr>
              <w:pStyle w:val="Underskrifter"/>
              <w:shd w:val="clear" w:color="000000" w:fill="auto"/>
            </w:pPr>
            <w:r w:rsidRPr="00420F2D">
              <w:t>Ulla Andersson (v)</w:t>
            </w:r>
          </w:p>
        </w:tc>
        <w:tc>
          <w:tcPr>
            <w:tcW w:w="3046" w:type="dxa"/>
          </w:tcPr>
          <w:p w:rsidR="00BB2406" w:rsidRPr="00420F2D" w:rsidRDefault="00BB2406">
            <w:pPr>
              <w:pStyle w:val="Underskrifter"/>
              <w:shd w:val="clear" w:color="000000" w:fill="auto"/>
            </w:pPr>
          </w:p>
        </w:tc>
      </w:tr>
    </w:tbl>
    <w:p w:rsidR="00501364" w:rsidRPr="00420F2D" w:rsidRDefault="00501364">
      <w:pPr>
        <w:pStyle w:val="Normaltindrag"/>
        <w:shd w:val="clear" w:color="000000" w:fill="auto"/>
      </w:pPr>
    </w:p>
    <w:sectPr w:rsidR="00501364" w:rsidRPr="00420F2D" w:rsidSect="005013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406" w:rsidRPr="00420F2D" w:rsidRDefault="00BB2406">
      <w:r w:rsidRPr="00420F2D">
        <w:separator/>
      </w:r>
    </w:p>
  </w:endnote>
  <w:endnote w:type="continuationSeparator" w:id="0">
    <w:p w:rsidR="00BB2406" w:rsidRPr="00420F2D" w:rsidRDefault="00BB2406">
      <w:r w:rsidRPr="00420F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364" w:rsidRPr="00420F2D" w:rsidRDefault="00420F2D">
    <w:pPr>
      <w:pStyle w:val="Sidfot"/>
    </w:pPr>
    <w:r w:rsidRPr="00420F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911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64" w:rsidRDefault="00BB2406">
                          <w:pPr>
                            <w:pStyle w:val="NormalS5sidnrV"/>
                          </w:pPr>
                          <w:r>
                            <w:fldChar w:fldCharType="begin"/>
                          </w:r>
                          <w:r w:rsidR="0076075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1364" w:rsidRDefault="00BB2406">
                    <w:pPr>
                      <w:pStyle w:val="NormalS5sidnrV"/>
                    </w:pPr>
                    <w:r>
                      <w:fldChar w:fldCharType="begin"/>
                    </w:r>
                    <w:r w:rsidR="0076075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364" w:rsidRPr="00420F2D" w:rsidRDefault="00420F2D">
    <w:pPr>
      <w:pStyle w:val="Sidfot"/>
    </w:pPr>
    <w:r w:rsidRPr="00420F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741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64" w:rsidRDefault="00BB2406">
                          <w:pPr>
                            <w:pStyle w:val="NormalS5sidnrH"/>
                            <w:ind w:right="0"/>
                          </w:pPr>
                          <w:r>
                            <w:fldChar w:fldCharType="begin"/>
                          </w:r>
                          <w:r w:rsidR="0076075C">
                            <w:instrText xml:space="preserve"> PAGE *\charformat</w:instrText>
                          </w:r>
                          <w:r>
                            <w:fldChar w:fldCharType="separate"/>
                          </w:r>
                          <w:r w:rsidR="004147D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1364" w:rsidRDefault="00BB2406">
                    <w:pPr>
                      <w:pStyle w:val="NormalS5sidnrH"/>
                      <w:ind w:right="0"/>
                    </w:pPr>
                    <w:r>
                      <w:fldChar w:fldCharType="begin"/>
                    </w:r>
                    <w:r w:rsidR="0076075C">
                      <w:instrText xml:space="preserve"> PAGE *\charformat</w:instrText>
                    </w:r>
                    <w:r>
                      <w:fldChar w:fldCharType="separate"/>
                    </w:r>
                    <w:r w:rsidR="004147D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364" w:rsidRPr="00420F2D" w:rsidRDefault="00420F2D">
    <w:pPr>
      <w:pStyle w:val="Sidfot"/>
    </w:pPr>
    <w:r w:rsidRPr="00420F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319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64" w:rsidRDefault="00BB2406">
                          <w:pPr>
                            <w:pStyle w:val="NormalS5sidnrH"/>
                            <w:ind w:right="0"/>
                          </w:pPr>
                          <w:r>
                            <w:fldChar w:fldCharType="begin"/>
                          </w:r>
                          <w:r w:rsidR="0076075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1364" w:rsidRDefault="00BB2406">
                    <w:pPr>
                      <w:pStyle w:val="NormalS5sidnrH"/>
                      <w:ind w:right="0"/>
                    </w:pPr>
                    <w:r>
                      <w:fldChar w:fldCharType="begin"/>
                    </w:r>
                    <w:r w:rsidR="0076075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406" w:rsidRPr="00420F2D" w:rsidRDefault="00BB2406">
      <w:r w:rsidRPr="00420F2D">
        <w:separator/>
      </w:r>
    </w:p>
  </w:footnote>
  <w:footnote w:type="continuationSeparator" w:id="0">
    <w:p w:rsidR="00BB2406" w:rsidRPr="00420F2D" w:rsidRDefault="00BB2406">
      <w:r w:rsidRPr="00420F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364" w:rsidRPr="00420F2D" w:rsidRDefault="00420F2D">
    <w:pPr>
      <w:pStyle w:val="Sidhuvud"/>
    </w:pPr>
    <w:r w:rsidRPr="00420F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1807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64" w:rsidRDefault="00BB2406">
                          <w:pPr>
                            <w:pStyle w:val="KantRubrikS5V"/>
                          </w:pPr>
                          <w:r>
                            <w:fldChar w:fldCharType="begin"/>
                          </w:r>
                          <w:r w:rsidR="0076075C">
                            <w:instrText xml:space="preserve"> DOCPROPERTY "YearUser" *\charformat </w:instrText>
                          </w:r>
                          <w:r>
                            <w:fldChar w:fldCharType="separate"/>
                          </w:r>
                          <w:r w:rsidR="004147D1">
                            <w:t>2006/07</w:t>
                          </w:r>
                          <w:r>
                            <w:fldChar w:fldCharType="end"/>
                          </w:r>
                          <w:r w:rsidR="0076075C">
                            <w:t>:</w:t>
                          </w:r>
                          <w:r>
                            <w:fldChar w:fldCharType="begin"/>
                          </w:r>
                          <w:r w:rsidR="0076075C">
                            <w:instrText xml:space="preserve"> DOCPROPERTY "Motionsnummer" *\charformat </w:instrText>
                          </w:r>
                          <w:r>
                            <w:fldChar w:fldCharType="separate"/>
                          </w:r>
                          <w:r w:rsidR="004147D1">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1364" w:rsidRDefault="00BB2406">
                    <w:pPr>
                      <w:pStyle w:val="KantRubrikS5V"/>
                    </w:pPr>
                    <w:r>
                      <w:fldChar w:fldCharType="begin"/>
                    </w:r>
                    <w:r w:rsidR="0076075C">
                      <w:instrText xml:space="preserve"> DOCPROPERTY "YearUser" *\charformat </w:instrText>
                    </w:r>
                    <w:r>
                      <w:fldChar w:fldCharType="separate"/>
                    </w:r>
                    <w:r w:rsidR="004147D1">
                      <w:t>2006/07</w:t>
                    </w:r>
                    <w:r>
                      <w:fldChar w:fldCharType="end"/>
                    </w:r>
                    <w:r w:rsidR="0076075C">
                      <w:t>:</w:t>
                    </w:r>
                    <w:r>
                      <w:fldChar w:fldCharType="begin"/>
                    </w:r>
                    <w:r w:rsidR="0076075C">
                      <w:instrText xml:space="preserve"> DOCPROPERTY "Motionsnummer" *\charformat </w:instrText>
                    </w:r>
                    <w:r>
                      <w:fldChar w:fldCharType="separate"/>
                    </w:r>
                    <w:r w:rsidR="004147D1">
                      <w:t>T441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364" w:rsidRPr="00420F2D" w:rsidRDefault="00420F2D">
    <w:pPr>
      <w:pStyle w:val="Sidhuvud"/>
    </w:pPr>
    <w:r w:rsidRPr="00420F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0541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64" w:rsidRDefault="00BB2406">
                          <w:pPr>
                            <w:pStyle w:val="KantRubrikS5H"/>
                            <w:ind w:right="0"/>
                          </w:pPr>
                          <w:r>
                            <w:fldChar w:fldCharType="begin"/>
                          </w:r>
                          <w:r w:rsidR="0076075C">
                            <w:instrText xml:space="preserve"> DOCPROPERTY "YearUser" *\charformat </w:instrText>
                          </w:r>
                          <w:r>
                            <w:fldChar w:fldCharType="separate"/>
                          </w:r>
                          <w:r w:rsidR="004147D1">
                            <w:t>2006/07</w:t>
                          </w:r>
                          <w:r>
                            <w:fldChar w:fldCharType="end"/>
                          </w:r>
                          <w:r w:rsidR="0076075C">
                            <w:t>:</w:t>
                          </w:r>
                          <w:r>
                            <w:fldChar w:fldCharType="begin"/>
                          </w:r>
                          <w:r w:rsidR="0076075C">
                            <w:instrText xml:space="preserve"> DOCPROPERTY "Motionsnummer" *\charformat </w:instrText>
                          </w:r>
                          <w:r>
                            <w:fldChar w:fldCharType="separate"/>
                          </w:r>
                          <w:r w:rsidR="004147D1">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1364" w:rsidRDefault="00BB2406">
                    <w:pPr>
                      <w:pStyle w:val="KantRubrikS5H"/>
                      <w:ind w:right="0"/>
                    </w:pPr>
                    <w:r>
                      <w:fldChar w:fldCharType="begin"/>
                    </w:r>
                    <w:r w:rsidR="0076075C">
                      <w:instrText xml:space="preserve"> DOCPROPERTY "YearUser" *\charformat </w:instrText>
                    </w:r>
                    <w:r>
                      <w:fldChar w:fldCharType="separate"/>
                    </w:r>
                    <w:r w:rsidR="004147D1">
                      <w:t>2006/07</w:t>
                    </w:r>
                    <w:r>
                      <w:fldChar w:fldCharType="end"/>
                    </w:r>
                    <w:r w:rsidR="0076075C">
                      <w:t>:</w:t>
                    </w:r>
                    <w:r>
                      <w:fldChar w:fldCharType="begin"/>
                    </w:r>
                    <w:r w:rsidR="0076075C">
                      <w:instrText xml:space="preserve"> DOCPROPERTY "Motionsnummer" *\charformat </w:instrText>
                    </w:r>
                    <w:r>
                      <w:fldChar w:fldCharType="separate"/>
                    </w:r>
                    <w:r w:rsidR="004147D1">
                      <w:t>T441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406" w:rsidRPr="00420F2D" w:rsidRDefault="00BB2406">
    <w:pPr>
      <w:pStyle w:val="FSHNormal"/>
      <w:tabs>
        <w:tab w:val="right" w:pos="5840"/>
      </w:tabs>
    </w:pPr>
    <w:r w:rsidRPr="00420F2D">
      <w:br/>
    </w:r>
    <w:r w:rsidRPr="00420F2D">
      <w:fldChar w:fldCharType="begin" w:fldLock="1"/>
    </w:r>
    <w:r w:rsidRPr="00420F2D">
      <w:instrText xml:space="preserve"> DOCPROPERTY</w:instrText>
    </w:r>
    <w:r w:rsidRPr="00420F2D">
      <w:rPr>
        <w:sz w:val="18"/>
      </w:rPr>
      <w:instrText xml:space="preserve"> "YearUser" *\charformat </w:instrText>
    </w:r>
    <w:r w:rsidRPr="00420F2D">
      <w:fldChar w:fldCharType="separate"/>
    </w:r>
    <w:r w:rsidRPr="00420F2D">
      <w:t>2006/07</w:t>
    </w:r>
    <w:r w:rsidRPr="00420F2D">
      <w:fldChar w:fldCharType="end"/>
    </w:r>
    <w:r w:rsidRPr="00420F2D">
      <w:t xml:space="preserve"> </w:t>
    </w:r>
    <w:r w:rsidRPr="00420F2D">
      <w:tab/>
      <w:t xml:space="preserve">mnr: </w:t>
    </w:r>
    <w:r w:rsidRPr="00420F2D">
      <w:fldChar w:fldCharType="begin" w:fldLock="1"/>
    </w:r>
    <w:r w:rsidRPr="00420F2D">
      <w:instrText xml:space="preserve"> DOCPROPERTY</w:instrText>
    </w:r>
    <w:r w:rsidRPr="00420F2D">
      <w:rPr>
        <w:sz w:val="18"/>
      </w:rPr>
      <w:instrText xml:space="preserve"> "Motionsnummer" *\charformat </w:instrText>
    </w:r>
    <w:r w:rsidRPr="00420F2D">
      <w:fldChar w:fldCharType="separate"/>
    </w:r>
    <w:r w:rsidRPr="00420F2D">
      <w:t>T441</w:t>
    </w:r>
    <w:r w:rsidRPr="00420F2D">
      <w:fldChar w:fldCharType="end"/>
    </w:r>
    <w:r w:rsidRPr="00420F2D">
      <w:br/>
    </w:r>
    <w:r w:rsidRPr="00420F2D">
      <w:fldChar w:fldCharType="begin" w:fldLock="1"/>
    </w:r>
    <w:r w:rsidRPr="00420F2D">
      <w:instrText xml:space="preserve"> DOCPROPERTY</w:instrText>
    </w:r>
    <w:r w:rsidRPr="00420F2D">
      <w:rPr>
        <w:sz w:val="18"/>
      </w:rPr>
      <w:instrText xml:space="preserve"> "Samling" *\charformat </w:instrText>
    </w:r>
    <w:r w:rsidRPr="00420F2D">
      <w:fldChar w:fldCharType="end"/>
    </w:r>
    <w:r w:rsidRPr="00420F2D">
      <w:tab/>
      <w:t xml:space="preserve">pnr: </w:t>
    </w:r>
    <w:r w:rsidRPr="00420F2D">
      <w:fldChar w:fldCharType="begin" w:fldLock="1"/>
    </w:r>
    <w:r w:rsidRPr="00420F2D">
      <w:instrText xml:space="preserve"> DOCPROPERTY</w:instrText>
    </w:r>
    <w:r w:rsidRPr="00420F2D">
      <w:rPr>
        <w:sz w:val="18"/>
      </w:rPr>
      <w:instrText xml:space="preserve"> "Partinummer" *\charformat </w:instrText>
    </w:r>
    <w:r w:rsidRPr="00420F2D">
      <w:fldChar w:fldCharType="separate"/>
    </w:r>
    <w:r w:rsidRPr="00420F2D">
      <w:t>v215</w:t>
    </w:r>
    <w:r w:rsidRPr="00420F2D">
      <w:fldChar w:fldCharType="end"/>
    </w:r>
  </w:p>
  <w:p w:rsidR="00BB2406" w:rsidRPr="00420F2D" w:rsidRDefault="00BB2406">
    <w:pPr>
      <w:pStyle w:val="FSHRub1"/>
    </w:pPr>
    <w:r w:rsidRPr="00420F2D">
      <w:t>Motion till riksdagen</w:t>
    </w:r>
    <w:r w:rsidRPr="00420F2D">
      <w:br/>
    </w:r>
    <w:r w:rsidRPr="00420F2D">
      <w:fldChar w:fldCharType="begin" w:fldLock="1"/>
    </w:r>
    <w:r w:rsidRPr="00420F2D">
      <w:instrText xml:space="preserve"> DOCPROPERTY "YearUser" *\charformat </w:instrText>
    </w:r>
    <w:r w:rsidRPr="00420F2D">
      <w:fldChar w:fldCharType="separate"/>
    </w:r>
    <w:r w:rsidRPr="00420F2D">
      <w:t>2006/07</w:t>
    </w:r>
    <w:r w:rsidRPr="00420F2D">
      <w:fldChar w:fldCharType="end"/>
    </w:r>
    <w:r w:rsidRPr="00420F2D">
      <w:t>:</w:t>
    </w:r>
    <w:r w:rsidRPr="00420F2D">
      <w:fldChar w:fldCharType="begin" w:fldLock="1"/>
    </w:r>
    <w:r w:rsidRPr="00420F2D">
      <w:instrText xml:space="preserve"> DOCPROPERTY "Motionsnummer" *\charformat </w:instrText>
    </w:r>
    <w:r w:rsidRPr="00420F2D">
      <w:fldChar w:fldCharType="separate"/>
    </w:r>
    <w:r w:rsidRPr="00420F2D">
      <w:t>T441</w:t>
    </w:r>
    <w:r w:rsidRPr="00420F2D">
      <w:fldChar w:fldCharType="end"/>
    </w:r>
  </w:p>
  <w:p w:rsidR="00BB2406" w:rsidRPr="00420F2D" w:rsidRDefault="00BB2406">
    <w:pPr>
      <w:pStyle w:val="FSHNormalS5"/>
    </w:pPr>
    <w:r w:rsidRPr="00420F2D">
      <w:fldChar w:fldCharType="begin" w:fldLock="1"/>
    </w:r>
    <w:r w:rsidRPr="00420F2D">
      <w:instrText xml:space="preserve"> DOCPROPERTY "MotionarText" *\charformat </w:instrText>
    </w:r>
    <w:r w:rsidRPr="00420F2D">
      <w:fldChar w:fldCharType="separate"/>
    </w:r>
    <w:r w:rsidRPr="00420F2D">
      <w:t>av Lars Ohly m.fl. (v)</w:t>
    </w:r>
    <w:r w:rsidRPr="00420F2D">
      <w:fldChar w:fldCharType="end"/>
    </w:r>
    <w:r w:rsidRPr="00420F2D">
      <w:br/>
    </w:r>
    <w:r w:rsidRPr="00420F2D">
      <w:fldChar w:fldCharType="begin" w:fldLock="1"/>
    </w:r>
    <w:r w:rsidRPr="00420F2D">
      <w:instrText xml:space="preserve"> DOCPROPERTY "SvarFrasKort" *\charformat </w:instrText>
    </w:r>
    <w:r w:rsidRPr="00420F2D">
      <w:fldChar w:fldCharType="end"/>
    </w:r>
  </w:p>
  <w:p w:rsidR="00BB2406" w:rsidRPr="00420F2D" w:rsidRDefault="00BB2406">
    <w:pPr>
      <w:pStyle w:val="FSHTitel"/>
    </w:pPr>
    <w:r w:rsidRPr="00420F2D">
      <w:fldChar w:fldCharType="begin" w:fldLock="1"/>
    </w:r>
    <w:r w:rsidRPr="00420F2D">
      <w:instrText xml:space="preserve"> DOCPROPERTY</w:instrText>
    </w:r>
    <w:r w:rsidRPr="00420F2D">
      <w:rPr>
        <w:sz w:val="18"/>
      </w:rPr>
      <w:instrText xml:space="preserve"> "RubrikSvar" *\charformat </w:instrText>
    </w:r>
    <w:r w:rsidRPr="00420F2D">
      <w:fldChar w:fldCharType="separate"/>
    </w:r>
    <w:r w:rsidRPr="00420F2D">
      <w:t>Utgiftsområde 22 Kommunikationer</w:t>
    </w:r>
    <w:r w:rsidRPr="00420F2D">
      <w:fldChar w:fldCharType="end"/>
    </w:r>
  </w:p>
  <w:p w:rsidR="00BB2406" w:rsidRPr="00420F2D" w:rsidRDefault="00BB2406">
    <w:pPr>
      <w:pStyle w:val="Normal00"/>
    </w:pPr>
  </w:p>
  <w:p w:rsidR="00501364" w:rsidRPr="00420F2D" w:rsidRDefault="005013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95680"/>
    <w:multiLevelType w:val="multilevel"/>
    <w:tmpl w:val="BCDA89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0D1525B"/>
    <w:multiLevelType w:val="multilevel"/>
    <w:tmpl w:val="5A1436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8076823"/>
    <w:multiLevelType w:val="hybridMultilevel"/>
    <w:tmpl w:val="75C20A58"/>
    <w:lvl w:ilvl="0" w:tplc="438E1B16">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3AC1369C"/>
    <w:multiLevelType w:val="multilevel"/>
    <w:tmpl w:val="2580EB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9626D9B8">
      <w:start w:val="1"/>
      <w:numFmt w:val="decimal"/>
      <w:lvlText w:val="%1."/>
      <w:lvlJc w:val="left"/>
      <w:pPr>
        <w:tabs>
          <w:tab w:val="num" w:pos="340"/>
        </w:tabs>
        <w:ind w:left="340" w:hanging="340"/>
      </w:pPr>
    </w:lvl>
    <w:lvl w:ilvl="1" w:tplc="28AE1B24" w:tentative="1">
      <w:start w:val="1"/>
      <w:numFmt w:val="lowerLetter"/>
      <w:lvlText w:val="%2."/>
      <w:lvlJc w:val="left"/>
      <w:pPr>
        <w:tabs>
          <w:tab w:val="num" w:pos="1440"/>
        </w:tabs>
        <w:ind w:left="1440" w:hanging="360"/>
      </w:pPr>
    </w:lvl>
    <w:lvl w:ilvl="2" w:tplc="8ECE150C" w:tentative="1">
      <w:start w:val="1"/>
      <w:numFmt w:val="lowerRoman"/>
      <w:lvlText w:val="%3."/>
      <w:lvlJc w:val="right"/>
      <w:pPr>
        <w:tabs>
          <w:tab w:val="num" w:pos="2160"/>
        </w:tabs>
        <w:ind w:left="2160" w:hanging="180"/>
      </w:pPr>
    </w:lvl>
    <w:lvl w:ilvl="3" w:tplc="D428891A" w:tentative="1">
      <w:start w:val="1"/>
      <w:numFmt w:val="decimal"/>
      <w:lvlText w:val="%4."/>
      <w:lvlJc w:val="left"/>
      <w:pPr>
        <w:tabs>
          <w:tab w:val="num" w:pos="2880"/>
        </w:tabs>
        <w:ind w:left="2880" w:hanging="360"/>
      </w:pPr>
    </w:lvl>
    <w:lvl w:ilvl="4" w:tplc="443037E4" w:tentative="1">
      <w:start w:val="1"/>
      <w:numFmt w:val="lowerLetter"/>
      <w:lvlText w:val="%5."/>
      <w:lvlJc w:val="left"/>
      <w:pPr>
        <w:tabs>
          <w:tab w:val="num" w:pos="3600"/>
        </w:tabs>
        <w:ind w:left="3600" w:hanging="360"/>
      </w:pPr>
    </w:lvl>
    <w:lvl w:ilvl="5" w:tplc="A9161FE0" w:tentative="1">
      <w:start w:val="1"/>
      <w:numFmt w:val="lowerRoman"/>
      <w:lvlText w:val="%6."/>
      <w:lvlJc w:val="right"/>
      <w:pPr>
        <w:tabs>
          <w:tab w:val="num" w:pos="4320"/>
        </w:tabs>
        <w:ind w:left="4320" w:hanging="180"/>
      </w:pPr>
    </w:lvl>
    <w:lvl w:ilvl="6" w:tplc="33325AF0" w:tentative="1">
      <w:start w:val="1"/>
      <w:numFmt w:val="decimal"/>
      <w:lvlText w:val="%7."/>
      <w:lvlJc w:val="left"/>
      <w:pPr>
        <w:tabs>
          <w:tab w:val="num" w:pos="5040"/>
        </w:tabs>
        <w:ind w:left="5040" w:hanging="360"/>
      </w:pPr>
    </w:lvl>
    <w:lvl w:ilvl="7" w:tplc="23642E28" w:tentative="1">
      <w:start w:val="1"/>
      <w:numFmt w:val="lowerLetter"/>
      <w:lvlText w:val="%8."/>
      <w:lvlJc w:val="left"/>
      <w:pPr>
        <w:tabs>
          <w:tab w:val="num" w:pos="5760"/>
        </w:tabs>
        <w:ind w:left="5760" w:hanging="360"/>
      </w:pPr>
    </w:lvl>
    <w:lvl w:ilvl="8" w:tplc="F940B1D4" w:tentative="1">
      <w:start w:val="1"/>
      <w:numFmt w:val="lowerRoman"/>
      <w:lvlText w:val="%9."/>
      <w:lvlJc w:val="right"/>
      <w:pPr>
        <w:tabs>
          <w:tab w:val="num" w:pos="6480"/>
        </w:tabs>
        <w:ind w:left="6480" w:hanging="180"/>
      </w:pPr>
    </w:lvl>
  </w:abstractNum>
  <w:num w:numId="1" w16cid:durableId="2000882796">
    <w:abstractNumId w:val="17"/>
  </w:num>
  <w:num w:numId="2" w16cid:durableId="839779838">
    <w:abstractNumId w:val="10"/>
  </w:num>
  <w:num w:numId="3" w16cid:durableId="514808749">
    <w:abstractNumId w:val="14"/>
  </w:num>
  <w:num w:numId="4" w16cid:durableId="1362975457">
    <w:abstractNumId w:val="16"/>
  </w:num>
  <w:num w:numId="5" w16cid:durableId="577903423">
    <w:abstractNumId w:val="8"/>
  </w:num>
  <w:num w:numId="6" w16cid:durableId="2073504236">
    <w:abstractNumId w:val="3"/>
  </w:num>
  <w:num w:numId="7" w16cid:durableId="2012834737">
    <w:abstractNumId w:val="2"/>
  </w:num>
  <w:num w:numId="8" w16cid:durableId="924606973">
    <w:abstractNumId w:val="1"/>
  </w:num>
  <w:num w:numId="9" w16cid:durableId="1718969251">
    <w:abstractNumId w:val="0"/>
  </w:num>
  <w:num w:numId="10" w16cid:durableId="637878568">
    <w:abstractNumId w:val="9"/>
  </w:num>
  <w:num w:numId="11" w16cid:durableId="1749383414">
    <w:abstractNumId w:val="7"/>
  </w:num>
  <w:num w:numId="12" w16cid:durableId="1079864599">
    <w:abstractNumId w:val="6"/>
  </w:num>
  <w:num w:numId="13" w16cid:durableId="1339431212">
    <w:abstractNumId w:val="5"/>
  </w:num>
  <w:num w:numId="14" w16cid:durableId="1691494270">
    <w:abstractNumId w:val="4"/>
  </w:num>
  <w:num w:numId="15" w16cid:durableId="1306546370">
    <w:abstractNumId w:val="11"/>
  </w:num>
  <w:num w:numId="16" w16cid:durableId="2073383462">
    <w:abstractNumId w:val="11"/>
  </w:num>
  <w:num w:numId="17" w16cid:durableId="858465495">
    <w:abstractNumId w:val="11"/>
  </w:num>
  <w:num w:numId="18" w16cid:durableId="275872740">
    <w:abstractNumId w:val="13"/>
  </w:num>
  <w:num w:numId="19" w16cid:durableId="487939974">
    <w:abstractNumId w:val="12"/>
  </w:num>
  <w:num w:numId="20" w16cid:durableId="1775518498">
    <w:abstractNumId w:val="12"/>
  </w:num>
  <w:num w:numId="21" w16cid:durableId="516576278">
    <w:abstractNumId w:val="12"/>
  </w:num>
  <w:num w:numId="22" w16cid:durableId="712777317">
    <w:abstractNumId w:val="12"/>
  </w:num>
  <w:num w:numId="23" w16cid:durableId="1310674112">
    <w:abstractNumId w:val="13"/>
  </w:num>
  <w:num w:numId="24" w16cid:durableId="567615303">
    <w:abstractNumId w:val="13"/>
  </w:num>
  <w:num w:numId="25" w16cid:durableId="5453351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F1A2565D-4D2F-4887-9B1D-3D7BE825DA8C},{494960E9-BA36-4AC1-BBDB-126FB51B6387},{93F71F64-B3B2-464F-BCC5-C49DA1B8F0E4},{8B923F15-4996-4696-A089-6A5BE8BF8E1B},{B0181D35-2F7D-4D23-BD15-5E0324552287},{CBCE2632-605E-484A-97AC-47C334EA7100},{7E0BF71E-CD03-4DBF-9F51-3B5B798F2741},{23C4D0E2-C6F4-49DA-B9C4-BE7D1928143F}"/>
  </w:docVars>
  <w:rsids>
    <w:rsidRoot w:val="00420F2D"/>
    <w:rsid w:val="00001D38"/>
    <w:rsid w:val="00380267"/>
    <w:rsid w:val="003B3CE4"/>
    <w:rsid w:val="004147D1"/>
    <w:rsid w:val="00420F2D"/>
    <w:rsid w:val="00501364"/>
    <w:rsid w:val="00615D23"/>
    <w:rsid w:val="0062248C"/>
    <w:rsid w:val="0076075C"/>
    <w:rsid w:val="007D345C"/>
    <w:rsid w:val="00804AF4"/>
    <w:rsid w:val="00A43FBD"/>
    <w:rsid w:val="00B25647"/>
    <w:rsid w:val="00BA1CE6"/>
    <w:rsid w:val="00BB2406"/>
    <w:rsid w:val="00C752B3"/>
    <w:rsid w:val="00D01C72"/>
    <w:rsid w:val="00D11AF5"/>
    <w:rsid w:val="00DB02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A83501-EFE8-4FEF-A864-67ABF4DD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86635"/>
    <w:pPr>
      <w:spacing w:before="125" w:line="250" w:lineRule="atLeast"/>
      <w:jc w:val="both"/>
    </w:pPr>
    <w:rPr>
      <w:sz w:val="19"/>
      <w:lang w:val="sv-SE" w:eastAsia="sv-SE"/>
    </w:rPr>
  </w:style>
  <w:style w:type="paragraph" w:styleId="Rubrik1">
    <w:name w:val="heading 1"/>
    <w:basedOn w:val="Normal"/>
    <w:next w:val="Normal"/>
    <w:qFormat/>
    <w:rsid w:val="00186635"/>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86635"/>
    <w:pPr>
      <w:numPr>
        <w:ilvl w:val="1"/>
      </w:numPr>
      <w:spacing w:before="500" w:line="250" w:lineRule="exact"/>
      <w:outlineLvl w:val="1"/>
    </w:pPr>
    <w:rPr>
      <w:sz w:val="27"/>
    </w:rPr>
  </w:style>
  <w:style w:type="paragraph" w:styleId="Rubrik3">
    <w:name w:val="heading 3"/>
    <w:aliases w:val="Mellanrubrik"/>
    <w:basedOn w:val="Rubrik2"/>
    <w:next w:val="Normal"/>
    <w:qFormat/>
    <w:rsid w:val="00186635"/>
    <w:pPr>
      <w:numPr>
        <w:ilvl w:val="2"/>
      </w:numPr>
      <w:spacing w:before="250" w:after="0"/>
      <w:outlineLvl w:val="2"/>
    </w:pPr>
    <w:rPr>
      <w:b/>
      <w:sz w:val="21"/>
    </w:rPr>
  </w:style>
  <w:style w:type="paragraph" w:styleId="Rubrik4">
    <w:name w:val="heading 4"/>
    <w:aliases w:val="KursivRubrik"/>
    <w:basedOn w:val="Rubrik3"/>
    <w:next w:val="Normal"/>
    <w:qFormat/>
    <w:rsid w:val="00186635"/>
    <w:pPr>
      <w:numPr>
        <w:ilvl w:val="3"/>
      </w:numPr>
      <w:outlineLvl w:val="3"/>
    </w:pPr>
    <w:rPr>
      <w:b w:val="0"/>
      <w:i/>
    </w:rPr>
  </w:style>
  <w:style w:type="paragraph" w:styleId="Rubrik5">
    <w:name w:val="heading 5"/>
    <w:aliases w:val="PackadFetRubrik,PackadKursivRubrik"/>
    <w:basedOn w:val="Rubrik4"/>
    <w:next w:val="Normal"/>
    <w:qFormat/>
    <w:rsid w:val="00186635"/>
    <w:pPr>
      <w:numPr>
        <w:ilvl w:val="4"/>
      </w:numPr>
      <w:tabs>
        <w:tab w:val="clear" w:pos="1021"/>
      </w:tabs>
      <w:spacing w:before="125"/>
      <w:outlineLvl w:val="4"/>
    </w:pPr>
    <w:rPr>
      <w:i w:val="0"/>
      <w:sz w:val="19"/>
    </w:rPr>
  </w:style>
  <w:style w:type="paragraph" w:styleId="Rubrik6">
    <w:name w:val="heading 6"/>
    <w:basedOn w:val="Rubrik5"/>
    <w:next w:val="Normal"/>
    <w:qFormat/>
    <w:rsid w:val="00186635"/>
    <w:pPr>
      <w:numPr>
        <w:ilvl w:val="5"/>
      </w:numPr>
      <w:spacing w:before="50" w:line="200" w:lineRule="exact"/>
      <w:outlineLvl w:val="5"/>
    </w:pPr>
    <w:rPr>
      <w:caps/>
      <w:sz w:val="14"/>
    </w:rPr>
  </w:style>
  <w:style w:type="paragraph" w:styleId="Rubrik7">
    <w:name w:val="heading 7"/>
    <w:basedOn w:val="Rubrik6"/>
    <w:next w:val="Normal"/>
    <w:qFormat/>
    <w:rsid w:val="00186635"/>
    <w:pPr>
      <w:numPr>
        <w:ilvl w:val="6"/>
      </w:numPr>
      <w:spacing w:before="0"/>
      <w:outlineLvl w:val="6"/>
    </w:pPr>
  </w:style>
  <w:style w:type="paragraph" w:styleId="Rubrik8">
    <w:name w:val="heading 8"/>
    <w:basedOn w:val="Rubrik7"/>
    <w:next w:val="Normal"/>
    <w:qFormat/>
    <w:rsid w:val="00186635"/>
    <w:pPr>
      <w:numPr>
        <w:ilvl w:val="7"/>
      </w:numPr>
      <w:outlineLvl w:val="7"/>
    </w:pPr>
  </w:style>
  <w:style w:type="paragraph" w:styleId="Rubrik9">
    <w:name w:val="heading 9"/>
    <w:basedOn w:val="Rubrik8"/>
    <w:next w:val="Normal"/>
    <w:qFormat/>
    <w:rsid w:val="0018663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86635"/>
    <w:pPr>
      <w:spacing w:before="0"/>
      <w:ind w:firstLine="227"/>
    </w:pPr>
  </w:style>
  <w:style w:type="paragraph" w:styleId="Citat">
    <w:name w:val="Quote"/>
    <w:basedOn w:val="Normal"/>
    <w:next w:val="Normal"/>
    <w:qFormat/>
    <w:rsid w:val="00186635"/>
    <w:pPr>
      <w:spacing w:line="200" w:lineRule="exact"/>
      <w:ind w:left="340"/>
    </w:pPr>
  </w:style>
  <w:style w:type="paragraph" w:customStyle="1" w:styleId="Citatindrag">
    <w:name w:val="Citat_indrag"/>
    <w:aliases w:val="Packad"/>
    <w:basedOn w:val="Citat"/>
    <w:rsid w:val="00186635"/>
    <w:pPr>
      <w:spacing w:before="0"/>
      <w:ind w:firstLine="227"/>
    </w:pPr>
  </w:style>
  <w:style w:type="paragraph" w:customStyle="1" w:styleId="FSHNormal">
    <w:name w:val="FSH_Normal"/>
    <w:semiHidden/>
    <w:rsid w:val="0018663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86635"/>
    <w:pPr>
      <w:spacing w:line="240" w:lineRule="auto"/>
    </w:pPr>
  </w:style>
  <w:style w:type="paragraph" w:customStyle="1" w:styleId="FSHNormalS5">
    <w:name w:val="FSH_NormalS5"/>
    <w:basedOn w:val="FSHNormal"/>
    <w:next w:val="FSHNormal"/>
    <w:semiHidden/>
    <w:rsid w:val="00186635"/>
    <w:pPr>
      <w:keepNext/>
      <w:keepLines/>
      <w:widowControl/>
      <w:spacing w:before="230" w:after="520" w:line="250" w:lineRule="exact"/>
    </w:pPr>
    <w:rPr>
      <w:b/>
      <w:sz w:val="27"/>
    </w:rPr>
  </w:style>
  <w:style w:type="paragraph" w:customStyle="1" w:styleId="FSHNormL">
    <w:name w:val="FSH_NormLÖ"/>
    <w:basedOn w:val="FSHNormal"/>
    <w:next w:val="FSHNormal"/>
    <w:semiHidden/>
    <w:rsid w:val="00186635"/>
    <w:pPr>
      <w:pBdr>
        <w:top w:val="single" w:sz="12" w:space="1" w:color="auto"/>
      </w:pBdr>
    </w:pPr>
  </w:style>
  <w:style w:type="paragraph" w:customStyle="1" w:styleId="FSHRub1">
    <w:name w:val="FSH_Rub1"/>
    <w:aliases w:val="Rubrik1_S5,Huvudrubrik"/>
    <w:basedOn w:val="FSHNormal"/>
    <w:next w:val="FSHNormal"/>
    <w:semiHidden/>
    <w:rsid w:val="0018663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86635"/>
    <w:pPr>
      <w:spacing w:before="240" w:after="80" w:line="360" w:lineRule="exact"/>
    </w:pPr>
    <w:rPr>
      <w:sz w:val="36"/>
    </w:rPr>
  </w:style>
  <w:style w:type="paragraph" w:customStyle="1" w:styleId="FSHTitel">
    <w:name w:val="FSH_Titel"/>
    <w:aliases w:val="Dokumentrubrik"/>
    <w:basedOn w:val="FSHRub1"/>
    <w:next w:val="FSHNormal"/>
    <w:semiHidden/>
    <w:rsid w:val="00186635"/>
    <w:pPr>
      <w:pBdr>
        <w:bottom w:val="single" w:sz="4" w:space="3" w:color="auto"/>
      </w:pBdr>
      <w:spacing w:before="0" w:after="80" w:line="400" w:lineRule="exact"/>
    </w:pPr>
    <w:rPr>
      <w:sz w:val="40"/>
    </w:rPr>
  </w:style>
  <w:style w:type="paragraph" w:customStyle="1" w:styleId="Hemstlrubrik">
    <w:name w:val="Hemstl_rubrik"/>
    <w:basedOn w:val="Rubrik1"/>
    <w:next w:val="Normal"/>
    <w:rsid w:val="00186635"/>
    <w:pPr>
      <w:spacing w:after="250"/>
    </w:pPr>
  </w:style>
  <w:style w:type="paragraph" w:customStyle="1" w:styleId="Autokorrigering">
    <w:name w:val="Autokorrigering"/>
    <w:rsid w:val="00186635"/>
    <w:rPr>
      <w:sz w:val="24"/>
      <w:szCs w:val="24"/>
      <w:lang w:val="sv-SE" w:eastAsia="sv-SE"/>
    </w:rPr>
  </w:style>
  <w:style w:type="paragraph" w:customStyle="1" w:styleId="Sidhuvudsidfot">
    <w:name w:val="Sidhuvud/sidfot"/>
    <w:basedOn w:val="Normal"/>
    <w:rsid w:val="00186635"/>
    <w:pPr>
      <w:widowControl w:val="0"/>
      <w:spacing w:line="240" w:lineRule="auto"/>
    </w:pPr>
    <w:rPr>
      <w:snapToGrid w:val="0"/>
    </w:rPr>
  </w:style>
  <w:style w:type="paragraph" w:customStyle="1" w:styleId="KantRubrikS5H">
    <w:name w:val="KantRubrikS5H"/>
    <w:semiHidden/>
    <w:rsid w:val="0018663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86635"/>
    <w:pPr>
      <w:spacing w:line="200" w:lineRule="exact"/>
    </w:pPr>
  </w:style>
  <w:style w:type="paragraph" w:customStyle="1" w:styleId="KantRubrikS5V">
    <w:name w:val="KantRubrikS5V"/>
    <w:basedOn w:val="KantRubrikS5H"/>
    <w:semiHidden/>
    <w:rsid w:val="00186635"/>
    <w:pPr>
      <w:tabs>
        <w:tab w:val="right" w:pos="1814"/>
        <w:tab w:val="left" w:pos="1899"/>
      </w:tabs>
      <w:ind w:right="0"/>
      <w:jc w:val="left"/>
    </w:pPr>
  </w:style>
  <w:style w:type="paragraph" w:customStyle="1" w:styleId="KantRubrikS5Vrad2">
    <w:name w:val="KantRubrikS5Vrad2"/>
    <w:basedOn w:val="KantRubrikS5V"/>
    <w:semiHidden/>
    <w:rsid w:val="00186635"/>
    <w:pPr>
      <w:tabs>
        <w:tab w:val="clear" w:pos="1814"/>
        <w:tab w:val="clear" w:pos="1899"/>
        <w:tab w:val="right" w:pos="1418"/>
        <w:tab w:val="left" w:pos="1503"/>
      </w:tabs>
    </w:pPr>
  </w:style>
  <w:style w:type="paragraph" w:customStyle="1" w:styleId="Lagtext">
    <w:name w:val="Lagtext"/>
    <w:basedOn w:val="Lagtextrubrik"/>
    <w:next w:val="Lagtextindrag"/>
    <w:rsid w:val="00186635"/>
    <w:pPr>
      <w:spacing w:before="0"/>
    </w:pPr>
    <w:rPr>
      <w:sz w:val="19"/>
    </w:rPr>
  </w:style>
  <w:style w:type="paragraph" w:customStyle="1" w:styleId="Lagtextrubrik">
    <w:name w:val="Lagtext_rubrik"/>
    <w:basedOn w:val="Normal"/>
    <w:next w:val="Normal"/>
    <w:rsid w:val="00186635"/>
    <w:pPr>
      <w:suppressAutoHyphens/>
      <w:spacing w:line="220" w:lineRule="exact"/>
    </w:pPr>
    <w:rPr>
      <w:i/>
      <w:sz w:val="21"/>
    </w:rPr>
  </w:style>
  <w:style w:type="paragraph" w:customStyle="1" w:styleId="Lagtextindrag">
    <w:name w:val="Lagtext_indrag"/>
    <w:basedOn w:val="Lagtext"/>
    <w:rsid w:val="00186635"/>
    <w:pPr>
      <w:ind w:firstLine="170"/>
    </w:pPr>
  </w:style>
  <w:style w:type="paragraph" w:customStyle="1" w:styleId="NormalA4fot">
    <w:name w:val="Normal_A4fot"/>
    <w:basedOn w:val="Normal"/>
    <w:semiHidden/>
    <w:rsid w:val="00186635"/>
    <w:pPr>
      <w:spacing w:before="240" w:line="240" w:lineRule="auto"/>
      <w:jc w:val="center"/>
    </w:pPr>
  </w:style>
  <w:style w:type="paragraph" w:customStyle="1" w:styleId="NormalA4sidnr">
    <w:name w:val="Normal_A4sidnr"/>
    <w:basedOn w:val="Normal"/>
    <w:semiHidden/>
    <w:rsid w:val="00186635"/>
    <w:pPr>
      <w:spacing w:after="240"/>
      <w:jc w:val="center"/>
    </w:pPr>
  </w:style>
  <w:style w:type="paragraph" w:customStyle="1" w:styleId="NormalS5sidnrH">
    <w:name w:val="Normal_S5sidnrH"/>
    <w:basedOn w:val="Normal"/>
    <w:semiHidden/>
    <w:rsid w:val="00186635"/>
    <w:pPr>
      <w:spacing w:before="0" w:line="240" w:lineRule="auto"/>
      <w:ind w:right="57"/>
      <w:jc w:val="right"/>
    </w:pPr>
  </w:style>
  <w:style w:type="paragraph" w:customStyle="1" w:styleId="NormalS5sidnrV">
    <w:name w:val="Normal_S5sidnrV"/>
    <w:basedOn w:val="NormalS5sidnrH"/>
    <w:semiHidden/>
    <w:rsid w:val="00186635"/>
    <w:pPr>
      <w:tabs>
        <w:tab w:val="right" w:pos="1814"/>
        <w:tab w:val="left" w:pos="1899"/>
      </w:tabs>
      <w:ind w:right="0"/>
      <w:jc w:val="left"/>
    </w:pPr>
  </w:style>
  <w:style w:type="paragraph" w:customStyle="1" w:styleId="Normal00">
    <w:name w:val="Normal00"/>
    <w:basedOn w:val="Normal"/>
    <w:semiHidden/>
    <w:rsid w:val="00186635"/>
    <w:pPr>
      <w:spacing w:before="0" w:line="240" w:lineRule="auto"/>
      <w:jc w:val="left"/>
    </w:pPr>
  </w:style>
  <w:style w:type="paragraph" w:customStyle="1" w:styleId="PunktlistaBomb">
    <w:name w:val="Punktlista_Bomb"/>
    <w:aliases w:val="Bomb"/>
    <w:basedOn w:val="Normal"/>
    <w:rsid w:val="00186635"/>
    <w:pPr>
      <w:numPr>
        <w:numId w:val="2"/>
      </w:numPr>
    </w:pPr>
  </w:style>
  <w:style w:type="paragraph" w:customStyle="1" w:styleId="PunktlistaNummer">
    <w:name w:val="Punktlista_Nummer"/>
    <w:aliases w:val="Nummerlista"/>
    <w:basedOn w:val="Normal"/>
    <w:rsid w:val="00186635"/>
    <w:pPr>
      <w:numPr>
        <w:numId w:val="3"/>
      </w:numPr>
    </w:pPr>
  </w:style>
  <w:style w:type="paragraph" w:customStyle="1" w:styleId="PunktlistaTankstreck">
    <w:name w:val="Punktlista_Tankstreck"/>
    <w:aliases w:val="Tankstreck"/>
    <w:basedOn w:val="Normal"/>
    <w:rsid w:val="00186635"/>
    <w:pPr>
      <w:numPr>
        <w:numId w:val="4"/>
      </w:numPr>
    </w:pPr>
  </w:style>
  <w:style w:type="paragraph" w:customStyle="1" w:styleId="RubrikSammanf">
    <w:name w:val="RubrikSammanf"/>
    <w:basedOn w:val="Rubrik1"/>
    <w:next w:val="Normal"/>
    <w:rsid w:val="00186635"/>
  </w:style>
  <w:style w:type="paragraph" w:customStyle="1" w:styleId="RubrikInnehllsf">
    <w:name w:val="RubrikInnehållsf"/>
    <w:basedOn w:val="RubrikSammanf"/>
    <w:next w:val="Normal"/>
    <w:rsid w:val="00186635"/>
  </w:style>
  <w:style w:type="paragraph" w:customStyle="1" w:styleId="Tabellochbildrubrik">
    <w:name w:val="Tabell och bildrubrik"/>
    <w:basedOn w:val="Normal"/>
    <w:next w:val="Normal"/>
    <w:rsid w:val="00186635"/>
    <w:pPr>
      <w:suppressAutoHyphens/>
      <w:spacing w:before="300" w:line="200" w:lineRule="exact"/>
      <w:jc w:val="left"/>
    </w:pPr>
    <w:rPr>
      <w:caps/>
      <w:sz w:val="14"/>
    </w:rPr>
  </w:style>
  <w:style w:type="paragraph" w:customStyle="1" w:styleId="Underskrifter">
    <w:name w:val="Underskrifter"/>
    <w:basedOn w:val="Normal"/>
    <w:rsid w:val="00186635"/>
    <w:pPr>
      <w:keepNext/>
      <w:keepLines/>
      <w:suppressAutoHyphens/>
      <w:spacing w:before="0" w:after="40" w:line="250" w:lineRule="exact"/>
    </w:pPr>
    <w:rPr>
      <w:i/>
    </w:rPr>
  </w:style>
  <w:style w:type="paragraph" w:customStyle="1" w:styleId="UnderskriftDatum">
    <w:name w:val="UnderskriftDatum"/>
    <w:basedOn w:val="Underskrifter"/>
    <w:next w:val="Underskrifter"/>
    <w:rsid w:val="00186635"/>
    <w:pPr>
      <w:spacing w:before="250" w:after="125"/>
    </w:pPr>
    <w:rPr>
      <w:i w:val="0"/>
    </w:rPr>
  </w:style>
  <w:style w:type="paragraph" w:styleId="Sidhuvud">
    <w:name w:val="header"/>
    <w:basedOn w:val="Normal"/>
    <w:semiHidden/>
    <w:rsid w:val="00186635"/>
    <w:pPr>
      <w:tabs>
        <w:tab w:val="center" w:pos="4536"/>
        <w:tab w:val="right" w:pos="9072"/>
      </w:tabs>
    </w:pPr>
  </w:style>
  <w:style w:type="paragraph" w:styleId="Sidfot">
    <w:name w:val="footer"/>
    <w:basedOn w:val="Normal"/>
    <w:semiHidden/>
    <w:rsid w:val="00186635"/>
    <w:pPr>
      <w:tabs>
        <w:tab w:val="center" w:pos="4536"/>
        <w:tab w:val="right" w:pos="9072"/>
      </w:tabs>
    </w:pPr>
  </w:style>
  <w:style w:type="paragraph" w:styleId="Innehll1">
    <w:name w:val="toc 1"/>
    <w:basedOn w:val="Normal"/>
    <w:next w:val="Innehll2"/>
    <w:semiHidden/>
    <w:rsid w:val="00186635"/>
    <w:pPr>
      <w:tabs>
        <w:tab w:val="right" w:leader="dot" w:pos="5953"/>
      </w:tabs>
      <w:suppressAutoHyphens/>
      <w:spacing w:before="0"/>
      <w:ind w:right="567"/>
      <w:jc w:val="left"/>
    </w:pPr>
  </w:style>
  <w:style w:type="paragraph" w:styleId="Innehll2">
    <w:name w:val="toc 2"/>
    <w:basedOn w:val="Innehll1"/>
    <w:next w:val="Innehll3"/>
    <w:semiHidden/>
    <w:rsid w:val="00186635"/>
    <w:pPr>
      <w:ind w:left="284"/>
    </w:pPr>
  </w:style>
  <w:style w:type="paragraph" w:styleId="Innehll3">
    <w:name w:val="toc 3"/>
    <w:basedOn w:val="Innehll2"/>
    <w:next w:val="Innehll4"/>
    <w:semiHidden/>
    <w:rsid w:val="00186635"/>
    <w:pPr>
      <w:ind w:left="567"/>
    </w:pPr>
  </w:style>
  <w:style w:type="paragraph" w:styleId="Innehll4">
    <w:name w:val="toc 4"/>
    <w:basedOn w:val="Innehll3"/>
    <w:next w:val="Normal"/>
    <w:semiHidden/>
    <w:rsid w:val="00186635"/>
  </w:style>
  <w:style w:type="paragraph" w:customStyle="1" w:styleId="Hemstlatt">
    <w:name w:val="Hemstl_att"/>
    <w:aliases w:val="HemstPunkt,HemstPunktFlera,HemställansPunkt,Förslagstext"/>
    <w:basedOn w:val="Normal"/>
    <w:next w:val="Normal"/>
    <w:rsid w:val="00186635"/>
    <w:pPr>
      <w:keepLines/>
      <w:numPr>
        <w:numId w:val="18"/>
      </w:numPr>
      <w:spacing w:before="0"/>
    </w:pPr>
  </w:style>
  <w:style w:type="paragraph" w:styleId="Datum">
    <w:name w:val="Date"/>
    <w:basedOn w:val="Normal"/>
    <w:next w:val="Normal"/>
    <w:semiHidden/>
    <w:rsid w:val="00186635"/>
  </w:style>
  <w:style w:type="character" w:styleId="Hyperlnk">
    <w:name w:val="Hyperlink"/>
    <w:basedOn w:val="Standardstycketeckensnitt"/>
    <w:semiHidden/>
    <w:rsid w:val="00186635"/>
    <w:rPr>
      <w:color w:val="0000FF"/>
      <w:u w:val="single"/>
    </w:rPr>
  </w:style>
  <w:style w:type="paragraph" w:styleId="Indragetstycke">
    <w:name w:val="Block Text"/>
    <w:basedOn w:val="Normal"/>
    <w:semiHidden/>
    <w:rsid w:val="00186635"/>
    <w:pPr>
      <w:spacing w:after="120"/>
      <w:ind w:left="1440" w:right="1440"/>
    </w:pPr>
  </w:style>
  <w:style w:type="paragraph" w:styleId="Innehll5">
    <w:name w:val="toc 5"/>
    <w:basedOn w:val="Innehll4"/>
    <w:next w:val="Normal"/>
    <w:semiHidden/>
    <w:rsid w:val="00186635"/>
  </w:style>
  <w:style w:type="paragraph" w:styleId="Lista">
    <w:name w:val="List"/>
    <w:basedOn w:val="Normal"/>
    <w:semiHidden/>
    <w:rsid w:val="00186635"/>
    <w:pPr>
      <w:ind w:left="283" w:hanging="283"/>
    </w:pPr>
  </w:style>
  <w:style w:type="paragraph" w:styleId="Normalwebb">
    <w:name w:val="Normal (Web)"/>
    <w:basedOn w:val="Normal"/>
    <w:semiHidden/>
    <w:rsid w:val="00186635"/>
    <w:rPr>
      <w:szCs w:val="24"/>
    </w:rPr>
  </w:style>
  <w:style w:type="paragraph" w:styleId="Numreradlista">
    <w:name w:val="List Number"/>
    <w:basedOn w:val="Normal"/>
    <w:semiHidden/>
    <w:rsid w:val="00186635"/>
    <w:pPr>
      <w:numPr>
        <w:numId w:val="5"/>
      </w:numPr>
    </w:pPr>
  </w:style>
  <w:style w:type="paragraph" w:styleId="Punktlista">
    <w:name w:val="List Bullet"/>
    <w:basedOn w:val="Normal"/>
    <w:semiHidden/>
    <w:rsid w:val="00186635"/>
    <w:pPr>
      <w:numPr>
        <w:numId w:val="10"/>
      </w:numPr>
    </w:pPr>
  </w:style>
  <w:style w:type="character" w:styleId="Radnummer">
    <w:name w:val="line number"/>
    <w:basedOn w:val="Standardstycketeckensnitt"/>
    <w:semiHidden/>
    <w:rsid w:val="00186635"/>
  </w:style>
  <w:style w:type="character" w:styleId="Sidnummer">
    <w:name w:val="page number"/>
    <w:basedOn w:val="Standardstycketeckensnitt"/>
    <w:semiHidden/>
    <w:rsid w:val="00186635"/>
  </w:style>
  <w:style w:type="paragraph" w:styleId="Signatur">
    <w:name w:val="Signature"/>
    <w:basedOn w:val="Normal"/>
    <w:semiHidden/>
    <w:rsid w:val="00186635"/>
    <w:pPr>
      <w:ind w:left="4252"/>
    </w:pPr>
  </w:style>
  <w:style w:type="paragraph" w:styleId="Underrubrik">
    <w:name w:val="Subtitle"/>
    <w:basedOn w:val="Normal"/>
    <w:qFormat/>
    <w:rsid w:val="0018663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3684">
      <w:bodyDiv w:val="1"/>
      <w:marLeft w:val="0"/>
      <w:marRight w:val="0"/>
      <w:marTop w:val="0"/>
      <w:marBottom w:val="0"/>
      <w:divBdr>
        <w:top w:val="none" w:sz="0" w:space="0" w:color="auto"/>
        <w:left w:val="none" w:sz="0" w:space="0" w:color="auto"/>
        <w:bottom w:val="none" w:sz="0" w:space="0" w:color="auto"/>
        <w:right w:val="none" w:sz="0" w:space="0" w:color="auto"/>
      </w:divBdr>
    </w:div>
    <w:div w:id="1116489375">
      <w:bodyDiv w:val="1"/>
      <w:marLeft w:val="0"/>
      <w:marRight w:val="0"/>
      <w:marTop w:val="0"/>
      <w:marBottom w:val="0"/>
      <w:divBdr>
        <w:top w:val="none" w:sz="0" w:space="0" w:color="auto"/>
        <w:left w:val="none" w:sz="0" w:space="0" w:color="auto"/>
        <w:bottom w:val="none" w:sz="0" w:space="0" w:color="auto"/>
        <w:right w:val="none" w:sz="0" w:space="0" w:color="auto"/>
      </w:divBdr>
    </w:div>
    <w:div w:id="1573930953">
      <w:bodyDiv w:val="1"/>
      <w:marLeft w:val="0"/>
      <w:marRight w:val="0"/>
      <w:marTop w:val="0"/>
      <w:marBottom w:val="0"/>
      <w:divBdr>
        <w:top w:val="none" w:sz="0" w:space="0" w:color="auto"/>
        <w:left w:val="none" w:sz="0" w:space="0" w:color="auto"/>
        <w:bottom w:val="none" w:sz="0" w:space="0" w:color="auto"/>
        <w:right w:val="none" w:sz="0" w:space="0" w:color="auto"/>
      </w:divBdr>
    </w:div>
    <w:div w:id="21180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1909</Words>
  <Characters>11345</Characters>
  <Application>Microsoft Office Word</Application>
  <DocSecurity>4</DocSecurity>
  <Lines>257</Lines>
  <Paragraphs>114</Paragraphs>
  <ScaleCrop>false</ScaleCrop>
  <HeadingPairs>
    <vt:vector size="2" baseType="variant">
      <vt:variant>
        <vt:lpstr>Rubrik</vt:lpstr>
      </vt:variant>
      <vt:variant>
        <vt:i4>1</vt:i4>
      </vt:variant>
    </vt:vector>
  </HeadingPairs>
  <TitlesOfParts>
    <vt:vector size="1" baseType="lpstr">
      <vt:lpstr>v201</vt:lpstr>
    </vt:vector>
  </TitlesOfParts>
  <Company>Riksdagen</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v201</dc:title>
  <dc:subject>v201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2007-02-09T11:35:00Z</cp:lastPrinted>
  <dcterms:created xsi:type="dcterms:W3CDTF">2025-12-17T02:15:00Z</dcterms:created>
  <dcterms:modified xsi:type="dcterms:W3CDTF">2025-12-17T02:15:00Z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mot2000_456_2006-10-17</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T441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20062007000000000118000002010080</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20062007000000000118000002010080</vt:lpwstr>
  </property>
  <property fmtid="{D5CDD505-2E9C-101B-9397-08002B2CF9AE}" pid="50" name="nummer">
    <vt:lpwstr>441</vt:lpwstr>
  </property>
  <property fmtid="{D5CDD505-2E9C-101B-9397-08002B2CF9AE}" pid="51" name="utskottsbeteckning">
    <vt:lpwstr>T</vt:lpwstr>
  </property>
  <property fmtid="{D5CDD505-2E9C-101B-9397-08002B2CF9AE}" pid="52" name="GlobalUID">
    <vt:lpwstr>{9D9732BC-CFAC-4FF8-A97D-A5693A4A03E1}</vt:lpwstr>
  </property>
  <property fmtid="{D5CDD505-2E9C-101B-9397-08002B2CF9AE}" pid="53" name="Överföringar">
    <vt:i4>0</vt:i4>
  </property>
  <property fmtid="{D5CDD505-2E9C-101B-9397-08002B2CF9AE}" pid="54" name="Checksum">
    <vt:lpwstr>*0016501597963*</vt:lpwstr>
  </property>
  <property fmtid="{D5CDD505-2E9C-101B-9397-08002B2CF9AE}" pid="55" name="urixOrigin">
    <vt:lpwstr>070215 16:30:10.372</vt:lpwstr>
  </property>
  <property fmtid="{D5CDD505-2E9C-101B-9397-08002B2CF9AE}" pid="56" name="skuggnummer">
    <vt:lpwstr>2304</vt:lpwstr>
  </property>
  <property fmtid="{D5CDD505-2E9C-101B-9397-08002B2CF9AE}" pid="57" name="urixVersion">
    <vt:lpwstr>3.1.4.4</vt:lpwstr>
  </property>
  <property fmtid="{D5CDD505-2E9C-101B-9397-08002B2CF9AE}" pid="58" name="urixGuid">
    <vt:lpwstr>{F90789B1-ACEF-41FB-BF7A-905688CCE6A4}</vt:lpwstr>
  </property>
</Properties>
</file>