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173" w:rsidRPr="00732241" w:rsidRDefault="00390173">
      <w:pPr>
        <w:pStyle w:val="Hemstlrubrik"/>
        <w:shd w:val="clear" w:color="000000" w:fill="auto"/>
      </w:pPr>
      <w:r w:rsidRPr="00732241">
        <w:t>Förslag till riksdagsbeslut</w:t>
      </w:r>
    </w:p>
    <w:p w:rsidR="00390173" w:rsidRPr="00732241" w:rsidRDefault="00390173">
      <w:pPr>
        <w:pStyle w:val="Hemstlatt"/>
        <w:numPr>
          <w:ilvl w:val="0"/>
          <w:numId w:val="1"/>
        </w:numPr>
        <w:shd w:val="clear" w:color="000000" w:fill="auto"/>
      </w:pPr>
      <w:r w:rsidRPr="00732241">
        <w:t>Riksdagen beslutar avslå den föreslagna använ</w:t>
      </w:r>
      <w:r w:rsidRPr="00732241">
        <w:t>d</w:t>
      </w:r>
      <w:r w:rsidRPr="00732241">
        <w:t>ningen av det under utgiftsområde 24 Näringsliv uppförda anslag 38:2 Näringslivsutveckling m.m.</w:t>
      </w:r>
      <w:r w:rsidRPr="00732241">
        <w:rPr>
          <w:i/>
        </w:rPr>
        <w:t xml:space="preserve"> </w:t>
      </w:r>
      <w:r w:rsidRPr="00732241">
        <w:t>(avsnitt 8.2.18 i propositionen).</w:t>
      </w:r>
    </w:p>
    <w:p w:rsidR="00390173" w:rsidRPr="00732241" w:rsidRDefault="00390173">
      <w:pPr>
        <w:pStyle w:val="Hemstlatt"/>
        <w:numPr>
          <w:ilvl w:val="0"/>
          <w:numId w:val="1"/>
        </w:numPr>
        <w:shd w:val="clear" w:color="000000" w:fill="auto"/>
      </w:pPr>
      <w:r w:rsidRPr="00732241">
        <w:rPr>
          <w:color w:val="000000"/>
        </w:rPr>
        <w:t xml:space="preserve">Riksdagen beslutar om ändrade ramar för utgiftsområden i enlighet med vad som anförs i motionen och </w:t>
      </w:r>
      <w:r w:rsidRPr="00732241">
        <w:t>anvisar med följande än</w:t>
      </w:r>
      <w:r w:rsidRPr="00732241">
        <w:t>d</w:t>
      </w:r>
      <w:r w:rsidRPr="00732241">
        <w:t>ringar av anslagen i förhållande till regeringens förslag enligt uppstäl</w:t>
      </w:r>
      <w:r w:rsidRPr="00732241">
        <w:t>l</w:t>
      </w:r>
      <w:r w:rsidRPr="00732241">
        <w:t>ning i tabell 1.</w:t>
      </w:r>
    </w:p>
    <w:p w:rsidR="00390173" w:rsidRPr="00732241" w:rsidRDefault="00390173">
      <w:pPr>
        <w:pStyle w:val="Rubrik1"/>
        <w:pageBreakBefore/>
        <w:numPr>
          <w:ilvl w:val="0"/>
          <w:numId w:val="0"/>
        </w:numPr>
        <w:shd w:val="clear" w:color="000000" w:fill="auto"/>
        <w:spacing w:before="0"/>
      </w:pPr>
      <w:r w:rsidRPr="00732241">
        <w:lastRenderedPageBreak/>
        <w:t>Tilläggsbudget för 2007</w:t>
      </w:r>
    </w:p>
    <w:p w:rsidR="00390173" w:rsidRPr="00732241" w:rsidRDefault="00390173">
      <w:pPr>
        <w:shd w:val="clear" w:color="000000" w:fill="auto"/>
      </w:pPr>
      <w:r w:rsidRPr="00732241">
        <w:t>Nedan följer Vänsterpartiets synpunkter på regeringens tilläggsbudget för 2007. Förslag till ändringar i anslagstilldelning redovisas i tabell 1. Därefter kommenteras synpunkterna ordnade efter berörda utgiftsområden.</w:t>
      </w:r>
    </w:p>
    <w:p w:rsidR="00390173" w:rsidRPr="00732241" w:rsidRDefault="00390173">
      <w:pPr>
        <w:shd w:val="clear" w:color="000000" w:fill="auto"/>
        <w:ind w:right="-167"/>
        <w:rPr>
          <w:b/>
          <w:sz w:val="20"/>
        </w:rPr>
      </w:pPr>
      <w:r w:rsidRPr="00732241">
        <w:rPr>
          <w:b/>
          <w:sz w:val="20"/>
        </w:rPr>
        <w:t>Tabell 1. Förändringar i anslag, tilläggsbudget för 2007</w:t>
      </w:r>
    </w:p>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621"/>
        <w:gridCol w:w="49"/>
        <w:gridCol w:w="2640"/>
        <w:gridCol w:w="1200"/>
        <w:gridCol w:w="1440"/>
      </w:tblGrid>
      <w:tr w:rsidR="00000000" w:rsidRPr="00732241">
        <w:trPr>
          <w:cantSplit/>
          <w:trHeight w:val="719"/>
        </w:trPr>
        <w:tc>
          <w:tcPr>
            <w:tcW w:w="621" w:type="dxa"/>
            <w:tcBorders>
              <w:bottom w:val="single" w:sz="4" w:space="0" w:color="auto"/>
            </w:tcBorders>
            <w:vAlign w:val="bottom"/>
          </w:tcPr>
          <w:p w:rsidR="00390173" w:rsidRPr="00732241" w:rsidRDefault="00390173">
            <w:pPr>
              <w:shd w:val="clear" w:color="000000" w:fill="auto"/>
              <w:spacing w:before="60" w:line="200" w:lineRule="exact"/>
              <w:rPr>
                <w:b/>
                <w:sz w:val="16"/>
                <w:szCs w:val="16"/>
              </w:rPr>
            </w:pPr>
            <w:r w:rsidRPr="00732241">
              <w:rPr>
                <w:b/>
                <w:sz w:val="16"/>
                <w:szCs w:val="16"/>
              </w:rPr>
              <w:t>A</w:t>
            </w:r>
            <w:r w:rsidRPr="00732241">
              <w:rPr>
                <w:b/>
                <w:sz w:val="16"/>
                <w:szCs w:val="16"/>
              </w:rPr>
              <w:t>s</w:t>
            </w:r>
            <w:r w:rsidRPr="00732241">
              <w:rPr>
                <w:b/>
                <w:sz w:val="16"/>
                <w:szCs w:val="16"/>
              </w:rPr>
              <w:t>lag</w:t>
            </w:r>
          </w:p>
        </w:tc>
        <w:tc>
          <w:tcPr>
            <w:tcW w:w="2689" w:type="dxa"/>
            <w:gridSpan w:val="2"/>
            <w:tcBorders>
              <w:bottom w:val="single" w:sz="4" w:space="0" w:color="auto"/>
            </w:tcBorders>
            <w:vAlign w:val="bottom"/>
          </w:tcPr>
          <w:p w:rsidR="00390173" w:rsidRPr="00732241" w:rsidRDefault="00390173">
            <w:pPr>
              <w:shd w:val="clear" w:color="000000" w:fill="auto"/>
              <w:spacing w:before="60" w:line="200" w:lineRule="exact"/>
              <w:jc w:val="left"/>
              <w:rPr>
                <w:b/>
                <w:sz w:val="16"/>
                <w:szCs w:val="16"/>
              </w:rPr>
            </w:pPr>
          </w:p>
        </w:tc>
        <w:tc>
          <w:tcPr>
            <w:tcW w:w="1200" w:type="dxa"/>
            <w:tcBorders>
              <w:bottom w:val="single" w:sz="4" w:space="0" w:color="auto"/>
            </w:tcBorders>
            <w:vAlign w:val="bottom"/>
          </w:tcPr>
          <w:p w:rsidR="00390173" w:rsidRPr="00732241" w:rsidRDefault="00390173">
            <w:pPr>
              <w:shd w:val="clear" w:color="000000" w:fill="auto"/>
              <w:spacing w:before="60" w:line="200" w:lineRule="exact"/>
              <w:jc w:val="left"/>
              <w:rPr>
                <w:b/>
                <w:sz w:val="16"/>
                <w:szCs w:val="16"/>
              </w:rPr>
            </w:pPr>
            <w:r w:rsidRPr="00732241">
              <w:rPr>
                <w:b/>
                <w:sz w:val="16"/>
                <w:szCs w:val="16"/>
              </w:rPr>
              <w:t>Regeringens förslag, kronor</w:t>
            </w:r>
          </w:p>
        </w:tc>
        <w:tc>
          <w:tcPr>
            <w:tcW w:w="1440" w:type="dxa"/>
            <w:tcBorders>
              <w:bottom w:val="single" w:sz="4" w:space="0" w:color="auto"/>
            </w:tcBorders>
            <w:vAlign w:val="bottom"/>
          </w:tcPr>
          <w:p w:rsidR="00390173" w:rsidRPr="00732241" w:rsidRDefault="00390173">
            <w:pPr>
              <w:shd w:val="clear" w:color="000000" w:fill="auto"/>
              <w:spacing w:before="60" w:line="200" w:lineRule="exact"/>
              <w:jc w:val="left"/>
              <w:rPr>
                <w:b/>
                <w:sz w:val="16"/>
                <w:szCs w:val="16"/>
              </w:rPr>
            </w:pPr>
            <w:r w:rsidRPr="00732241">
              <w:rPr>
                <w:b/>
                <w:sz w:val="16"/>
                <w:szCs w:val="16"/>
              </w:rPr>
              <w:t>Vänsterpartiets förslag, differens, kronor</w:t>
            </w:r>
          </w:p>
        </w:tc>
      </w:tr>
      <w:tr w:rsidR="00000000" w:rsidRPr="00732241">
        <w:trPr>
          <w:cantSplit/>
          <w:trHeight w:val="255"/>
        </w:trPr>
        <w:tc>
          <w:tcPr>
            <w:tcW w:w="3310" w:type="dxa"/>
            <w:gridSpan w:val="3"/>
            <w:tcBorders>
              <w:top w:val="single" w:sz="4" w:space="0" w:color="auto"/>
              <w:bottom w:val="nil"/>
            </w:tcBorders>
            <w:noWrap/>
            <w:vAlign w:val="bottom"/>
          </w:tcPr>
          <w:p w:rsidR="00390173" w:rsidRPr="00732241" w:rsidRDefault="00390173">
            <w:pPr>
              <w:shd w:val="clear" w:color="000000" w:fill="auto"/>
              <w:spacing w:before="60" w:line="200" w:lineRule="exact"/>
              <w:jc w:val="left"/>
              <w:rPr>
                <w:b/>
                <w:bCs/>
                <w:sz w:val="16"/>
                <w:szCs w:val="16"/>
              </w:rPr>
            </w:pPr>
            <w:r w:rsidRPr="00732241">
              <w:rPr>
                <w:b/>
                <w:bCs/>
                <w:sz w:val="16"/>
                <w:szCs w:val="16"/>
              </w:rPr>
              <w:t>Utgiftsområde 2 Samhällsekonomi och finan</w:t>
            </w:r>
            <w:r w:rsidRPr="00732241">
              <w:rPr>
                <w:b/>
                <w:bCs/>
                <w:sz w:val="16"/>
                <w:szCs w:val="16"/>
              </w:rPr>
              <w:t>s</w:t>
            </w:r>
            <w:r w:rsidRPr="00732241">
              <w:rPr>
                <w:b/>
                <w:bCs/>
                <w:sz w:val="16"/>
                <w:szCs w:val="16"/>
              </w:rPr>
              <w:t>förvaltning</w:t>
            </w:r>
          </w:p>
        </w:tc>
        <w:tc>
          <w:tcPr>
            <w:tcW w:w="1200" w:type="dxa"/>
            <w:tcBorders>
              <w:top w:val="single" w:sz="4" w:space="0" w:color="auto"/>
              <w:bottom w:val="nil"/>
            </w:tcBorders>
            <w:vAlign w:val="bottom"/>
          </w:tcPr>
          <w:p w:rsidR="00390173" w:rsidRPr="00732241" w:rsidRDefault="00390173">
            <w:pPr>
              <w:shd w:val="clear" w:color="000000" w:fill="auto"/>
              <w:spacing w:before="60" w:line="200" w:lineRule="exact"/>
              <w:rPr>
                <w:b/>
                <w:bCs/>
                <w:sz w:val="16"/>
                <w:szCs w:val="16"/>
              </w:rPr>
            </w:pPr>
          </w:p>
        </w:tc>
        <w:tc>
          <w:tcPr>
            <w:tcW w:w="1440" w:type="dxa"/>
            <w:tcBorders>
              <w:top w:val="single" w:sz="4" w:space="0" w:color="auto"/>
              <w:bottom w:val="nil"/>
            </w:tcBorders>
            <w:noWrap/>
            <w:vAlign w:val="bottom"/>
          </w:tcPr>
          <w:p w:rsidR="00390173" w:rsidRPr="00732241" w:rsidRDefault="00390173">
            <w:pPr>
              <w:shd w:val="clear" w:color="000000" w:fill="auto"/>
              <w:spacing w:before="60" w:line="200" w:lineRule="exact"/>
              <w:rPr>
                <w:sz w:val="16"/>
                <w:szCs w:val="16"/>
              </w:rPr>
            </w:pPr>
          </w:p>
        </w:tc>
      </w:tr>
      <w:tr w:rsidR="00000000" w:rsidRPr="00732241">
        <w:trPr>
          <w:cantSplit/>
          <w:trHeight w:val="255"/>
        </w:trPr>
        <w:tc>
          <w:tcPr>
            <w:tcW w:w="621" w:type="dxa"/>
            <w:tcBorders>
              <w:top w:val="nil"/>
            </w:tcBorders>
            <w:noWrap/>
            <w:vAlign w:val="bottom"/>
          </w:tcPr>
          <w:p w:rsidR="00390173" w:rsidRPr="00732241" w:rsidRDefault="00390173">
            <w:pPr>
              <w:shd w:val="clear" w:color="000000" w:fill="auto"/>
              <w:spacing w:before="60" w:line="200" w:lineRule="exact"/>
              <w:rPr>
                <w:sz w:val="16"/>
                <w:szCs w:val="16"/>
              </w:rPr>
            </w:pPr>
            <w:r w:rsidRPr="00732241">
              <w:rPr>
                <w:sz w:val="16"/>
                <w:szCs w:val="16"/>
              </w:rPr>
              <w:t>1:5</w:t>
            </w:r>
          </w:p>
        </w:tc>
        <w:tc>
          <w:tcPr>
            <w:tcW w:w="2689" w:type="dxa"/>
            <w:gridSpan w:val="2"/>
            <w:tcBorders>
              <w:top w:val="nil"/>
            </w:tcBorders>
            <w:noWrap/>
            <w:vAlign w:val="bottom"/>
          </w:tcPr>
          <w:p w:rsidR="00390173" w:rsidRPr="00732241" w:rsidRDefault="00390173">
            <w:pPr>
              <w:shd w:val="clear" w:color="000000" w:fill="auto"/>
              <w:spacing w:before="60" w:line="200" w:lineRule="exact"/>
              <w:jc w:val="left"/>
              <w:rPr>
                <w:sz w:val="16"/>
                <w:szCs w:val="16"/>
              </w:rPr>
            </w:pPr>
            <w:r w:rsidRPr="00732241">
              <w:rPr>
                <w:sz w:val="16"/>
                <w:szCs w:val="16"/>
              </w:rPr>
              <w:t>Statistiska centralbyrån</w:t>
            </w:r>
          </w:p>
        </w:tc>
        <w:tc>
          <w:tcPr>
            <w:tcW w:w="1200" w:type="dxa"/>
            <w:tcBorders>
              <w:top w:val="nil"/>
            </w:tcBorders>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–250 000</w:t>
            </w:r>
          </w:p>
        </w:tc>
        <w:tc>
          <w:tcPr>
            <w:tcW w:w="1440" w:type="dxa"/>
            <w:tcBorders>
              <w:top w:val="nil"/>
            </w:tcBorders>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250 000</w:t>
            </w:r>
          </w:p>
        </w:tc>
      </w:tr>
      <w:tr w:rsidR="00000000" w:rsidRPr="00732241">
        <w:trPr>
          <w:cantSplit/>
          <w:trHeight w:val="255"/>
        </w:trPr>
        <w:tc>
          <w:tcPr>
            <w:tcW w:w="621" w:type="dxa"/>
            <w:noWrap/>
            <w:vAlign w:val="bottom"/>
          </w:tcPr>
          <w:p w:rsidR="00390173" w:rsidRPr="00732241" w:rsidRDefault="00390173">
            <w:pPr>
              <w:shd w:val="clear" w:color="000000" w:fill="auto"/>
              <w:spacing w:before="60" w:line="200" w:lineRule="exact"/>
              <w:rPr>
                <w:sz w:val="16"/>
                <w:szCs w:val="16"/>
              </w:rPr>
            </w:pPr>
            <w:r w:rsidRPr="00732241">
              <w:rPr>
                <w:sz w:val="16"/>
                <w:szCs w:val="16"/>
              </w:rPr>
              <w:t>1:15</w:t>
            </w:r>
          </w:p>
        </w:tc>
        <w:tc>
          <w:tcPr>
            <w:tcW w:w="2689" w:type="dxa"/>
            <w:gridSpan w:val="2"/>
            <w:noWrap/>
            <w:vAlign w:val="bottom"/>
          </w:tcPr>
          <w:p w:rsidR="00390173" w:rsidRPr="00732241" w:rsidRDefault="00390173">
            <w:pPr>
              <w:shd w:val="clear" w:color="000000" w:fill="auto"/>
              <w:spacing w:before="60" w:line="200" w:lineRule="exact"/>
              <w:jc w:val="left"/>
              <w:rPr>
                <w:sz w:val="16"/>
                <w:szCs w:val="16"/>
              </w:rPr>
            </w:pPr>
            <w:r w:rsidRPr="00732241">
              <w:rPr>
                <w:sz w:val="16"/>
                <w:szCs w:val="16"/>
              </w:rPr>
              <w:t>Finanspolitiskt råd</w:t>
            </w:r>
          </w:p>
        </w:tc>
        <w:tc>
          <w:tcPr>
            <w:tcW w:w="120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1 100 000</w:t>
            </w:r>
          </w:p>
        </w:tc>
        <w:tc>
          <w:tcPr>
            <w:tcW w:w="144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–1 100 000</w:t>
            </w:r>
          </w:p>
        </w:tc>
      </w:tr>
      <w:tr w:rsidR="00000000" w:rsidRPr="00732241">
        <w:trPr>
          <w:cantSplit/>
          <w:trHeight w:val="255"/>
        </w:trPr>
        <w:tc>
          <w:tcPr>
            <w:tcW w:w="3310" w:type="dxa"/>
            <w:gridSpan w:val="3"/>
            <w:noWrap/>
            <w:vAlign w:val="bottom"/>
          </w:tcPr>
          <w:p w:rsidR="00390173" w:rsidRPr="00732241" w:rsidRDefault="00390173">
            <w:pPr>
              <w:shd w:val="clear" w:color="000000" w:fill="auto"/>
              <w:spacing w:before="60" w:line="200" w:lineRule="exact"/>
              <w:jc w:val="left"/>
              <w:rPr>
                <w:b/>
                <w:bCs/>
                <w:sz w:val="16"/>
                <w:szCs w:val="16"/>
              </w:rPr>
            </w:pPr>
            <w:r w:rsidRPr="00732241">
              <w:rPr>
                <w:b/>
                <w:bCs/>
                <w:sz w:val="16"/>
                <w:szCs w:val="16"/>
              </w:rPr>
              <w:t>Utgiftsområde 3 Skatt, tull och exekution</w:t>
            </w:r>
          </w:p>
        </w:tc>
        <w:tc>
          <w:tcPr>
            <w:tcW w:w="1200" w:type="dxa"/>
            <w:noWrap/>
            <w:vAlign w:val="bottom"/>
          </w:tcPr>
          <w:p w:rsidR="00390173" w:rsidRPr="00732241" w:rsidRDefault="00390173">
            <w:pPr>
              <w:shd w:val="clear" w:color="000000" w:fill="auto"/>
              <w:spacing w:before="60" w:line="200" w:lineRule="exact"/>
              <w:jc w:val="right"/>
              <w:rPr>
                <w:sz w:val="16"/>
                <w:szCs w:val="16"/>
              </w:rPr>
            </w:pPr>
          </w:p>
        </w:tc>
        <w:tc>
          <w:tcPr>
            <w:tcW w:w="1440" w:type="dxa"/>
            <w:noWrap/>
            <w:vAlign w:val="bottom"/>
          </w:tcPr>
          <w:p w:rsidR="00390173" w:rsidRPr="00732241" w:rsidRDefault="00390173">
            <w:pPr>
              <w:shd w:val="clear" w:color="000000" w:fill="auto"/>
              <w:spacing w:before="60" w:line="200" w:lineRule="exact"/>
              <w:jc w:val="right"/>
              <w:rPr>
                <w:sz w:val="16"/>
                <w:szCs w:val="16"/>
              </w:rPr>
            </w:pPr>
          </w:p>
        </w:tc>
      </w:tr>
      <w:tr w:rsidR="00000000" w:rsidRPr="00732241">
        <w:trPr>
          <w:cantSplit/>
          <w:trHeight w:val="255"/>
        </w:trPr>
        <w:tc>
          <w:tcPr>
            <w:tcW w:w="621" w:type="dxa"/>
            <w:noWrap/>
            <w:vAlign w:val="bottom"/>
          </w:tcPr>
          <w:p w:rsidR="00390173" w:rsidRPr="00732241" w:rsidRDefault="00390173">
            <w:pPr>
              <w:shd w:val="clear" w:color="000000" w:fill="auto"/>
              <w:spacing w:before="60" w:line="200" w:lineRule="exact"/>
              <w:rPr>
                <w:sz w:val="16"/>
                <w:szCs w:val="16"/>
              </w:rPr>
            </w:pPr>
            <w:r w:rsidRPr="00732241">
              <w:rPr>
                <w:sz w:val="16"/>
                <w:szCs w:val="16"/>
              </w:rPr>
              <w:t>3:1</w:t>
            </w:r>
          </w:p>
        </w:tc>
        <w:tc>
          <w:tcPr>
            <w:tcW w:w="2689" w:type="dxa"/>
            <w:gridSpan w:val="2"/>
            <w:noWrap/>
            <w:vAlign w:val="bottom"/>
          </w:tcPr>
          <w:p w:rsidR="00390173" w:rsidRPr="00732241" w:rsidRDefault="00390173">
            <w:pPr>
              <w:shd w:val="clear" w:color="000000" w:fill="auto"/>
              <w:spacing w:before="60" w:line="200" w:lineRule="exact"/>
              <w:jc w:val="left"/>
              <w:rPr>
                <w:sz w:val="16"/>
                <w:szCs w:val="16"/>
              </w:rPr>
            </w:pPr>
            <w:r w:rsidRPr="00732241">
              <w:rPr>
                <w:sz w:val="16"/>
                <w:szCs w:val="16"/>
              </w:rPr>
              <w:t>Skatteverket</w:t>
            </w:r>
          </w:p>
        </w:tc>
        <w:tc>
          <w:tcPr>
            <w:tcW w:w="120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–750 000</w:t>
            </w:r>
          </w:p>
        </w:tc>
        <w:tc>
          <w:tcPr>
            <w:tcW w:w="144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750 000</w:t>
            </w:r>
          </w:p>
        </w:tc>
      </w:tr>
      <w:tr w:rsidR="00000000" w:rsidRPr="00732241">
        <w:trPr>
          <w:cantSplit/>
          <w:trHeight w:val="315"/>
        </w:trPr>
        <w:tc>
          <w:tcPr>
            <w:tcW w:w="3310" w:type="dxa"/>
            <w:gridSpan w:val="3"/>
            <w:noWrap/>
            <w:vAlign w:val="bottom"/>
          </w:tcPr>
          <w:p w:rsidR="00390173" w:rsidRPr="00732241" w:rsidRDefault="00390173">
            <w:pPr>
              <w:shd w:val="clear" w:color="000000" w:fill="auto"/>
              <w:spacing w:before="60" w:line="200" w:lineRule="exact"/>
              <w:jc w:val="left"/>
              <w:rPr>
                <w:b/>
                <w:bCs/>
                <w:sz w:val="16"/>
                <w:szCs w:val="16"/>
              </w:rPr>
            </w:pPr>
            <w:r w:rsidRPr="00732241">
              <w:rPr>
                <w:b/>
                <w:bCs/>
                <w:sz w:val="16"/>
                <w:szCs w:val="16"/>
              </w:rPr>
              <w:t>Utgiftsområde 4 Rättsväsendet</w:t>
            </w:r>
          </w:p>
        </w:tc>
        <w:tc>
          <w:tcPr>
            <w:tcW w:w="1200" w:type="dxa"/>
            <w:noWrap/>
            <w:vAlign w:val="bottom"/>
          </w:tcPr>
          <w:p w:rsidR="00390173" w:rsidRPr="00732241" w:rsidRDefault="00390173">
            <w:pPr>
              <w:shd w:val="clear" w:color="000000" w:fill="auto"/>
              <w:spacing w:before="60" w:line="200" w:lineRule="exact"/>
              <w:jc w:val="right"/>
              <w:rPr>
                <w:sz w:val="16"/>
                <w:szCs w:val="16"/>
              </w:rPr>
            </w:pPr>
          </w:p>
        </w:tc>
        <w:tc>
          <w:tcPr>
            <w:tcW w:w="1440" w:type="dxa"/>
            <w:noWrap/>
            <w:vAlign w:val="bottom"/>
          </w:tcPr>
          <w:p w:rsidR="00390173" w:rsidRPr="00732241" w:rsidRDefault="00390173">
            <w:pPr>
              <w:shd w:val="clear" w:color="000000" w:fill="auto"/>
              <w:spacing w:before="60" w:line="200" w:lineRule="exact"/>
              <w:jc w:val="right"/>
              <w:rPr>
                <w:sz w:val="16"/>
                <w:szCs w:val="16"/>
              </w:rPr>
            </w:pPr>
          </w:p>
        </w:tc>
      </w:tr>
      <w:tr w:rsidR="00000000" w:rsidRPr="00732241">
        <w:trPr>
          <w:cantSplit/>
          <w:trHeight w:val="255"/>
        </w:trPr>
        <w:tc>
          <w:tcPr>
            <w:tcW w:w="621" w:type="dxa"/>
            <w:noWrap/>
            <w:vAlign w:val="bottom"/>
          </w:tcPr>
          <w:p w:rsidR="00390173" w:rsidRPr="00732241" w:rsidRDefault="00390173">
            <w:pPr>
              <w:shd w:val="clear" w:color="000000" w:fill="auto"/>
              <w:spacing w:before="60" w:line="200" w:lineRule="exact"/>
              <w:rPr>
                <w:sz w:val="16"/>
                <w:szCs w:val="16"/>
              </w:rPr>
            </w:pPr>
            <w:r w:rsidRPr="00732241">
              <w:rPr>
                <w:sz w:val="16"/>
                <w:szCs w:val="16"/>
              </w:rPr>
              <w:t>4:2</w:t>
            </w:r>
          </w:p>
        </w:tc>
        <w:tc>
          <w:tcPr>
            <w:tcW w:w="2689" w:type="dxa"/>
            <w:gridSpan w:val="2"/>
            <w:noWrap/>
            <w:vAlign w:val="bottom"/>
          </w:tcPr>
          <w:p w:rsidR="00390173" w:rsidRPr="00732241" w:rsidRDefault="00390173">
            <w:pPr>
              <w:shd w:val="clear" w:color="000000" w:fill="auto"/>
              <w:spacing w:before="60" w:line="200" w:lineRule="exact"/>
              <w:jc w:val="left"/>
              <w:rPr>
                <w:sz w:val="16"/>
                <w:szCs w:val="16"/>
              </w:rPr>
            </w:pPr>
            <w:r w:rsidRPr="00732241">
              <w:rPr>
                <w:sz w:val="16"/>
                <w:szCs w:val="16"/>
              </w:rPr>
              <w:t>Säkerhetspolisen</w:t>
            </w:r>
          </w:p>
        </w:tc>
        <w:tc>
          <w:tcPr>
            <w:tcW w:w="120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1 470 000</w:t>
            </w:r>
          </w:p>
        </w:tc>
        <w:tc>
          <w:tcPr>
            <w:tcW w:w="144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–1 470 000</w:t>
            </w:r>
          </w:p>
        </w:tc>
      </w:tr>
      <w:tr w:rsidR="00000000" w:rsidRPr="00732241">
        <w:trPr>
          <w:cantSplit/>
          <w:trHeight w:val="315"/>
        </w:trPr>
        <w:tc>
          <w:tcPr>
            <w:tcW w:w="3310" w:type="dxa"/>
            <w:gridSpan w:val="3"/>
            <w:noWrap/>
            <w:vAlign w:val="bottom"/>
          </w:tcPr>
          <w:p w:rsidR="00390173" w:rsidRPr="00732241" w:rsidRDefault="00390173">
            <w:pPr>
              <w:shd w:val="clear" w:color="000000" w:fill="auto"/>
              <w:spacing w:before="60" w:line="200" w:lineRule="exact"/>
              <w:jc w:val="left"/>
              <w:rPr>
                <w:b/>
                <w:bCs/>
                <w:sz w:val="16"/>
                <w:szCs w:val="16"/>
              </w:rPr>
            </w:pPr>
            <w:r w:rsidRPr="00732241">
              <w:rPr>
                <w:b/>
                <w:bCs/>
                <w:sz w:val="16"/>
                <w:szCs w:val="16"/>
              </w:rPr>
              <w:t>Utgiftsområde 8 Migration</w:t>
            </w:r>
          </w:p>
        </w:tc>
        <w:tc>
          <w:tcPr>
            <w:tcW w:w="1200" w:type="dxa"/>
            <w:noWrap/>
            <w:vAlign w:val="bottom"/>
          </w:tcPr>
          <w:p w:rsidR="00390173" w:rsidRPr="00732241" w:rsidRDefault="00390173">
            <w:pPr>
              <w:shd w:val="clear" w:color="000000" w:fill="auto"/>
              <w:spacing w:before="60" w:line="200" w:lineRule="exact"/>
              <w:jc w:val="right"/>
              <w:rPr>
                <w:sz w:val="16"/>
                <w:szCs w:val="16"/>
              </w:rPr>
            </w:pPr>
          </w:p>
        </w:tc>
        <w:tc>
          <w:tcPr>
            <w:tcW w:w="1440" w:type="dxa"/>
            <w:noWrap/>
            <w:vAlign w:val="bottom"/>
          </w:tcPr>
          <w:p w:rsidR="00390173" w:rsidRPr="00732241" w:rsidRDefault="00390173">
            <w:pPr>
              <w:shd w:val="clear" w:color="000000" w:fill="auto"/>
              <w:spacing w:before="60" w:line="200" w:lineRule="exact"/>
              <w:jc w:val="right"/>
              <w:rPr>
                <w:sz w:val="16"/>
                <w:szCs w:val="16"/>
              </w:rPr>
            </w:pPr>
          </w:p>
        </w:tc>
      </w:tr>
      <w:tr w:rsidR="00000000" w:rsidRPr="00732241">
        <w:trPr>
          <w:cantSplit/>
          <w:trHeight w:val="255"/>
        </w:trPr>
        <w:tc>
          <w:tcPr>
            <w:tcW w:w="621" w:type="dxa"/>
            <w:noWrap/>
          </w:tcPr>
          <w:p w:rsidR="00390173" w:rsidRPr="00732241" w:rsidRDefault="00390173">
            <w:pPr>
              <w:shd w:val="clear" w:color="000000" w:fill="auto"/>
              <w:spacing w:before="60" w:line="200" w:lineRule="exact"/>
              <w:rPr>
                <w:sz w:val="16"/>
                <w:szCs w:val="16"/>
              </w:rPr>
            </w:pPr>
            <w:r w:rsidRPr="00732241">
              <w:rPr>
                <w:sz w:val="16"/>
                <w:szCs w:val="16"/>
              </w:rPr>
              <w:t>12:5</w:t>
            </w:r>
          </w:p>
        </w:tc>
        <w:tc>
          <w:tcPr>
            <w:tcW w:w="2689" w:type="dxa"/>
            <w:gridSpan w:val="2"/>
            <w:noWrap/>
            <w:vAlign w:val="bottom"/>
          </w:tcPr>
          <w:p w:rsidR="00390173" w:rsidRPr="00732241" w:rsidRDefault="00390173">
            <w:pPr>
              <w:shd w:val="clear" w:color="000000" w:fill="auto"/>
              <w:spacing w:before="60" w:line="200" w:lineRule="exact"/>
              <w:jc w:val="left"/>
              <w:rPr>
                <w:sz w:val="16"/>
                <w:szCs w:val="16"/>
              </w:rPr>
            </w:pPr>
            <w:r w:rsidRPr="00732241">
              <w:rPr>
                <w:sz w:val="16"/>
                <w:szCs w:val="16"/>
              </w:rPr>
              <w:t>Kostnader vid domstolsprövning i utlänningsärenden</w:t>
            </w:r>
          </w:p>
        </w:tc>
        <w:tc>
          <w:tcPr>
            <w:tcW w:w="120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–80 000 000</w:t>
            </w:r>
          </w:p>
        </w:tc>
        <w:tc>
          <w:tcPr>
            <w:tcW w:w="144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80 000 000</w:t>
            </w:r>
          </w:p>
        </w:tc>
      </w:tr>
      <w:tr w:rsidR="00000000" w:rsidRPr="00732241">
        <w:trPr>
          <w:cantSplit/>
          <w:trHeight w:val="255"/>
        </w:trPr>
        <w:tc>
          <w:tcPr>
            <w:tcW w:w="3310" w:type="dxa"/>
            <w:gridSpan w:val="3"/>
            <w:noWrap/>
            <w:vAlign w:val="bottom"/>
          </w:tcPr>
          <w:p w:rsidR="00390173" w:rsidRPr="00732241" w:rsidRDefault="00390173">
            <w:pPr>
              <w:shd w:val="clear" w:color="000000" w:fill="auto"/>
              <w:spacing w:before="60" w:line="200" w:lineRule="exact"/>
              <w:jc w:val="left"/>
              <w:rPr>
                <w:b/>
                <w:bCs/>
                <w:sz w:val="16"/>
                <w:szCs w:val="16"/>
              </w:rPr>
            </w:pPr>
            <w:r w:rsidRPr="00732241">
              <w:rPr>
                <w:b/>
                <w:bCs/>
                <w:sz w:val="16"/>
                <w:szCs w:val="16"/>
              </w:rPr>
              <w:t>Utgiftsområde 10 Ekonomisk trygghet vid sjukdom och handikapp</w:t>
            </w:r>
          </w:p>
        </w:tc>
        <w:tc>
          <w:tcPr>
            <w:tcW w:w="1200" w:type="dxa"/>
            <w:noWrap/>
            <w:vAlign w:val="bottom"/>
          </w:tcPr>
          <w:p w:rsidR="00390173" w:rsidRPr="00732241" w:rsidRDefault="00390173">
            <w:pPr>
              <w:shd w:val="clear" w:color="000000" w:fill="auto"/>
              <w:spacing w:before="60" w:line="200" w:lineRule="exact"/>
              <w:jc w:val="right"/>
              <w:rPr>
                <w:sz w:val="16"/>
                <w:szCs w:val="16"/>
              </w:rPr>
            </w:pPr>
          </w:p>
        </w:tc>
        <w:tc>
          <w:tcPr>
            <w:tcW w:w="1440" w:type="dxa"/>
            <w:noWrap/>
            <w:vAlign w:val="bottom"/>
          </w:tcPr>
          <w:p w:rsidR="00390173" w:rsidRPr="00732241" w:rsidRDefault="00390173">
            <w:pPr>
              <w:shd w:val="clear" w:color="000000" w:fill="auto"/>
              <w:spacing w:before="60" w:line="200" w:lineRule="exact"/>
              <w:jc w:val="right"/>
              <w:rPr>
                <w:sz w:val="16"/>
                <w:szCs w:val="16"/>
              </w:rPr>
            </w:pPr>
          </w:p>
        </w:tc>
      </w:tr>
      <w:tr w:rsidR="00000000" w:rsidRPr="00732241">
        <w:trPr>
          <w:cantSplit/>
          <w:trHeight w:val="255"/>
        </w:trPr>
        <w:tc>
          <w:tcPr>
            <w:tcW w:w="621" w:type="dxa"/>
            <w:noWrap/>
            <w:vAlign w:val="bottom"/>
          </w:tcPr>
          <w:p w:rsidR="00390173" w:rsidRPr="00732241" w:rsidRDefault="00390173">
            <w:pPr>
              <w:shd w:val="clear" w:color="000000" w:fill="auto"/>
              <w:spacing w:before="60" w:line="200" w:lineRule="exact"/>
              <w:rPr>
                <w:sz w:val="16"/>
                <w:szCs w:val="16"/>
              </w:rPr>
            </w:pPr>
            <w:r w:rsidRPr="00732241">
              <w:rPr>
                <w:sz w:val="16"/>
                <w:szCs w:val="16"/>
              </w:rPr>
              <w:t>19:6</w:t>
            </w:r>
          </w:p>
        </w:tc>
        <w:tc>
          <w:tcPr>
            <w:tcW w:w="2689" w:type="dxa"/>
            <w:gridSpan w:val="2"/>
            <w:noWrap/>
            <w:vAlign w:val="bottom"/>
          </w:tcPr>
          <w:p w:rsidR="00390173" w:rsidRPr="00732241" w:rsidRDefault="00390173">
            <w:pPr>
              <w:shd w:val="clear" w:color="000000" w:fill="auto"/>
              <w:spacing w:before="60" w:line="200" w:lineRule="exact"/>
              <w:jc w:val="left"/>
              <w:rPr>
                <w:sz w:val="16"/>
                <w:szCs w:val="16"/>
              </w:rPr>
            </w:pPr>
            <w:r w:rsidRPr="00732241">
              <w:rPr>
                <w:sz w:val="16"/>
                <w:szCs w:val="16"/>
              </w:rPr>
              <w:t>Försäkringskassan</w:t>
            </w:r>
          </w:p>
        </w:tc>
        <w:tc>
          <w:tcPr>
            <w:tcW w:w="120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700 000 000</w:t>
            </w:r>
          </w:p>
        </w:tc>
        <w:tc>
          <w:tcPr>
            <w:tcW w:w="144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–700 000 000</w:t>
            </w:r>
          </w:p>
        </w:tc>
      </w:tr>
      <w:tr w:rsidR="00000000" w:rsidRPr="00732241">
        <w:trPr>
          <w:cantSplit/>
          <w:trHeight w:val="255"/>
        </w:trPr>
        <w:tc>
          <w:tcPr>
            <w:tcW w:w="3310" w:type="dxa"/>
            <w:gridSpan w:val="3"/>
            <w:noWrap/>
            <w:vAlign w:val="bottom"/>
          </w:tcPr>
          <w:p w:rsidR="00390173" w:rsidRPr="00732241" w:rsidRDefault="00390173">
            <w:pPr>
              <w:shd w:val="clear" w:color="000000" w:fill="auto"/>
              <w:spacing w:before="60" w:line="200" w:lineRule="exact"/>
              <w:jc w:val="left"/>
              <w:rPr>
                <w:b/>
                <w:bCs/>
                <w:sz w:val="16"/>
                <w:szCs w:val="16"/>
              </w:rPr>
            </w:pPr>
            <w:r w:rsidRPr="00732241">
              <w:rPr>
                <w:b/>
                <w:bCs/>
                <w:sz w:val="16"/>
                <w:szCs w:val="16"/>
              </w:rPr>
              <w:t>Utgiftsområde 13 Arbetsmarknad</w:t>
            </w:r>
          </w:p>
        </w:tc>
        <w:tc>
          <w:tcPr>
            <w:tcW w:w="1200" w:type="dxa"/>
            <w:noWrap/>
            <w:vAlign w:val="bottom"/>
          </w:tcPr>
          <w:p w:rsidR="00390173" w:rsidRPr="00732241" w:rsidRDefault="00390173">
            <w:pPr>
              <w:shd w:val="clear" w:color="000000" w:fill="auto"/>
              <w:spacing w:before="60" w:line="200" w:lineRule="exact"/>
              <w:jc w:val="right"/>
              <w:rPr>
                <w:sz w:val="16"/>
                <w:szCs w:val="16"/>
              </w:rPr>
            </w:pPr>
          </w:p>
        </w:tc>
        <w:tc>
          <w:tcPr>
            <w:tcW w:w="1440" w:type="dxa"/>
            <w:noWrap/>
            <w:vAlign w:val="bottom"/>
          </w:tcPr>
          <w:p w:rsidR="00390173" w:rsidRPr="00732241" w:rsidRDefault="00390173">
            <w:pPr>
              <w:shd w:val="clear" w:color="000000" w:fill="auto"/>
              <w:spacing w:before="60" w:line="200" w:lineRule="exact"/>
              <w:jc w:val="right"/>
              <w:rPr>
                <w:sz w:val="16"/>
                <w:szCs w:val="16"/>
              </w:rPr>
            </w:pPr>
          </w:p>
        </w:tc>
      </w:tr>
      <w:tr w:rsidR="00000000" w:rsidRPr="00732241">
        <w:trPr>
          <w:cantSplit/>
          <w:trHeight w:val="255"/>
        </w:trPr>
        <w:tc>
          <w:tcPr>
            <w:tcW w:w="621" w:type="dxa"/>
            <w:noWrap/>
          </w:tcPr>
          <w:p w:rsidR="00390173" w:rsidRPr="00732241" w:rsidRDefault="00390173">
            <w:pPr>
              <w:shd w:val="clear" w:color="000000" w:fill="auto"/>
              <w:spacing w:before="60" w:line="200" w:lineRule="exact"/>
              <w:rPr>
                <w:sz w:val="16"/>
                <w:szCs w:val="16"/>
              </w:rPr>
            </w:pPr>
            <w:r w:rsidRPr="00732241">
              <w:rPr>
                <w:sz w:val="16"/>
                <w:szCs w:val="16"/>
              </w:rPr>
              <w:t>22:1</w:t>
            </w:r>
          </w:p>
        </w:tc>
        <w:tc>
          <w:tcPr>
            <w:tcW w:w="2689" w:type="dxa"/>
            <w:gridSpan w:val="2"/>
            <w:noWrap/>
            <w:vAlign w:val="bottom"/>
          </w:tcPr>
          <w:p w:rsidR="00390173" w:rsidRPr="00732241" w:rsidRDefault="00390173">
            <w:pPr>
              <w:shd w:val="clear" w:color="000000" w:fill="auto"/>
              <w:spacing w:before="60" w:line="200" w:lineRule="exact"/>
              <w:jc w:val="left"/>
              <w:rPr>
                <w:sz w:val="16"/>
                <w:szCs w:val="16"/>
              </w:rPr>
            </w:pPr>
            <w:r w:rsidRPr="00732241">
              <w:rPr>
                <w:sz w:val="16"/>
                <w:szCs w:val="16"/>
              </w:rPr>
              <w:t>Arbetsförmedlingens förvaltningskos</w:t>
            </w:r>
            <w:r w:rsidRPr="00732241">
              <w:rPr>
                <w:sz w:val="16"/>
                <w:szCs w:val="16"/>
              </w:rPr>
              <w:t>t</w:t>
            </w:r>
            <w:r w:rsidRPr="00732241">
              <w:rPr>
                <w:sz w:val="16"/>
                <w:szCs w:val="16"/>
              </w:rPr>
              <w:t>nader</w:t>
            </w:r>
          </w:p>
        </w:tc>
        <w:tc>
          <w:tcPr>
            <w:tcW w:w="120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–4 500 000</w:t>
            </w:r>
          </w:p>
        </w:tc>
        <w:tc>
          <w:tcPr>
            <w:tcW w:w="144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4 500 000</w:t>
            </w:r>
          </w:p>
        </w:tc>
      </w:tr>
      <w:tr w:rsidR="00000000" w:rsidRPr="00732241">
        <w:trPr>
          <w:cantSplit/>
          <w:trHeight w:val="255"/>
        </w:trPr>
        <w:tc>
          <w:tcPr>
            <w:tcW w:w="621" w:type="dxa"/>
            <w:noWrap/>
          </w:tcPr>
          <w:p w:rsidR="00390173" w:rsidRPr="00732241" w:rsidRDefault="00390173">
            <w:pPr>
              <w:shd w:val="clear" w:color="000000" w:fill="auto"/>
              <w:spacing w:before="60" w:line="200" w:lineRule="exact"/>
              <w:rPr>
                <w:sz w:val="16"/>
                <w:szCs w:val="16"/>
              </w:rPr>
            </w:pPr>
            <w:r w:rsidRPr="00732241">
              <w:rPr>
                <w:sz w:val="16"/>
                <w:szCs w:val="16"/>
              </w:rPr>
              <w:t>22:3</w:t>
            </w:r>
          </w:p>
        </w:tc>
        <w:tc>
          <w:tcPr>
            <w:tcW w:w="2689" w:type="dxa"/>
            <w:gridSpan w:val="2"/>
            <w:noWrap/>
            <w:vAlign w:val="bottom"/>
          </w:tcPr>
          <w:p w:rsidR="00390173" w:rsidRPr="00732241" w:rsidRDefault="00390173">
            <w:pPr>
              <w:shd w:val="clear" w:color="000000" w:fill="auto"/>
              <w:spacing w:before="60" w:line="200" w:lineRule="exact"/>
              <w:jc w:val="left"/>
              <w:rPr>
                <w:sz w:val="16"/>
                <w:szCs w:val="16"/>
              </w:rPr>
            </w:pPr>
            <w:r w:rsidRPr="00732241">
              <w:rPr>
                <w:sz w:val="16"/>
                <w:szCs w:val="16"/>
              </w:rPr>
              <w:t>Köp av arbetsmarknadsutbildning och övriga kostnader</w:t>
            </w:r>
          </w:p>
        </w:tc>
        <w:tc>
          <w:tcPr>
            <w:tcW w:w="120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–5 500 000</w:t>
            </w:r>
          </w:p>
        </w:tc>
        <w:tc>
          <w:tcPr>
            <w:tcW w:w="144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5 500 000</w:t>
            </w:r>
          </w:p>
        </w:tc>
      </w:tr>
      <w:tr w:rsidR="00000000" w:rsidRPr="00732241">
        <w:trPr>
          <w:cantSplit/>
          <w:trHeight w:val="255"/>
        </w:trPr>
        <w:tc>
          <w:tcPr>
            <w:tcW w:w="3310" w:type="dxa"/>
            <w:gridSpan w:val="3"/>
            <w:noWrap/>
            <w:vAlign w:val="bottom"/>
          </w:tcPr>
          <w:p w:rsidR="00390173" w:rsidRPr="00732241" w:rsidRDefault="00390173">
            <w:pPr>
              <w:shd w:val="clear" w:color="000000" w:fill="auto"/>
              <w:spacing w:before="60" w:line="200" w:lineRule="exact"/>
              <w:jc w:val="left"/>
              <w:rPr>
                <w:b/>
                <w:bCs/>
                <w:sz w:val="16"/>
                <w:szCs w:val="16"/>
              </w:rPr>
            </w:pPr>
            <w:r w:rsidRPr="00732241">
              <w:rPr>
                <w:b/>
                <w:bCs/>
                <w:sz w:val="16"/>
                <w:szCs w:val="16"/>
              </w:rPr>
              <w:t>Utgiftsområde 21 Kommunikationer</w:t>
            </w:r>
          </w:p>
        </w:tc>
        <w:tc>
          <w:tcPr>
            <w:tcW w:w="1200" w:type="dxa"/>
            <w:noWrap/>
            <w:vAlign w:val="bottom"/>
          </w:tcPr>
          <w:p w:rsidR="00390173" w:rsidRPr="00732241" w:rsidRDefault="00390173">
            <w:pPr>
              <w:shd w:val="clear" w:color="000000" w:fill="auto"/>
              <w:spacing w:before="60" w:line="200" w:lineRule="exact"/>
              <w:jc w:val="right"/>
              <w:rPr>
                <w:sz w:val="16"/>
                <w:szCs w:val="16"/>
              </w:rPr>
            </w:pPr>
          </w:p>
        </w:tc>
        <w:tc>
          <w:tcPr>
            <w:tcW w:w="1440" w:type="dxa"/>
            <w:noWrap/>
            <w:vAlign w:val="bottom"/>
          </w:tcPr>
          <w:p w:rsidR="00390173" w:rsidRPr="00732241" w:rsidRDefault="00390173">
            <w:pPr>
              <w:shd w:val="clear" w:color="000000" w:fill="auto"/>
              <w:spacing w:before="60" w:line="200" w:lineRule="exact"/>
              <w:jc w:val="right"/>
              <w:rPr>
                <w:sz w:val="16"/>
                <w:szCs w:val="16"/>
              </w:rPr>
            </w:pPr>
          </w:p>
        </w:tc>
      </w:tr>
      <w:tr w:rsidR="00000000" w:rsidRPr="00732241">
        <w:trPr>
          <w:cantSplit/>
          <w:trHeight w:val="255"/>
        </w:trPr>
        <w:tc>
          <w:tcPr>
            <w:tcW w:w="621" w:type="dxa"/>
            <w:noWrap/>
            <w:vAlign w:val="bottom"/>
          </w:tcPr>
          <w:p w:rsidR="00390173" w:rsidRPr="00732241" w:rsidRDefault="00390173">
            <w:pPr>
              <w:shd w:val="clear" w:color="000000" w:fill="auto"/>
              <w:spacing w:before="60" w:line="200" w:lineRule="exact"/>
              <w:rPr>
                <w:sz w:val="16"/>
                <w:szCs w:val="16"/>
              </w:rPr>
            </w:pPr>
            <w:r w:rsidRPr="00732241">
              <w:rPr>
                <w:sz w:val="16"/>
                <w:szCs w:val="16"/>
              </w:rPr>
              <w:t>36:2</w:t>
            </w:r>
          </w:p>
        </w:tc>
        <w:tc>
          <w:tcPr>
            <w:tcW w:w="2689" w:type="dxa"/>
            <w:gridSpan w:val="2"/>
            <w:noWrap/>
            <w:vAlign w:val="bottom"/>
          </w:tcPr>
          <w:p w:rsidR="00390173" w:rsidRPr="00732241" w:rsidRDefault="00390173">
            <w:pPr>
              <w:shd w:val="clear" w:color="000000" w:fill="auto"/>
              <w:spacing w:before="60" w:line="200" w:lineRule="exact"/>
              <w:jc w:val="left"/>
              <w:rPr>
                <w:sz w:val="16"/>
                <w:szCs w:val="16"/>
              </w:rPr>
            </w:pPr>
            <w:r w:rsidRPr="00732241">
              <w:rPr>
                <w:sz w:val="16"/>
                <w:szCs w:val="16"/>
              </w:rPr>
              <w:t>Väghållning och statsbidrag</w:t>
            </w:r>
          </w:p>
        </w:tc>
        <w:tc>
          <w:tcPr>
            <w:tcW w:w="120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7 000 000 000</w:t>
            </w:r>
          </w:p>
        </w:tc>
        <w:tc>
          <w:tcPr>
            <w:tcW w:w="144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–7 000 000 000</w:t>
            </w:r>
          </w:p>
        </w:tc>
      </w:tr>
      <w:tr w:rsidR="00000000" w:rsidRPr="00732241">
        <w:trPr>
          <w:cantSplit/>
          <w:trHeight w:val="255"/>
        </w:trPr>
        <w:tc>
          <w:tcPr>
            <w:tcW w:w="621" w:type="dxa"/>
            <w:noWrap/>
          </w:tcPr>
          <w:p w:rsidR="00390173" w:rsidRPr="00732241" w:rsidRDefault="00390173">
            <w:pPr>
              <w:shd w:val="clear" w:color="000000" w:fill="auto"/>
              <w:spacing w:before="60" w:line="200" w:lineRule="exact"/>
              <w:rPr>
                <w:sz w:val="16"/>
                <w:szCs w:val="16"/>
              </w:rPr>
            </w:pPr>
            <w:r w:rsidRPr="00732241">
              <w:rPr>
                <w:sz w:val="16"/>
                <w:szCs w:val="16"/>
              </w:rPr>
              <w:t>36:4</w:t>
            </w:r>
          </w:p>
        </w:tc>
        <w:tc>
          <w:tcPr>
            <w:tcW w:w="2689" w:type="dxa"/>
            <w:gridSpan w:val="2"/>
            <w:noWrap/>
            <w:vAlign w:val="bottom"/>
          </w:tcPr>
          <w:p w:rsidR="00390173" w:rsidRPr="00732241" w:rsidRDefault="00390173">
            <w:pPr>
              <w:shd w:val="clear" w:color="000000" w:fill="auto"/>
              <w:spacing w:before="60" w:line="200" w:lineRule="exact"/>
              <w:jc w:val="left"/>
              <w:rPr>
                <w:sz w:val="16"/>
                <w:szCs w:val="16"/>
              </w:rPr>
            </w:pPr>
            <w:r w:rsidRPr="00732241">
              <w:rPr>
                <w:sz w:val="16"/>
                <w:szCs w:val="16"/>
              </w:rPr>
              <w:t>Banverket: Banhållning och sektor</w:t>
            </w:r>
            <w:r w:rsidRPr="00732241">
              <w:rPr>
                <w:sz w:val="16"/>
                <w:szCs w:val="16"/>
              </w:rPr>
              <w:t>s</w:t>
            </w:r>
            <w:r w:rsidRPr="00732241">
              <w:rPr>
                <w:sz w:val="16"/>
                <w:szCs w:val="16"/>
              </w:rPr>
              <w:t>uppgifter</w:t>
            </w:r>
          </w:p>
        </w:tc>
        <w:tc>
          <w:tcPr>
            <w:tcW w:w="120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3 000 000 000</w:t>
            </w:r>
          </w:p>
        </w:tc>
        <w:tc>
          <w:tcPr>
            <w:tcW w:w="1440" w:type="dxa"/>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–3 000 000 000</w:t>
            </w:r>
          </w:p>
        </w:tc>
      </w:tr>
      <w:tr w:rsidR="00000000" w:rsidRPr="00732241">
        <w:trPr>
          <w:cantSplit/>
          <w:trHeight w:val="255"/>
        </w:trPr>
        <w:tc>
          <w:tcPr>
            <w:tcW w:w="3310" w:type="dxa"/>
            <w:gridSpan w:val="3"/>
            <w:noWrap/>
            <w:vAlign w:val="bottom"/>
          </w:tcPr>
          <w:p w:rsidR="00390173" w:rsidRPr="00732241" w:rsidRDefault="00390173">
            <w:pPr>
              <w:shd w:val="clear" w:color="000000" w:fill="auto"/>
              <w:spacing w:before="60" w:line="200" w:lineRule="exact"/>
              <w:jc w:val="left"/>
              <w:rPr>
                <w:b/>
                <w:bCs/>
                <w:sz w:val="16"/>
                <w:szCs w:val="16"/>
              </w:rPr>
            </w:pPr>
            <w:r w:rsidRPr="00732241">
              <w:rPr>
                <w:b/>
                <w:bCs/>
                <w:sz w:val="16"/>
                <w:szCs w:val="16"/>
              </w:rPr>
              <w:t>Utgiftsområde 24 Näringsliv</w:t>
            </w:r>
          </w:p>
        </w:tc>
        <w:tc>
          <w:tcPr>
            <w:tcW w:w="1200" w:type="dxa"/>
            <w:noWrap/>
            <w:vAlign w:val="bottom"/>
          </w:tcPr>
          <w:p w:rsidR="00390173" w:rsidRPr="00732241" w:rsidRDefault="00390173">
            <w:pPr>
              <w:shd w:val="clear" w:color="000000" w:fill="auto"/>
              <w:spacing w:before="60" w:line="200" w:lineRule="exact"/>
              <w:jc w:val="right"/>
              <w:rPr>
                <w:sz w:val="16"/>
                <w:szCs w:val="16"/>
              </w:rPr>
            </w:pPr>
          </w:p>
        </w:tc>
        <w:tc>
          <w:tcPr>
            <w:tcW w:w="1440" w:type="dxa"/>
            <w:noWrap/>
            <w:vAlign w:val="bottom"/>
          </w:tcPr>
          <w:p w:rsidR="00390173" w:rsidRPr="00732241" w:rsidRDefault="00390173">
            <w:pPr>
              <w:shd w:val="clear" w:color="000000" w:fill="auto"/>
              <w:spacing w:before="60" w:line="200" w:lineRule="exact"/>
              <w:jc w:val="right"/>
              <w:rPr>
                <w:sz w:val="16"/>
                <w:szCs w:val="16"/>
              </w:rPr>
            </w:pPr>
          </w:p>
        </w:tc>
      </w:tr>
      <w:tr w:rsidR="00000000" w:rsidRPr="00732241">
        <w:trPr>
          <w:cantSplit/>
          <w:trHeight w:val="255"/>
        </w:trPr>
        <w:tc>
          <w:tcPr>
            <w:tcW w:w="670" w:type="dxa"/>
            <w:gridSpan w:val="2"/>
            <w:tcBorders>
              <w:bottom w:val="nil"/>
            </w:tcBorders>
            <w:noWrap/>
            <w:vAlign w:val="bottom"/>
          </w:tcPr>
          <w:p w:rsidR="00390173" w:rsidRPr="00732241" w:rsidRDefault="00390173">
            <w:pPr>
              <w:shd w:val="clear" w:color="000000" w:fill="auto"/>
              <w:spacing w:before="60" w:line="200" w:lineRule="exact"/>
              <w:jc w:val="left"/>
              <w:rPr>
                <w:sz w:val="16"/>
                <w:szCs w:val="16"/>
              </w:rPr>
            </w:pPr>
            <w:r w:rsidRPr="00732241">
              <w:rPr>
                <w:sz w:val="16"/>
                <w:szCs w:val="16"/>
              </w:rPr>
              <w:t>38:2</w:t>
            </w:r>
          </w:p>
        </w:tc>
        <w:tc>
          <w:tcPr>
            <w:tcW w:w="2640" w:type="dxa"/>
            <w:tcBorders>
              <w:bottom w:val="nil"/>
            </w:tcBorders>
            <w:noWrap/>
            <w:vAlign w:val="bottom"/>
          </w:tcPr>
          <w:p w:rsidR="00390173" w:rsidRPr="00732241" w:rsidRDefault="00390173">
            <w:pPr>
              <w:shd w:val="clear" w:color="000000" w:fill="auto"/>
              <w:spacing w:before="60" w:line="200" w:lineRule="exact"/>
              <w:jc w:val="left"/>
              <w:rPr>
                <w:sz w:val="16"/>
                <w:szCs w:val="16"/>
              </w:rPr>
            </w:pPr>
            <w:r w:rsidRPr="00732241">
              <w:rPr>
                <w:sz w:val="16"/>
                <w:szCs w:val="16"/>
              </w:rPr>
              <w:t>Näringslivsutveckling m.m.</w:t>
            </w:r>
          </w:p>
        </w:tc>
        <w:tc>
          <w:tcPr>
            <w:tcW w:w="1200" w:type="dxa"/>
            <w:tcBorders>
              <w:bottom w:val="nil"/>
            </w:tcBorders>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10 000 000</w:t>
            </w:r>
          </w:p>
        </w:tc>
        <w:tc>
          <w:tcPr>
            <w:tcW w:w="1440" w:type="dxa"/>
            <w:tcBorders>
              <w:bottom w:val="nil"/>
            </w:tcBorders>
            <w:noWrap/>
            <w:vAlign w:val="bottom"/>
          </w:tcPr>
          <w:p w:rsidR="00390173" w:rsidRPr="00732241" w:rsidRDefault="00390173">
            <w:pPr>
              <w:shd w:val="clear" w:color="000000" w:fill="auto"/>
              <w:spacing w:before="60" w:line="200" w:lineRule="exact"/>
              <w:jc w:val="right"/>
              <w:rPr>
                <w:sz w:val="16"/>
                <w:szCs w:val="16"/>
              </w:rPr>
            </w:pPr>
            <w:r w:rsidRPr="00732241">
              <w:rPr>
                <w:sz w:val="16"/>
                <w:szCs w:val="16"/>
              </w:rPr>
              <w:t>–10 000 000</w:t>
            </w:r>
          </w:p>
        </w:tc>
      </w:tr>
      <w:tr w:rsidR="00000000" w:rsidRPr="00732241">
        <w:trPr>
          <w:cantSplit/>
          <w:trHeight w:val="279"/>
        </w:trPr>
        <w:tc>
          <w:tcPr>
            <w:tcW w:w="670" w:type="dxa"/>
            <w:gridSpan w:val="2"/>
            <w:tcBorders>
              <w:top w:val="nil"/>
              <w:bottom w:val="single" w:sz="4" w:space="0" w:color="auto"/>
            </w:tcBorders>
            <w:noWrap/>
            <w:vAlign w:val="bottom"/>
          </w:tcPr>
          <w:p w:rsidR="00390173" w:rsidRPr="00732241" w:rsidRDefault="00390173">
            <w:pPr>
              <w:shd w:val="clear" w:color="000000" w:fill="auto"/>
              <w:spacing w:before="60" w:line="200" w:lineRule="exact"/>
              <w:ind w:right="-70"/>
              <w:jc w:val="left"/>
              <w:rPr>
                <w:b/>
                <w:bCs/>
                <w:sz w:val="16"/>
                <w:szCs w:val="16"/>
              </w:rPr>
            </w:pPr>
            <w:r w:rsidRPr="00732241">
              <w:rPr>
                <w:b/>
                <w:bCs/>
                <w:sz w:val="16"/>
                <w:szCs w:val="16"/>
              </w:rPr>
              <w:t>Totalt</w:t>
            </w:r>
          </w:p>
        </w:tc>
        <w:tc>
          <w:tcPr>
            <w:tcW w:w="2640" w:type="dxa"/>
            <w:tcBorders>
              <w:top w:val="nil"/>
              <w:bottom w:val="single" w:sz="4" w:space="0" w:color="auto"/>
            </w:tcBorders>
            <w:noWrap/>
            <w:vAlign w:val="bottom"/>
          </w:tcPr>
          <w:p w:rsidR="00390173" w:rsidRPr="00732241" w:rsidRDefault="00390173">
            <w:pPr>
              <w:shd w:val="clear" w:color="000000" w:fill="auto"/>
              <w:spacing w:before="60" w:line="200" w:lineRule="exact"/>
              <w:jc w:val="left"/>
              <w:rPr>
                <w:b/>
                <w:bCs/>
                <w:sz w:val="16"/>
                <w:szCs w:val="16"/>
              </w:rPr>
            </w:pPr>
            <w:r w:rsidRPr="00732241">
              <w:rPr>
                <w:b/>
                <w:bCs/>
                <w:sz w:val="16"/>
                <w:szCs w:val="16"/>
              </w:rPr>
              <w:t> </w:t>
            </w:r>
          </w:p>
        </w:tc>
        <w:tc>
          <w:tcPr>
            <w:tcW w:w="1200" w:type="dxa"/>
            <w:tcBorders>
              <w:top w:val="nil"/>
              <w:bottom w:val="single" w:sz="4" w:space="0" w:color="auto"/>
            </w:tcBorders>
            <w:noWrap/>
            <w:vAlign w:val="bottom"/>
          </w:tcPr>
          <w:p w:rsidR="00390173" w:rsidRPr="00732241" w:rsidRDefault="00390173">
            <w:pPr>
              <w:shd w:val="clear" w:color="000000" w:fill="auto"/>
              <w:spacing w:before="60" w:line="200" w:lineRule="exact"/>
              <w:jc w:val="right"/>
              <w:rPr>
                <w:b/>
                <w:bCs/>
                <w:sz w:val="16"/>
                <w:szCs w:val="16"/>
              </w:rPr>
            </w:pPr>
            <w:r w:rsidRPr="00732241">
              <w:rPr>
                <w:b/>
                <w:bCs/>
                <w:sz w:val="16"/>
                <w:szCs w:val="16"/>
              </w:rPr>
              <w:t> </w:t>
            </w:r>
          </w:p>
        </w:tc>
        <w:tc>
          <w:tcPr>
            <w:tcW w:w="1440" w:type="dxa"/>
            <w:tcBorders>
              <w:top w:val="nil"/>
              <w:bottom w:val="single" w:sz="4" w:space="0" w:color="auto"/>
            </w:tcBorders>
            <w:noWrap/>
            <w:vAlign w:val="bottom"/>
          </w:tcPr>
          <w:p w:rsidR="00390173" w:rsidRPr="00732241" w:rsidRDefault="00390173">
            <w:pPr>
              <w:shd w:val="clear" w:color="000000" w:fill="auto"/>
              <w:spacing w:before="60" w:line="200" w:lineRule="exact"/>
              <w:jc w:val="right"/>
              <w:rPr>
                <w:b/>
                <w:bCs/>
                <w:sz w:val="16"/>
                <w:szCs w:val="16"/>
              </w:rPr>
            </w:pPr>
            <w:r w:rsidRPr="00732241">
              <w:rPr>
                <w:b/>
                <w:bCs/>
                <w:sz w:val="16"/>
                <w:szCs w:val="16"/>
              </w:rPr>
              <w:t xml:space="preserve">–10 621 570 000   </w:t>
            </w:r>
          </w:p>
        </w:tc>
      </w:tr>
    </w:tbl>
    <w:p w:rsidR="00390173" w:rsidRPr="00732241" w:rsidRDefault="00390173">
      <w:pPr>
        <w:pStyle w:val="Rubrik1"/>
        <w:numPr>
          <w:ilvl w:val="0"/>
          <w:numId w:val="0"/>
        </w:numPr>
        <w:shd w:val="clear" w:color="000000" w:fill="auto"/>
      </w:pPr>
      <w:r w:rsidRPr="00732241">
        <w:t>Utgiftsområde 2 Samhällsekonomi och finansförvaltning</w:t>
      </w:r>
    </w:p>
    <w:p w:rsidR="00390173" w:rsidRPr="00732241" w:rsidRDefault="00390173">
      <w:pPr>
        <w:shd w:val="clear" w:color="000000" w:fill="auto"/>
      </w:pPr>
      <w:r w:rsidRPr="00732241">
        <w:t>Vänsterpartiet har varit, och är fortsatt, motståndare till inrättandet av ett finanspolitiskt råd. Inrättandet av ett finanspolitiskt råd är ännu en instituti</w:t>
      </w:r>
      <w:r w:rsidRPr="00732241">
        <w:t>o</w:t>
      </w:r>
      <w:r w:rsidRPr="00732241">
        <w:t>nell hämsko på de folkvaldas möjligheter att föra en ekonomisk politik för full sysselsättning och bidrar samtidigt till en allmän ekonomisk utveckling där löntagarnas positioner på arbetsmarknaden försvagas till förmån för a</w:t>
      </w:r>
      <w:r w:rsidRPr="00732241">
        <w:t>r</w:t>
      </w:r>
      <w:r w:rsidRPr="00732241">
        <w:t>betsgivarnas. Till rådet anslogs i samband med tilläggsbudgeten i ekonomiska vårpropositionen 2007 1,5 miljoner kronor. Vänsterpartiet avvisar höjningen, liksom regeringens förslag till finansiering.</w:t>
      </w:r>
    </w:p>
    <w:p w:rsidR="00390173" w:rsidRPr="00732241" w:rsidRDefault="00390173">
      <w:pPr>
        <w:pStyle w:val="Rubrik1"/>
        <w:numPr>
          <w:ilvl w:val="0"/>
          <w:numId w:val="0"/>
        </w:numPr>
        <w:shd w:val="clear" w:color="000000" w:fill="auto"/>
      </w:pPr>
      <w:r w:rsidRPr="00732241">
        <w:t>Utgiftsområde 3 Skatt, tull och exekution</w:t>
      </w:r>
    </w:p>
    <w:p w:rsidR="00390173" w:rsidRPr="00732241" w:rsidRDefault="00390173">
      <w:pPr>
        <w:shd w:val="clear" w:color="000000" w:fill="auto"/>
      </w:pPr>
      <w:r w:rsidRPr="00732241">
        <w:t>Vänsterpartiet avvisar en besparing om 750 000 kronor på Skatteverket, som regeringen föreslår för att finansiera ökade anslag till finanspolitiskt råd. Vänsterpartiet menar i stället att det finanspolitiska rådet bör avvecklas. Se vidare Vänsterpartiets särskilda motion om utgiftsområde 2, 2007/08:Fi235.</w:t>
      </w:r>
    </w:p>
    <w:p w:rsidR="00390173" w:rsidRPr="00732241" w:rsidRDefault="00390173">
      <w:pPr>
        <w:pStyle w:val="Rubrik1"/>
        <w:numPr>
          <w:ilvl w:val="0"/>
          <w:numId w:val="0"/>
        </w:numPr>
        <w:shd w:val="clear" w:color="000000" w:fill="auto"/>
      </w:pPr>
      <w:r w:rsidRPr="00732241">
        <w:t>Utgiftsområde 4 Rättsväsendet</w:t>
      </w:r>
    </w:p>
    <w:p w:rsidR="00390173" w:rsidRPr="00732241" w:rsidRDefault="00390173">
      <w:pPr>
        <w:shd w:val="clear" w:color="000000" w:fill="auto"/>
      </w:pPr>
      <w:r w:rsidRPr="00732241">
        <w:t>Regeringen föreslår ett tillskott till Säkerhetspolisen på grund av extra utgifter med anledning av regeringsskiftet. Vi anser att dessa utgifter bör kunna klaras inom ramen för befintligt anslag och avvisar därmed regeringens förslag.</w:t>
      </w:r>
    </w:p>
    <w:p w:rsidR="00390173" w:rsidRPr="00732241" w:rsidRDefault="00390173">
      <w:pPr>
        <w:pStyle w:val="Rubrik1"/>
        <w:numPr>
          <w:ilvl w:val="0"/>
          <w:numId w:val="0"/>
        </w:numPr>
        <w:shd w:val="clear" w:color="000000" w:fill="auto"/>
      </w:pPr>
      <w:r w:rsidRPr="00732241">
        <w:t>Utgiftsområde 8 Migration</w:t>
      </w:r>
    </w:p>
    <w:p w:rsidR="00390173" w:rsidRPr="00732241" w:rsidRDefault="00390173">
      <w:pPr>
        <w:shd w:val="clear" w:color="000000" w:fill="auto"/>
      </w:pPr>
      <w:r w:rsidRPr="00732241">
        <w:t>Regeringen föreslår en förstärkning till offentligt biträde i utlänningsärenden med 80 miljoner för att klara det ökade behov som följer på ett ökat antal asylsökande. Vänsterpartiet välkomnar att detta behov säkerställs men avvisar att satsningen finansieras genom en motsvarande minskning av anslaget Kostnader vid domstolsprövning i utlänningsärenden, 12:5.</w:t>
      </w:r>
    </w:p>
    <w:p w:rsidR="00390173" w:rsidRPr="00732241" w:rsidRDefault="00390173">
      <w:pPr>
        <w:pStyle w:val="Rubrik1"/>
        <w:numPr>
          <w:ilvl w:val="0"/>
          <w:numId w:val="0"/>
        </w:numPr>
        <w:shd w:val="clear" w:color="000000" w:fill="auto"/>
      </w:pPr>
      <w:r w:rsidRPr="00732241">
        <w:t>Utgiftsområde 10 Ekonomisk trygghet vid sjukdom och handikapp</w:t>
      </w:r>
    </w:p>
    <w:p w:rsidR="00390173" w:rsidRPr="00732241" w:rsidRDefault="00390173">
      <w:pPr>
        <w:shd w:val="clear" w:color="000000" w:fill="auto"/>
      </w:pPr>
      <w:r w:rsidRPr="00732241">
        <w:t>Regeringen föreslår en ökning av Försäkringskassans medel att använda till insatser mot fusk samt för att förbereda genomförandet av regeringens för</w:t>
      </w:r>
      <w:r w:rsidRPr="00732241">
        <w:t>e</w:t>
      </w:r>
      <w:r w:rsidRPr="00732241">
        <w:t>slagna åtstramningar inom sjukförsäkringen. Vänsterpartiet avvisar dessa medel och föreslår i stället en förstärkning till Försäkringskassan från 2008 i syfte att öka rättssäkerheten och kvaliteten på handläggningen. Se vidare Vänsterpartiets särskilda motion om utgiftsområde 10, 2007/08:Sf266.</w:t>
      </w:r>
    </w:p>
    <w:p w:rsidR="00390173" w:rsidRPr="00732241" w:rsidRDefault="00390173">
      <w:pPr>
        <w:pStyle w:val="Rubrik1"/>
        <w:numPr>
          <w:ilvl w:val="0"/>
          <w:numId w:val="0"/>
        </w:numPr>
        <w:shd w:val="clear" w:color="000000" w:fill="auto"/>
      </w:pPr>
      <w:r w:rsidRPr="00732241">
        <w:t>Utgiftsområde 13 Arbetsmarknad</w:t>
      </w:r>
    </w:p>
    <w:p w:rsidR="00390173" w:rsidRPr="00732241" w:rsidRDefault="00390173">
      <w:pPr>
        <w:shd w:val="clear" w:color="000000" w:fill="auto"/>
      </w:pPr>
      <w:r w:rsidRPr="00732241">
        <w:t>Vänsterpartiet avvisar regeringens förslag om att medel som använts för så kallade nystartscentrum skall flyttas till utgiftsområde 24 och användas inom anslaget för Näringslivsutveckling, 38:2.</w:t>
      </w:r>
    </w:p>
    <w:p w:rsidR="00390173" w:rsidRPr="00732241" w:rsidRDefault="00390173">
      <w:pPr>
        <w:pStyle w:val="Rubrik1"/>
        <w:numPr>
          <w:ilvl w:val="0"/>
          <w:numId w:val="0"/>
        </w:numPr>
        <w:shd w:val="clear" w:color="000000" w:fill="auto"/>
      </w:pPr>
      <w:r w:rsidRPr="00732241">
        <w:t>Utgiftsområde 22 Kommunikationer</w:t>
      </w:r>
    </w:p>
    <w:p w:rsidR="00390173" w:rsidRPr="00732241" w:rsidRDefault="00390173">
      <w:pPr>
        <w:shd w:val="clear" w:color="000000" w:fill="auto"/>
      </w:pPr>
      <w:r w:rsidRPr="00732241">
        <w:t>Regeringen föreslår att utgiftsområdet ges ett extra tillskott på 10 miljarder kronor för att därmed kunna amortera av lån för vägar och järnvägar. Vän</w:t>
      </w:r>
      <w:r w:rsidRPr="00732241">
        <w:t>s</w:t>
      </w:r>
      <w:r w:rsidRPr="00732241">
        <w:t>terpartiet avvisar detta förslag, eftersom vi anser att investeringar i infrastru</w:t>
      </w:r>
      <w:r w:rsidRPr="00732241">
        <w:t>k</w:t>
      </w:r>
      <w:r w:rsidRPr="00732241">
        <w:t>tur som huvudregel skall ske genom lånefinansiering och inte via anslag. En investering är en konsumtion över längre tid och avskrivning skall därför ske under hela investeringens beräknade livslängd. Se vidare avsnitt 7.3 i Vän</w:t>
      </w:r>
      <w:r w:rsidRPr="00732241">
        <w:t>s</w:t>
      </w:r>
      <w:r w:rsidRPr="00732241">
        <w:t>terpartiets budgetmotion, 2007/08:Fi276.</w:t>
      </w:r>
    </w:p>
    <w:p w:rsidR="00390173" w:rsidRPr="00732241" w:rsidRDefault="00390173">
      <w:pPr>
        <w:pStyle w:val="Rubrik1"/>
        <w:numPr>
          <w:ilvl w:val="0"/>
          <w:numId w:val="0"/>
        </w:numPr>
        <w:shd w:val="clear" w:color="000000" w:fill="auto"/>
      </w:pPr>
      <w:r w:rsidRPr="00732241">
        <w:t>Utgiftsområde 24 Näringsliv</w:t>
      </w:r>
    </w:p>
    <w:p w:rsidR="00390173" w:rsidRPr="00732241" w:rsidRDefault="00390173">
      <w:pPr>
        <w:shd w:val="clear" w:color="000000" w:fill="auto"/>
      </w:pPr>
      <w:r w:rsidRPr="00732241">
        <w:t xml:space="preserve">Vänsterpartiet avvisar regeringens förslag om att medel som använts för så kallade nystartscentrum inom utgiftsområde 13 skall flyttas till utgiftsområde 24 och användas inom anslaget för Näringslivsutveckling, 38:2. Mot denna bakgrund bör riksdagen avslå den av regeringen föreslagna användningen av det under utgiftsområde 24 Näringsliv uppförda anslag 38:2 </w:t>
      </w:r>
      <w:r w:rsidRPr="00732241">
        <w:rPr>
          <w:i/>
        </w:rPr>
        <w:t>Näringslivsu</w:t>
      </w:r>
      <w:r w:rsidRPr="00732241">
        <w:rPr>
          <w:i/>
        </w:rPr>
        <w:t>t</w:t>
      </w:r>
      <w:r w:rsidRPr="00732241">
        <w:rPr>
          <w:i/>
        </w:rPr>
        <w:t xml:space="preserve">veckling m.m. </w:t>
      </w:r>
      <w:r w:rsidRPr="00732241">
        <w:t>(avsnitt 8.2.18 i propositionen).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2241">
        <w:trPr>
          <w:cantSplit/>
        </w:trPr>
        <w:tc>
          <w:tcPr>
            <w:tcW w:w="3046" w:type="dxa"/>
          </w:tcPr>
          <w:p w:rsidR="00390173" w:rsidRPr="00732241" w:rsidRDefault="00390173">
            <w:pPr>
              <w:pStyle w:val="UnderskriftDatum"/>
              <w:shd w:val="clear" w:color="000000" w:fill="auto"/>
              <w:spacing w:before="240"/>
            </w:pPr>
            <w:r w:rsidRPr="00732241">
              <w:t>Stockholm den 4 oktober 2007</w:t>
            </w:r>
          </w:p>
        </w:tc>
        <w:tc>
          <w:tcPr>
            <w:tcW w:w="3047" w:type="dxa"/>
          </w:tcPr>
          <w:p w:rsidR="00390173" w:rsidRPr="00732241" w:rsidRDefault="00390173">
            <w:pPr>
              <w:pStyle w:val="Underskrifter"/>
              <w:shd w:val="clear" w:color="000000" w:fill="auto"/>
              <w:spacing w:before="240"/>
            </w:pPr>
          </w:p>
        </w:tc>
      </w:tr>
      <w:tr w:rsidR="00000000" w:rsidRPr="00732241">
        <w:trPr>
          <w:cantSplit/>
        </w:trPr>
        <w:tc>
          <w:tcPr>
            <w:tcW w:w="3046" w:type="dxa"/>
          </w:tcPr>
          <w:p w:rsidR="00390173" w:rsidRPr="00732241" w:rsidRDefault="00390173">
            <w:pPr>
              <w:pStyle w:val="Underskrifter"/>
              <w:shd w:val="clear" w:color="000000" w:fill="auto"/>
            </w:pPr>
            <w:r w:rsidRPr="00732241">
              <w:t>Lars Ohly (v)</w:t>
            </w:r>
          </w:p>
        </w:tc>
        <w:tc>
          <w:tcPr>
            <w:tcW w:w="3046" w:type="dxa"/>
          </w:tcPr>
          <w:p w:rsidR="00390173" w:rsidRPr="00732241" w:rsidRDefault="00390173">
            <w:pPr>
              <w:pStyle w:val="Underskrifter"/>
              <w:shd w:val="clear" w:color="000000" w:fill="auto"/>
            </w:pPr>
          </w:p>
        </w:tc>
      </w:tr>
      <w:tr w:rsidR="00000000" w:rsidRPr="00732241">
        <w:trPr>
          <w:cantSplit/>
        </w:trPr>
        <w:tc>
          <w:tcPr>
            <w:tcW w:w="3046" w:type="dxa"/>
          </w:tcPr>
          <w:p w:rsidR="00390173" w:rsidRPr="00732241" w:rsidRDefault="00390173">
            <w:pPr>
              <w:pStyle w:val="Underskrifter"/>
              <w:shd w:val="clear" w:color="000000" w:fill="auto"/>
            </w:pPr>
            <w:r w:rsidRPr="00732241">
              <w:t>Marianne Berg (v)</w:t>
            </w:r>
          </w:p>
        </w:tc>
        <w:tc>
          <w:tcPr>
            <w:tcW w:w="3046" w:type="dxa"/>
          </w:tcPr>
          <w:p w:rsidR="00390173" w:rsidRPr="00732241" w:rsidRDefault="00390173">
            <w:pPr>
              <w:pStyle w:val="Underskrifter"/>
              <w:shd w:val="clear" w:color="000000" w:fill="auto"/>
            </w:pPr>
            <w:r w:rsidRPr="00732241">
              <w:t>Wiwi-Anne Johansson (v)</w:t>
            </w:r>
          </w:p>
        </w:tc>
      </w:tr>
      <w:tr w:rsidR="00000000" w:rsidRPr="00732241">
        <w:trPr>
          <w:cantSplit/>
        </w:trPr>
        <w:tc>
          <w:tcPr>
            <w:tcW w:w="3046" w:type="dxa"/>
          </w:tcPr>
          <w:p w:rsidR="00390173" w:rsidRPr="00732241" w:rsidRDefault="00390173">
            <w:pPr>
              <w:pStyle w:val="Underskrifter"/>
              <w:shd w:val="clear" w:color="000000" w:fill="auto"/>
            </w:pPr>
            <w:r w:rsidRPr="00732241">
              <w:t>Hans Linde (v)</w:t>
            </w:r>
          </w:p>
        </w:tc>
        <w:tc>
          <w:tcPr>
            <w:tcW w:w="3046" w:type="dxa"/>
          </w:tcPr>
          <w:p w:rsidR="00390173" w:rsidRPr="00732241" w:rsidRDefault="00390173">
            <w:pPr>
              <w:pStyle w:val="Underskrifter"/>
              <w:shd w:val="clear" w:color="000000" w:fill="auto"/>
            </w:pPr>
            <w:r w:rsidRPr="00732241">
              <w:t>Elina Linna (v)</w:t>
            </w:r>
          </w:p>
        </w:tc>
      </w:tr>
      <w:tr w:rsidR="00000000" w:rsidRPr="00732241">
        <w:trPr>
          <w:cantSplit/>
        </w:trPr>
        <w:tc>
          <w:tcPr>
            <w:tcW w:w="3046" w:type="dxa"/>
          </w:tcPr>
          <w:p w:rsidR="00390173" w:rsidRPr="00732241" w:rsidRDefault="00390173">
            <w:pPr>
              <w:pStyle w:val="Underskrifter"/>
              <w:shd w:val="clear" w:color="000000" w:fill="auto"/>
            </w:pPr>
            <w:r w:rsidRPr="00732241">
              <w:t>Kent Persson (v)</w:t>
            </w:r>
          </w:p>
        </w:tc>
        <w:tc>
          <w:tcPr>
            <w:tcW w:w="3046" w:type="dxa"/>
          </w:tcPr>
          <w:p w:rsidR="00390173" w:rsidRPr="00732241" w:rsidRDefault="00390173">
            <w:pPr>
              <w:pStyle w:val="Underskrifter"/>
              <w:shd w:val="clear" w:color="000000" w:fill="auto"/>
            </w:pPr>
            <w:r w:rsidRPr="00732241">
              <w:t>Alice Åström (v)</w:t>
            </w:r>
          </w:p>
        </w:tc>
      </w:tr>
      <w:tr w:rsidR="00000000" w:rsidRPr="00732241">
        <w:trPr>
          <w:cantSplit/>
        </w:trPr>
        <w:tc>
          <w:tcPr>
            <w:tcW w:w="3046" w:type="dxa"/>
          </w:tcPr>
          <w:p w:rsidR="00390173" w:rsidRPr="00732241" w:rsidRDefault="00390173">
            <w:pPr>
              <w:pStyle w:val="Underskrifter"/>
              <w:shd w:val="clear" w:color="000000" w:fill="auto"/>
            </w:pPr>
            <w:r w:rsidRPr="00732241">
              <w:t>Ulla Andersson (v)</w:t>
            </w:r>
          </w:p>
        </w:tc>
        <w:tc>
          <w:tcPr>
            <w:tcW w:w="3046" w:type="dxa"/>
          </w:tcPr>
          <w:p w:rsidR="00390173" w:rsidRPr="00732241" w:rsidRDefault="00390173">
            <w:pPr>
              <w:pStyle w:val="Underskrifter"/>
              <w:shd w:val="clear" w:color="000000" w:fill="auto"/>
            </w:pPr>
          </w:p>
        </w:tc>
      </w:tr>
    </w:tbl>
    <w:p w:rsidR="00390173" w:rsidRPr="00732241" w:rsidRDefault="00390173">
      <w:pPr>
        <w:pStyle w:val="Normaltindrag"/>
        <w:shd w:val="clear" w:color="000000" w:fill="auto"/>
      </w:pPr>
    </w:p>
    <w:sectPr w:rsidR="00390173" w:rsidRPr="007322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173" w:rsidRPr="00732241" w:rsidRDefault="00390173">
      <w:r w:rsidRPr="00732241">
        <w:separator/>
      </w:r>
    </w:p>
  </w:endnote>
  <w:endnote w:type="continuationSeparator" w:id="0">
    <w:p w:rsidR="00390173" w:rsidRPr="00732241" w:rsidRDefault="00390173">
      <w:r w:rsidRPr="00732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 w:name="Meta">
    <w:altName w:val="Met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73" w:rsidRPr="00732241" w:rsidRDefault="00732241">
    <w:pPr>
      <w:pStyle w:val="Sidfot"/>
    </w:pPr>
    <w:r w:rsidRPr="007322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172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173" w:rsidRDefault="003901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173" w:rsidRDefault="003901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73" w:rsidRPr="00732241" w:rsidRDefault="00732241">
    <w:pPr>
      <w:pStyle w:val="Sidfot"/>
    </w:pPr>
    <w:r w:rsidRPr="007322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395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173" w:rsidRDefault="003901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173" w:rsidRDefault="003901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73" w:rsidRPr="00732241" w:rsidRDefault="00732241">
    <w:pPr>
      <w:pStyle w:val="Sidfot"/>
    </w:pPr>
    <w:r w:rsidRPr="007322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217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173" w:rsidRDefault="003901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173" w:rsidRDefault="003901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173" w:rsidRPr="00732241" w:rsidRDefault="00390173">
      <w:r w:rsidRPr="00732241">
        <w:separator/>
      </w:r>
    </w:p>
  </w:footnote>
  <w:footnote w:type="continuationSeparator" w:id="0">
    <w:p w:rsidR="00390173" w:rsidRPr="00732241" w:rsidRDefault="00390173">
      <w:r w:rsidRPr="00732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73" w:rsidRPr="00732241" w:rsidRDefault="00732241">
    <w:pPr>
      <w:pStyle w:val="Sidhuvud"/>
    </w:pPr>
    <w:r w:rsidRPr="007322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9846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173" w:rsidRDefault="0039017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173" w:rsidRDefault="0039017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73" w:rsidRPr="00732241" w:rsidRDefault="00732241">
    <w:pPr>
      <w:pStyle w:val="Sidhuvud"/>
    </w:pPr>
    <w:r w:rsidRPr="007322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832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173" w:rsidRDefault="0039017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173" w:rsidRDefault="0039017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73" w:rsidRPr="00732241" w:rsidRDefault="00390173">
    <w:pPr>
      <w:pStyle w:val="FSHNormal"/>
      <w:tabs>
        <w:tab w:val="right" w:pos="5840"/>
      </w:tabs>
    </w:pPr>
    <w:r w:rsidRPr="00732241">
      <w:br/>
    </w:r>
    <w:r w:rsidRPr="00732241">
      <w:fldChar w:fldCharType="begin" w:fldLock="1"/>
    </w:r>
    <w:r w:rsidRPr="00732241">
      <w:instrText xml:space="preserve"> DOCPROPERTY</w:instrText>
    </w:r>
    <w:r w:rsidRPr="00732241">
      <w:rPr>
        <w:sz w:val="18"/>
      </w:rPr>
      <w:instrText xml:space="preserve"> "YearUser" *\charformat </w:instrText>
    </w:r>
    <w:r w:rsidRPr="00732241">
      <w:fldChar w:fldCharType="separate"/>
    </w:r>
    <w:r w:rsidRPr="00732241">
      <w:t>2007/08</w:t>
    </w:r>
    <w:r w:rsidRPr="00732241">
      <w:fldChar w:fldCharType="end"/>
    </w:r>
    <w:r w:rsidRPr="00732241">
      <w:t xml:space="preserve"> </w:t>
    </w:r>
    <w:r w:rsidRPr="00732241">
      <w:tab/>
      <w:t xml:space="preserve">mnr: </w:t>
    </w:r>
    <w:r w:rsidRPr="00732241">
      <w:fldChar w:fldCharType="begin" w:fldLock="1"/>
    </w:r>
    <w:r w:rsidRPr="00732241">
      <w:instrText xml:space="preserve"> DOCPROPERTY</w:instrText>
    </w:r>
    <w:r w:rsidRPr="00732241">
      <w:rPr>
        <w:sz w:val="18"/>
      </w:rPr>
      <w:instrText xml:space="preserve"> "Motionsnummer" *\charformat </w:instrText>
    </w:r>
    <w:r w:rsidRPr="00732241">
      <w:fldChar w:fldCharType="separate"/>
    </w:r>
    <w:r w:rsidRPr="00732241">
      <w:t>Fi251</w:t>
    </w:r>
    <w:r w:rsidRPr="00732241">
      <w:fldChar w:fldCharType="end"/>
    </w:r>
    <w:r w:rsidRPr="00732241">
      <w:br/>
    </w:r>
    <w:r w:rsidRPr="00732241">
      <w:fldChar w:fldCharType="begin" w:fldLock="1"/>
    </w:r>
    <w:r w:rsidRPr="00732241">
      <w:instrText xml:space="preserve"> DOCPROPERTY</w:instrText>
    </w:r>
    <w:r w:rsidRPr="00732241">
      <w:rPr>
        <w:sz w:val="18"/>
      </w:rPr>
      <w:instrText xml:space="preserve"> "Samling" *\charformat </w:instrText>
    </w:r>
    <w:r w:rsidRPr="00732241">
      <w:fldChar w:fldCharType="end"/>
    </w:r>
    <w:r w:rsidRPr="00732241">
      <w:tab/>
      <w:t xml:space="preserve">pnr: </w:t>
    </w:r>
    <w:r w:rsidRPr="00732241">
      <w:fldChar w:fldCharType="begin" w:fldLock="1"/>
    </w:r>
    <w:r w:rsidRPr="00732241">
      <w:instrText xml:space="preserve"> DOCPROPERTY</w:instrText>
    </w:r>
    <w:r w:rsidRPr="00732241">
      <w:rPr>
        <w:sz w:val="18"/>
      </w:rPr>
      <w:instrText xml:space="preserve"> "Partinummer" *\charformat </w:instrText>
    </w:r>
    <w:r w:rsidRPr="00732241">
      <w:fldChar w:fldCharType="separate"/>
    </w:r>
    <w:r w:rsidRPr="00732241">
      <w:t>v651</w:t>
    </w:r>
    <w:r w:rsidRPr="00732241">
      <w:fldChar w:fldCharType="end"/>
    </w:r>
  </w:p>
  <w:p w:rsidR="00390173" w:rsidRPr="00732241" w:rsidRDefault="00390173">
    <w:pPr>
      <w:pStyle w:val="FSHRub1"/>
    </w:pPr>
    <w:r w:rsidRPr="00732241">
      <w:t>Motion till riksdagen</w:t>
    </w:r>
    <w:r w:rsidRPr="00732241">
      <w:br/>
    </w:r>
    <w:r w:rsidRPr="00732241">
      <w:fldChar w:fldCharType="begin" w:fldLock="1"/>
    </w:r>
    <w:r w:rsidRPr="00732241">
      <w:instrText xml:space="preserve"> DOCPROPERTY "YearUser" *\charformat </w:instrText>
    </w:r>
    <w:r w:rsidRPr="00732241">
      <w:fldChar w:fldCharType="separate"/>
    </w:r>
    <w:r w:rsidRPr="00732241">
      <w:t>2007/08</w:t>
    </w:r>
    <w:r w:rsidRPr="00732241">
      <w:fldChar w:fldCharType="end"/>
    </w:r>
    <w:r w:rsidRPr="00732241">
      <w:t>:</w:t>
    </w:r>
    <w:r w:rsidRPr="00732241">
      <w:fldChar w:fldCharType="begin" w:fldLock="1"/>
    </w:r>
    <w:r w:rsidRPr="00732241">
      <w:instrText xml:space="preserve"> DOCPROPERTY "Motionsnummer" *\charformat </w:instrText>
    </w:r>
    <w:r w:rsidRPr="00732241">
      <w:fldChar w:fldCharType="separate"/>
    </w:r>
    <w:r w:rsidRPr="00732241">
      <w:t>Fi251</w:t>
    </w:r>
    <w:r w:rsidRPr="00732241">
      <w:fldChar w:fldCharType="end"/>
    </w:r>
  </w:p>
  <w:p w:rsidR="00390173" w:rsidRPr="00732241" w:rsidRDefault="00390173">
    <w:pPr>
      <w:pStyle w:val="FSHNormalS5"/>
    </w:pPr>
    <w:r w:rsidRPr="00732241">
      <w:fldChar w:fldCharType="begin" w:fldLock="1"/>
    </w:r>
    <w:r w:rsidRPr="00732241">
      <w:instrText xml:space="preserve"> DOCPROPERTY "MotionarText" *\charformat </w:instrText>
    </w:r>
    <w:r w:rsidRPr="00732241">
      <w:fldChar w:fldCharType="separate"/>
    </w:r>
    <w:r w:rsidRPr="00732241">
      <w:t>av Lars Ohly m.fl. (v)</w:t>
    </w:r>
    <w:r w:rsidRPr="00732241">
      <w:fldChar w:fldCharType="end"/>
    </w:r>
    <w:r w:rsidRPr="00732241">
      <w:br/>
    </w:r>
    <w:r w:rsidRPr="00732241">
      <w:fldChar w:fldCharType="begin" w:fldLock="1"/>
    </w:r>
    <w:r w:rsidRPr="00732241">
      <w:instrText xml:space="preserve"> DOCPROPERTY "SvarFrasKort" *\charformat </w:instrText>
    </w:r>
    <w:r w:rsidRPr="00732241">
      <w:fldChar w:fldCharType="end"/>
    </w:r>
  </w:p>
  <w:p w:rsidR="00390173" w:rsidRPr="00732241" w:rsidRDefault="00390173">
    <w:pPr>
      <w:pStyle w:val="FSHTitel"/>
    </w:pPr>
    <w:r w:rsidRPr="00732241">
      <w:fldChar w:fldCharType="begin" w:fldLock="1"/>
    </w:r>
    <w:r w:rsidRPr="00732241">
      <w:instrText xml:space="preserve"> DOCPROPERTY</w:instrText>
    </w:r>
    <w:r w:rsidRPr="00732241">
      <w:rPr>
        <w:sz w:val="18"/>
      </w:rPr>
      <w:instrText xml:space="preserve"> "RubrikSvar" *\charformat </w:instrText>
    </w:r>
    <w:r w:rsidRPr="00732241">
      <w:fldChar w:fldCharType="separate"/>
    </w:r>
    <w:r w:rsidRPr="00732241">
      <w:t>Tilläggsbudget för 2007</w:t>
    </w:r>
    <w:r w:rsidRPr="00732241">
      <w:fldChar w:fldCharType="end"/>
    </w:r>
  </w:p>
  <w:p w:rsidR="00390173" w:rsidRPr="00732241" w:rsidRDefault="00390173">
    <w:pPr>
      <w:pStyle w:val="Normal00"/>
    </w:pPr>
  </w:p>
  <w:p w:rsidR="00390173" w:rsidRPr="00732241" w:rsidRDefault="003901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4F68"/>
    <w:multiLevelType w:val="multilevel"/>
    <w:tmpl w:val="041D001F"/>
    <w:numStyleLink w:val="111111"/>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C9D127D"/>
    <w:multiLevelType w:val="hybridMultilevel"/>
    <w:tmpl w:val="17C8BC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A46C2E"/>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17927333"/>
    <w:multiLevelType w:val="multilevel"/>
    <w:tmpl w:val="69C889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C755E13"/>
    <w:multiLevelType w:val="hybridMultilevel"/>
    <w:tmpl w:val="9EFA63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E10FD7"/>
    <w:multiLevelType w:val="multilevel"/>
    <w:tmpl w:val="A22C0F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8" w15:restartNumberingAfterBreak="0">
    <w:nsid w:val="24725F59"/>
    <w:multiLevelType w:val="hybridMultilevel"/>
    <w:tmpl w:val="5CC43B02"/>
    <w:lvl w:ilvl="0" w:tplc="7CB4AD46">
      <w:start w:val="9"/>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556E82"/>
    <w:multiLevelType w:val="multilevel"/>
    <w:tmpl w:val="29C86A8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279068A7"/>
    <w:multiLevelType w:val="multilevel"/>
    <w:tmpl w:val="A740D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AAF4446"/>
    <w:multiLevelType w:val="multilevel"/>
    <w:tmpl w:val="5ABC43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BFA44F1"/>
    <w:multiLevelType w:val="multilevel"/>
    <w:tmpl w:val="43F0C6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ECD3227"/>
    <w:multiLevelType w:val="hybridMultilevel"/>
    <w:tmpl w:val="979CE9CC"/>
    <w:lvl w:ilvl="0" w:tplc="7CB4AD46">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EB52ED"/>
    <w:multiLevelType w:val="multilevel"/>
    <w:tmpl w:val="69C889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4EC0E9F"/>
    <w:multiLevelType w:val="multilevel"/>
    <w:tmpl w:val="B4D24E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77703A5"/>
    <w:multiLevelType w:val="multilevel"/>
    <w:tmpl w:val="CD024F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D2F6467"/>
    <w:multiLevelType w:val="multilevel"/>
    <w:tmpl w:val="69C889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F8F2447"/>
    <w:multiLevelType w:val="multilevel"/>
    <w:tmpl w:val="CD024F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6AC76FB"/>
    <w:multiLevelType w:val="hybridMultilevel"/>
    <w:tmpl w:val="BC6AD984"/>
    <w:lvl w:ilvl="0" w:tplc="8E70C0F0">
      <w:numFmt w:val="bullet"/>
      <w:lvlText w:val="-"/>
      <w:lvlJc w:val="left"/>
      <w:pPr>
        <w:tabs>
          <w:tab w:val="num" w:pos="947"/>
        </w:tabs>
        <w:ind w:left="94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31" w15:restartNumberingAfterBreak="0">
    <w:nsid w:val="4B0722F1"/>
    <w:multiLevelType w:val="multilevel"/>
    <w:tmpl w:val="C4E4FD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1811974"/>
    <w:multiLevelType w:val="hybridMultilevel"/>
    <w:tmpl w:val="7B90D3A4"/>
    <w:lvl w:ilvl="0" w:tplc="7CB4AD46">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30295F"/>
    <w:multiLevelType w:val="hybridMultilevel"/>
    <w:tmpl w:val="5DA4F61E"/>
    <w:lvl w:ilvl="0" w:tplc="7CB4AD4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7261F7"/>
    <w:multiLevelType w:val="multilevel"/>
    <w:tmpl w:val="43F0C6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A860F87"/>
    <w:multiLevelType w:val="multilevel"/>
    <w:tmpl w:val="876A54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5B406C52"/>
    <w:multiLevelType w:val="hybridMultilevel"/>
    <w:tmpl w:val="03A2CD34"/>
    <w:lvl w:ilvl="0" w:tplc="0FC4490E">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5B3B5B"/>
    <w:multiLevelType w:val="hybridMultilevel"/>
    <w:tmpl w:val="A274D6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E7695"/>
    <w:multiLevelType w:val="multilevel"/>
    <w:tmpl w:val="B33C94A6"/>
    <w:lvl w:ilvl="0">
      <w:start w:val="1"/>
      <w:numFmt w:val="decimal"/>
      <w:lvlText w:val="%1"/>
      <w:lvlJc w:val="left"/>
      <w:pPr>
        <w:ind w:left="36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60D45FA9"/>
    <w:multiLevelType w:val="hybridMultilevel"/>
    <w:tmpl w:val="533200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786C06"/>
    <w:multiLevelType w:val="hybridMultilevel"/>
    <w:tmpl w:val="ACF84F2C"/>
    <w:lvl w:ilvl="0" w:tplc="A7F85A60">
      <w:start w:val="1"/>
      <w:numFmt w:val="bullet"/>
      <w:lvlText w:val="?"/>
      <w:lvlJc w:val="left"/>
      <w:pPr>
        <w:tabs>
          <w:tab w:val="num" w:pos="720"/>
        </w:tabs>
        <w:ind w:left="720" w:hanging="360"/>
      </w:pPr>
      <w:rPr>
        <w:rFonts w:ascii="Symbol" w:hAnsi="Symbol" w:hint="default"/>
      </w:rPr>
    </w:lvl>
    <w:lvl w:ilvl="1" w:tplc="A9F6EC94">
      <w:start w:val="1"/>
      <w:numFmt w:val="bullet"/>
      <w:lvlText w:val="o"/>
      <w:lvlJc w:val="left"/>
      <w:pPr>
        <w:tabs>
          <w:tab w:val="num" w:pos="1440"/>
        </w:tabs>
        <w:ind w:left="1440" w:hanging="360"/>
      </w:pPr>
      <w:rPr>
        <w:rFonts w:ascii="Courier New" w:hAnsi="Courier New" w:cs="Courier New" w:hint="default"/>
      </w:rPr>
    </w:lvl>
    <w:lvl w:ilvl="2" w:tplc="6AA6E060" w:tentative="1">
      <w:start w:val="1"/>
      <w:numFmt w:val="bullet"/>
      <w:lvlText w:val="?"/>
      <w:lvlJc w:val="left"/>
      <w:pPr>
        <w:tabs>
          <w:tab w:val="num" w:pos="2160"/>
        </w:tabs>
        <w:ind w:left="2160" w:hanging="360"/>
      </w:pPr>
      <w:rPr>
        <w:rFonts w:ascii="Wingdings" w:hAnsi="Wingdings" w:hint="default"/>
      </w:rPr>
    </w:lvl>
    <w:lvl w:ilvl="3" w:tplc="508EEF68" w:tentative="1">
      <w:start w:val="1"/>
      <w:numFmt w:val="bullet"/>
      <w:lvlText w:val="?"/>
      <w:lvlJc w:val="left"/>
      <w:pPr>
        <w:tabs>
          <w:tab w:val="num" w:pos="2880"/>
        </w:tabs>
        <w:ind w:left="2880" w:hanging="360"/>
      </w:pPr>
      <w:rPr>
        <w:rFonts w:ascii="Symbol" w:hAnsi="Symbol" w:hint="default"/>
      </w:rPr>
    </w:lvl>
    <w:lvl w:ilvl="4" w:tplc="F5C428BE" w:tentative="1">
      <w:start w:val="1"/>
      <w:numFmt w:val="bullet"/>
      <w:lvlText w:val="o"/>
      <w:lvlJc w:val="left"/>
      <w:pPr>
        <w:tabs>
          <w:tab w:val="num" w:pos="3600"/>
        </w:tabs>
        <w:ind w:left="3600" w:hanging="360"/>
      </w:pPr>
      <w:rPr>
        <w:rFonts w:ascii="Courier New" w:hAnsi="Courier New" w:cs="Courier New" w:hint="default"/>
      </w:rPr>
    </w:lvl>
    <w:lvl w:ilvl="5" w:tplc="8F5E917A" w:tentative="1">
      <w:start w:val="1"/>
      <w:numFmt w:val="bullet"/>
      <w:lvlText w:val="?"/>
      <w:lvlJc w:val="left"/>
      <w:pPr>
        <w:tabs>
          <w:tab w:val="num" w:pos="4320"/>
        </w:tabs>
        <w:ind w:left="4320" w:hanging="360"/>
      </w:pPr>
      <w:rPr>
        <w:rFonts w:ascii="Wingdings" w:hAnsi="Wingdings" w:hint="default"/>
      </w:rPr>
    </w:lvl>
    <w:lvl w:ilvl="6" w:tplc="5CFA675A" w:tentative="1">
      <w:start w:val="1"/>
      <w:numFmt w:val="bullet"/>
      <w:lvlText w:val="?"/>
      <w:lvlJc w:val="left"/>
      <w:pPr>
        <w:tabs>
          <w:tab w:val="num" w:pos="5040"/>
        </w:tabs>
        <w:ind w:left="5040" w:hanging="360"/>
      </w:pPr>
      <w:rPr>
        <w:rFonts w:ascii="Symbol" w:hAnsi="Symbol" w:hint="default"/>
      </w:rPr>
    </w:lvl>
    <w:lvl w:ilvl="7" w:tplc="4C9C6600" w:tentative="1">
      <w:start w:val="1"/>
      <w:numFmt w:val="bullet"/>
      <w:lvlText w:val="o"/>
      <w:lvlJc w:val="left"/>
      <w:pPr>
        <w:tabs>
          <w:tab w:val="num" w:pos="5760"/>
        </w:tabs>
        <w:ind w:left="5760" w:hanging="360"/>
      </w:pPr>
      <w:rPr>
        <w:rFonts w:ascii="Courier New" w:hAnsi="Courier New" w:cs="Courier New" w:hint="default"/>
      </w:rPr>
    </w:lvl>
    <w:lvl w:ilvl="8" w:tplc="81342BA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946FA3"/>
    <w:multiLevelType w:val="multilevel"/>
    <w:tmpl w:val="CD024F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1087EE7"/>
    <w:multiLevelType w:val="hybridMultilevel"/>
    <w:tmpl w:val="0E9020EA"/>
    <w:lvl w:ilvl="0" w:tplc="474214B0">
      <w:start w:val="1"/>
      <w:numFmt w:val="decimal"/>
      <w:pStyle w:val="Hemstlatt"/>
      <w:lvlText w:val="%1."/>
      <w:lvlJc w:val="left"/>
      <w:pPr>
        <w:tabs>
          <w:tab w:val="num" w:pos="340"/>
        </w:tabs>
        <w:ind w:left="340" w:hanging="34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79E2859"/>
    <w:multiLevelType w:val="multilevel"/>
    <w:tmpl w:val="56F677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5" w15:restartNumberingAfterBreak="0">
    <w:nsid w:val="7B5E1F19"/>
    <w:multiLevelType w:val="hybridMultilevel"/>
    <w:tmpl w:val="084A7BDA"/>
    <w:lvl w:ilvl="0" w:tplc="149E482C">
      <w:start w:val="1"/>
      <w:numFmt w:val="lowerLetter"/>
      <w:lvlText w:val="%1)"/>
      <w:lvlJc w:val="left"/>
      <w:pPr>
        <w:tabs>
          <w:tab w:val="num" w:pos="825"/>
        </w:tabs>
        <w:ind w:left="825" w:hanging="465"/>
      </w:pPr>
      <w:rPr>
        <w:rFonts w:hint="default"/>
        <w:b/>
      </w:rPr>
    </w:lvl>
    <w:lvl w:ilvl="1" w:tplc="4446B398" w:tentative="1">
      <w:start w:val="1"/>
      <w:numFmt w:val="lowerLetter"/>
      <w:lvlText w:val="%2."/>
      <w:lvlJc w:val="left"/>
      <w:pPr>
        <w:tabs>
          <w:tab w:val="num" w:pos="1440"/>
        </w:tabs>
        <w:ind w:left="1440" w:hanging="360"/>
      </w:pPr>
    </w:lvl>
    <w:lvl w:ilvl="2" w:tplc="523C299A" w:tentative="1">
      <w:start w:val="1"/>
      <w:numFmt w:val="lowerRoman"/>
      <w:lvlText w:val="%3."/>
      <w:lvlJc w:val="right"/>
      <w:pPr>
        <w:tabs>
          <w:tab w:val="num" w:pos="2160"/>
        </w:tabs>
        <w:ind w:left="2160" w:hanging="180"/>
      </w:pPr>
    </w:lvl>
    <w:lvl w:ilvl="3" w:tplc="745A03C0" w:tentative="1">
      <w:start w:val="1"/>
      <w:numFmt w:val="decimal"/>
      <w:lvlText w:val="%4."/>
      <w:lvlJc w:val="left"/>
      <w:pPr>
        <w:tabs>
          <w:tab w:val="num" w:pos="2880"/>
        </w:tabs>
        <w:ind w:left="2880" w:hanging="360"/>
      </w:pPr>
    </w:lvl>
    <w:lvl w:ilvl="4" w:tplc="466AB2C8" w:tentative="1">
      <w:start w:val="1"/>
      <w:numFmt w:val="lowerLetter"/>
      <w:lvlText w:val="%5."/>
      <w:lvlJc w:val="left"/>
      <w:pPr>
        <w:tabs>
          <w:tab w:val="num" w:pos="3600"/>
        </w:tabs>
        <w:ind w:left="3600" w:hanging="360"/>
      </w:pPr>
    </w:lvl>
    <w:lvl w:ilvl="5" w:tplc="32E62FAE" w:tentative="1">
      <w:start w:val="1"/>
      <w:numFmt w:val="lowerRoman"/>
      <w:lvlText w:val="%6."/>
      <w:lvlJc w:val="right"/>
      <w:pPr>
        <w:tabs>
          <w:tab w:val="num" w:pos="4320"/>
        </w:tabs>
        <w:ind w:left="4320" w:hanging="180"/>
      </w:pPr>
    </w:lvl>
    <w:lvl w:ilvl="6" w:tplc="8A3EE8D8" w:tentative="1">
      <w:start w:val="1"/>
      <w:numFmt w:val="decimal"/>
      <w:lvlText w:val="%7."/>
      <w:lvlJc w:val="left"/>
      <w:pPr>
        <w:tabs>
          <w:tab w:val="num" w:pos="5040"/>
        </w:tabs>
        <w:ind w:left="5040" w:hanging="360"/>
      </w:pPr>
    </w:lvl>
    <w:lvl w:ilvl="7" w:tplc="35508702" w:tentative="1">
      <w:start w:val="1"/>
      <w:numFmt w:val="lowerLetter"/>
      <w:lvlText w:val="%8."/>
      <w:lvlJc w:val="left"/>
      <w:pPr>
        <w:tabs>
          <w:tab w:val="num" w:pos="5760"/>
        </w:tabs>
        <w:ind w:left="5760" w:hanging="360"/>
      </w:pPr>
    </w:lvl>
    <w:lvl w:ilvl="8" w:tplc="BC80FA6A" w:tentative="1">
      <w:start w:val="1"/>
      <w:numFmt w:val="lowerRoman"/>
      <w:lvlText w:val="%9."/>
      <w:lvlJc w:val="right"/>
      <w:pPr>
        <w:tabs>
          <w:tab w:val="num" w:pos="6480"/>
        </w:tabs>
        <w:ind w:left="6480" w:hanging="180"/>
      </w:pPr>
    </w:lvl>
  </w:abstractNum>
  <w:num w:numId="1" w16cid:durableId="894006898">
    <w:abstractNumId w:val="8"/>
  </w:num>
  <w:num w:numId="2" w16cid:durableId="1084494468">
    <w:abstractNumId w:val="9"/>
  </w:num>
  <w:num w:numId="3" w16cid:durableId="2126994768">
    <w:abstractNumId w:val="8"/>
  </w:num>
  <w:num w:numId="4" w16cid:durableId="170992899">
    <w:abstractNumId w:val="9"/>
  </w:num>
  <w:num w:numId="5" w16cid:durableId="351734673">
    <w:abstractNumId w:val="35"/>
  </w:num>
  <w:num w:numId="6" w16cid:durableId="1834637208">
    <w:abstractNumId w:val="11"/>
  </w:num>
  <w:num w:numId="7" w16cid:durableId="559512440">
    <w:abstractNumId w:val="17"/>
  </w:num>
  <w:num w:numId="8" w16cid:durableId="1960797363">
    <w:abstractNumId w:val="30"/>
  </w:num>
  <w:num w:numId="9" w16cid:durableId="1714570947">
    <w:abstractNumId w:val="8"/>
  </w:num>
  <w:num w:numId="10" w16cid:durableId="1678724521">
    <w:abstractNumId w:val="3"/>
  </w:num>
  <w:num w:numId="11" w16cid:durableId="186450104">
    <w:abstractNumId w:val="2"/>
  </w:num>
  <w:num w:numId="12" w16cid:durableId="1197084786">
    <w:abstractNumId w:val="1"/>
  </w:num>
  <w:num w:numId="13" w16cid:durableId="487407640">
    <w:abstractNumId w:val="0"/>
  </w:num>
  <w:num w:numId="14" w16cid:durableId="467357197">
    <w:abstractNumId w:val="9"/>
  </w:num>
  <w:num w:numId="15" w16cid:durableId="487982965">
    <w:abstractNumId w:val="7"/>
  </w:num>
  <w:num w:numId="16" w16cid:durableId="1026295249">
    <w:abstractNumId w:val="6"/>
  </w:num>
  <w:num w:numId="17" w16cid:durableId="1318803013">
    <w:abstractNumId w:val="5"/>
  </w:num>
  <w:num w:numId="18" w16cid:durableId="1608543981">
    <w:abstractNumId w:val="4"/>
  </w:num>
  <w:num w:numId="19" w16cid:durableId="1392267496">
    <w:abstractNumId w:val="43"/>
  </w:num>
  <w:num w:numId="20" w16cid:durableId="311762641">
    <w:abstractNumId w:val="13"/>
  </w:num>
  <w:num w:numId="21" w16cid:durableId="1818574088">
    <w:abstractNumId w:val="18"/>
  </w:num>
  <w:num w:numId="22" w16cid:durableId="754940722">
    <w:abstractNumId w:val="41"/>
  </w:num>
  <w:num w:numId="23" w16cid:durableId="123433330">
    <w:abstractNumId w:val="45"/>
  </w:num>
  <w:num w:numId="24" w16cid:durableId="1713379180">
    <w:abstractNumId w:val="12"/>
  </w:num>
  <w:num w:numId="25" w16cid:durableId="972632553">
    <w:abstractNumId w:val="33"/>
  </w:num>
  <w:num w:numId="26" w16cid:durableId="2084719516">
    <w:abstractNumId w:val="37"/>
  </w:num>
  <w:num w:numId="27" w16cid:durableId="1623608864">
    <w:abstractNumId w:val="32"/>
  </w:num>
  <w:num w:numId="28" w16cid:durableId="1939018355">
    <w:abstractNumId w:val="15"/>
  </w:num>
  <w:num w:numId="29" w16cid:durableId="43454147">
    <w:abstractNumId w:val="38"/>
  </w:num>
  <w:num w:numId="30" w16cid:durableId="90513823">
    <w:abstractNumId w:val="23"/>
  </w:num>
  <w:num w:numId="31" w16cid:durableId="221405342">
    <w:abstractNumId w:val="40"/>
  </w:num>
  <w:num w:numId="32" w16cid:durableId="1472600855">
    <w:abstractNumId w:val="10"/>
  </w:num>
  <w:num w:numId="33" w16cid:durableId="36856081">
    <w:abstractNumId w:val="27"/>
  </w:num>
  <w:num w:numId="34" w16cid:durableId="72043996">
    <w:abstractNumId w:val="24"/>
  </w:num>
  <w:num w:numId="35" w16cid:durableId="723329897">
    <w:abstractNumId w:val="25"/>
  </w:num>
  <w:num w:numId="36" w16cid:durableId="863203093">
    <w:abstractNumId w:val="20"/>
  </w:num>
  <w:num w:numId="37" w16cid:durableId="1307784149">
    <w:abstractNumId w:val="14"/>
  </w:num>
  <w:num w:numId="38" w16cid:durableId="729695281">
    <w:abstractNumId w:val="22"/>
  </w:num>
  <w:num w:numId="39" w16cid:durableId="1238516399">
    <w:abstractNumId w:val="31"/>
  </w:num>
  <w:num w:numId="40" w16cid:durableId="1784114360">
    <w:abstractNumId w:val="16"/>
  </w:num>
  <w:num w:numId="41" w16cid:durableId="529341419">
    <w:abstractNumId w:val="21"/>
  </w:num>
  <w:num w:numId="42" w16cid:durableId="997002858">
    <w:abstractNumId w:val="42"/>
  </w:num>
  <w:num w:numId="43" w16cid:durableId="767625509">
    <w:abstractNumId w:val="28"/>
  </w:num>
  <w:num w:numId="44" w16cid:durableId="1880312299">
    <w:abstractNumId w:val="26"/>
  </w:num>
  <w:num w:numId="45" w16cid:durableId="2069767460">
    <w:abstractNumId w:val="34"/>
  </w:num>
  <w:num w:numId="46" w16cid:durableId="491987931">
    <w:abstractNumId w:val="39"/>
  </w:num>
  <w:num w:numId="47" w16cid:durableId="1239368397">
    <w:abstractNumId w:val="29"/>
  </w:num>
  <w:num w:numId="48" w16cid:durableId="1771005826">
    <w:abstractNumId w:val="44"/>
  </w:num>
  <w:num w:numId="49" w16cid:durableId="701709771">
    <w:abstractNumId w:val="36"/>
  </w:num>
  <w:num w:numId="50" w16cid:durableId="12090303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1"/>
    <w:docVar w:name="PersonGUIDs" w:val="{F1A2565D-4D2F-4887-9B1D-3D7BE825DA8C},{25384487-954A-4B3D-A759-FB67661DCC6F},{93F71F64-B3B2-464F-BCC5-C49DA1B8F0E4},{88576935-7337-4AFA-923F-6E59D33EEBED},{8B923F15-4996-4696-A089-6A5BE8BF8E1B},{CBCE2632-605E-484A-97AC-47C334EA7100},{7E0BF71E-CD03-4DBF-9F51-3B5B798F2741},{23C4D0E2-C6F4-49DA-B9C4-BE7D1928143F}"/>
  </w:docVars>
  <w:rsids>
    <w:rsidRoot w:val="00057E35"/>
    <w:rsid w:val="00057E35"/>
    <w:rsid w:val="00390173"/>
    <w:rsid w:val="007322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53D331-7C2E-45B3-BBD3-81B05109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5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1"/>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numbering" w:styleId="111111">
    <w:name w:val="Outline List 2"/>
    <w:basedOn w:val="Ingenlista"/>
    <w:pPr>
      <w:numPr>
        <w:numId w:val="20"/>
      </w:numPr>
    </w:pPr>
  </w:style>
  <w:style w:type="character" w:styleId="AnvndHyperlnk">
    <w:name w:val="FollowedHyperlink"/>
    <w:basedOn w:val="Standardstycketeckensnitt"/>
    <w:rPr>
      <w:color w:val="800080"/>
      <w:u w:val="single"/>
    </w:rPr>
  </w:style>
  <w:style w:type="paragraph" w:styleId="Fotnotstext">
    <w:name w:val="footnote text"/>
    <w:basedOn w:val="Normal"/>
    <w:link w:val="FotnotstextChar"/>
    <w:semiHidden/>
    <w:pPr>
      <w:spacing w:line="240" w:lineRule="auto"/>
    </w:pPr>
    <w:rPr>
      <w:sz w:val="20"/>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rPr>
      <w:lang w:val="sv-SE" w:eastAsia="sv-SE" w:bidi="ar-SA"/>
    </w:rPr>
  </w:style>
  <w:style w:type="character" w:customStyle="1" w:styleId="Kondenserad">
    <w:name w:val="Kondenserad"/>
    <w:basedOn w:val="Standardstycketeckensnitt"/>
    <w:rPr>
      <w:spacing w:val="-2"/>
    </w:rPr>
  </w:style>
  <w:style w:type="character" w:customStyle="1" w:styleId="Kapitler-fotnoter">
    <w:name w:val="Kapitäler - fotnoter"/>
    <w:basedOn w:val="Standardstycketeckensnitt"/>
    <w:rPr>
      <w:spacing w:val="6"/>
      <w:sz w:val="18"/>
      <w:szCs w:val="18"/>
      <w:lang w:val="en-US"/>
    </w:rPr>
  </w:style>
  <w:style w:type="character" w:customStyle="1" w:styleId="Siffror">
    <w:name w:val="Siffror"/>
    <w:basedOn w:val="Standardstycketeckensnitt"/>
    <w:rPr>
      <w:rFonts w:ascii="High Tower Text" w:hAnsi="High Tower Text"/>
      <w:sz w:val="24"/>
    </w:rPr>
  </w:style>
  <w:style w:type="character" w:customStyle="1" w:styleId="Siffror-fotnoter">
    <w:name w:val="Siffror - fotnoter"/>
    <w:basedOn w:val="Standardstycketeckensnitt"/>
    <w:rPr>
      <w:rFonts w:ascii="High Tower Text" w:hAnsi="High Tower Text"/>
      <w:sz w:val="22"/>
    </w:rPr>
  </w:style>
  <w:style w:type="table" w:styleId="Tabellrutnt">
    <w:name w:val="Table Grid"/>
    <w:basedOn w:val="Normaltabell"/>
    <w:locke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LTextChar">
    <w:name w:val="SKL Text Char"/>
    <w:basedOn w:val="Standardstycketeckensnitt"/>
    <w:link w:val="SKLText"/>
    <w:rPr>
      <w:sz w:val="24"/>
      <w:szCs w:val="24"/>
      <w:lang w:val="sv-SE" w:eastAsia="sv-SE" w:bidi="ar-SA"/>
    </w:rPr>
  </w:style>
  <w:style w:type="paragraph" w:customStyle="1" w:styleId="SKLText">
    <w:name w:val="SKL Text"/>
    <w:basedOn w:val="Normal"/>
    <w:link w:val="SKLTextChar"/>
    <w:pPr>
      <w:autoSpaceDE w:val="0"/>
      <w:autoSpaceDN w:val="0"/>
      <w:spacing w:before="120" w:after="120" w:line="300" w:lineRule="atLeast"/>
    </w:pPr>
    <w:rPr>
      <w:szCs w:val="24"/>
    </w:rPr>
  </w:style>
  <w:style w:type="paragraph" w:customStyle="1" w:styleId="Default">
    <w:name w:val="Default"/>
    <w:pPr>
      <w:autoSpaceDE w:val="0"/>
      <w:autoSpaceDN w:val="0"/>
      <w:adjustRightInd w:val="0"/>
    </w:pPr>
    <w:rPr>
      <w:rFonts w:ascii="Meta" w:hAnsi="Meta" w:cs="Meta"/>
      <w:color w:val="000000"/>
      <w:sz w:val="24"/>
      <w:szCs w:val="24"/>
      <w:lang w:val="sv-SE" w:eastAsia="sv-SE"/>
    </w:rPr>
  </w:style>
  <w:style w:type="paragraph" w:customStyle="1" w:styleId="Pa2">
    <w:name w:val="Pa2"/>
    <w:basedOn w:val="Default"/>
    <w:next w:val="Default"/>
    <w:pPr>
      <w:spacing w:line="201" w:lineRule="atLeast"/>
    </w:pPr>
    <w:rPr>
      <w:rFonts w:cs="Times New Roman"/>
      <w:color w:val="auto"/>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Sidhuvudsidfot">
    <w:name w:val="Sidhuvud/sidfot"/>
    <w:basedOn w:val="Normal"/>
    <w:pPr>
      <w:widowControl w:val="0"/>
      <w:spacing w:line="240" w:lineRule="auto"/>
    </w:pPr>
    <w:rPr>
      <w:snapToGrid w:val="0"/>
    </w:rPr>
  </w:style>
  <w:style w:type="character" w:customStyle="1" w:styleId="btex21">
    <w:name w:val="btex21"/>
    <w:basedOn w:val="Standardstycketeckensnitt"/>
    <w:rPr>
      <w:rFonts w:ascii="Verdana" w:hAnsi="Verdana" w:hint="default"/>
      <w:b w:val="0"/>
      <w:bCs w:val="0"/>
      <w:i w:val="0"/>
      <w:iCs w:val="0"/>
      <w:caps w:val="0"/>
      <w:strike w:val="0"/>
      <w:dstrike w:val="0"/>
      <w:color w:val="000000"/>
      <w:sz w:val="17"/>
      <w:szCs w:val="17"/>
      <w:u w:val="none"/>
      <w:effect w:val="none"/>
    </w:rPr>
  </w:style>
  <w:style w:type="paragraph" w:styleId="Innehll6">
    <w:name w:val="toc 6"/>
    <w:basedOn w:val="Normal"/>
    <w:next w:val="Normal"/>
    <w:autoRedefine/>
    <w:semiHidden/>
    <w:locked/>
    <w:pPr>
      <w:spacing w:line="240" w:lineRule="auto"/>
      <w:ind w:left="1200"/>
    </w:pPr>
    <w:rPr>
      <w:szCs w:val="24"/>
    </w:rPr>
  </w:style>
  <w:style w:type="paragraph" w:styleId="Innehll7">
    <w:name w:val="toc 7"/>
    <w:basedOn w:val="Normal"/>
    <w:next w:val="Normal"/>
    <w:autoRedefine/>
    <w:semiHidden/>
    <w:locked/>
    <w:pPr>
      <w:spacing w:line="240" w:lineRule="auto"/>
      <w:ind w:left="1440"/>
    </w:pPr>
    <w:rPr>
      <w:szCs w:val="24"/>
    </w:rPr>
  </w:style>
  <w:style w:type="paragraph" w:styleId="Innehll8">
    <w:name w:val="toc 8"/>
    <w:basedOn w:val="Normal"/>
    <w:next w:val="Normal"/>
    <w:autoRedefine/>
    <w:semiHidden/>
    <w:locked/>
    <w:pPr>
      <w:spacing w:line="240" w:lineRule="auto"/>
      <w:ind w:left="1680"/>
    </w:pPr>
    <w:rPr>
      <w:szCs w:val="24"/>
    </w:rPr>
  </w:style>
  <w:style w:type="paragraph" w:styleId="Innehll9">
    <w:name w:val="toc 9"/>
    <w:basedOn w:val="Normal"/>
    <w:next w:val="Normal"/>
    <w:autoRedefine/>
    <w:semiHidden/>
    <w:locked/>
    <w:pPr>
      <w:spacing w:line="240" w:lineRule="auto"/>
      <w:ind w:left="1920"/>
    </w:pPr>
    <w:rPr>
      <w:szCs w:val="24"/>
    </w:rPr>
  </w:style>
  <w:style w:type="character" w:customStyle="1" w:styleId="Rubrik3Char">
    <w:name w:val="Rubrik 3 Char"/>
    <w:basedOn w:val="Standardstycketeckensnitt"/>
    <w:rPr>
      <w:rFonts w:ascii="Arial" w:hAnsi="Arial" w:cs="Arial"/>
      <w:b/>
      <w:bCs/>
      <w:sz w:val="26"/>
      <w:szCs w:val="26"/>
      <w:lang w:val="sv-SE" w:eastAsia="sv-SE" w:bidi="ar-SA"/>
    </w:rPr>
  </w:style>
  <w:style w:type="paragraph" w:styleId="Ballongtext">
    <w:name w:val="Balloon Text"/>
    <w:basedOn w:val="Normal"/>
    <w:semiHidden/>
    <w:pPr>
      <w:spacing w:line="240" w:lineRule="auto"/>
    </w:pPr>
    <w:rPr>
      <w:rFonts w:ascii="Tahoma" w:hAnsi="Tahoma" w:cs="Tahoma"/>
      <w:sz w:val="16"/>
      <w:szCs w:val="16"/>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4651</Characters>
  <Application>Microsoft Office Word</Application>
  <DocSecurity>4</DocSecurity>
  <Lines>166</Lines>
  <Paragraphs>101</Paragraphs>
  <ScaleCrop>false</ScaleCrop>
  <HeadingPairs>
    <vt:vector size="2" baseType="variant">
      <vt:variant>
        <vt:lpstr>Rubrik</vt:lpstr>
      </vt:variant>
      <vt:variant>
        <vt:i4>1</vt:i4>
      </vt:variant>
    </vt:vector>
  </HeadingPairs>
  <TitlesOfParts>
    <vt:vector size="1" baseType="lpstr">
      <vt:lpstr>v651</vt:lpstr>
    </vt:vector>
  </TitlesOfParts>
  <Company>Riksdagen</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v651</dc:title>
  <dc:subject>v651</dc:subject>
  <dc:creator>Riksdagen</dc:creator>
  <cp:keywords>Riksdagen</cp:keywords>
  <dc:description/>
  <cp:lastModifiedBy>Lars Brink</cp:lastModifiedBy>
  <cp:revision>2</cp:revision>
  <cp:lastPrinted>2007-12-03T06:50:00Z</cp:lastPrinted>
  <dcterms:created xsi:type="dcterms:W3CDTF">2025-12-17T05:14:00Z</dcterms:created>
  <dcterms:modified xsi:type="dcterms:W3CDTF">2025-12-17T05:14:00Z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mot2000_490_2007-10-01</vt:lpwstr>
  </property>
  <property fmtid="{D5CDD505-2E9C-101B-9397-08002B2CF9AE}" pid="3" name="version">
    <vt:lpwstr>mot2000_478_2007-04-26</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Tilläggsbudget för 2007</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Tilläggsbudget för 2007</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20072008000000000118000006510080</vt:lpwstr>
  </property>
  <property fmtid="{D5CDD505-2E9C-101B-9397-08002B2CF9AE}" pid="47" name="datum">
    <vt:lpwstr>071004</vt:lpwstr>
  </property>
  <property fmtid="{D5CDD505-2E9C-101B-9397-08002B2CF9AE}" pid="48" name="avsändar-e-post">
    <vt:lpwstr/>
  </property>
  <property fmtid="{D5CDD505-2E9C-101B-9397-08002B2CF9AE}" pid="49" name="id">
    <vt:lpwstr>20072008000000000118000006510080</vt:lpwstr>
  </property>
  <property fmtid="{D5CDD505-2E9C-101B-9397-08002B2CF9AE}" pid="50" name="nummer">
    <vt:lpwstr>251</vt:lpwstr>
  </property>
  <property fmtid="{D5CDD505-2E9C-101B-9397-08002B2CF9AE}" pid="51" name="utskottsbeteckning">
    <vt:lpwstr>Fi</vt:lpwstr>
  </property>
  <property fmtid="{D5CDD505-2E9C-101B-9397-08002B2CF9AE}" pid="52" name="GlobalUID">
    <vt:lpwstr>{0EAEE445-E6A1-4899-B9B2-D0EB114F1217}</vt:lpwstr>
  </property>
  <property fmtid="{D5CDD505-2E9C-101B-9397-08002B2CF9AE}" pid="53" name="Överföringar">
    <vt:i4>0</vt:i4>
  </property>
  <property fmtid="{D5CDD505-2E9C-101B-9397-08002B2CF9AE}" pid="54" name="Checksum">
    <vt:lpwstr>*0007982236366*</vt:lpwstr>
  </property>
  <property fmtid="{D5CDD505-2E9C-101B-9397-08002B2CF9AE}" pid="55" name="skuggnummer">
    <vt:lpwstr>2238</vt:lpwstr>
  </property>
  <property fmtid="{D5CDD505-2E9C-101B-9397-08002B2CF9AE}" pid="56" name="urixVersion">
    <vt:lpwstr>3.2.0.8</vt:lpwstr>
  </property>
  <property fmtid="{D5CDD505-2E9C-101B-9397-08002B2CF9AE}" pid="57" name="urixOrigin">
    <vt:lpwstr>071203 07:50:13.836</vt:lpwstr>
  </property>
  <property fmtid="{D5CDD505-2E9C-101B-9397-08002B2CF9AE}" pid="58" name="urixGuid">
    <vt:lpwstr>{10B68C09-76B8-4F70-BBE9-F0DDB7E49651}</vt:lpwstr>
  </property>
</Properties>
</file>