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30BD5">
        <w:tblPrEx>
          <w:tblCellMar>
            <w:top w:w="0" w:type="dxa"/>
            <w:left w:w="0" w:type="dxa"/>
            <w:bottom w:w="0" w:type="dxa"/>
            <w:right w:w="0" w:type="dxa"/>
          </w:tblCellMar>
        </w:tblPrEx>
        <w:trPr>
          <w:gridAfter w:val="2"/>
          <w:wAfter w:w="1758" w:type="dxa"/>
          <w:cantSplit/>
          <w:trHeight w:val="1320"/>
        </w:trPr>
        <w:tc>
          <w:tcPr>
            <w:tcW w:w="5897" w:type="dxa"/>
          </w:tcPr>
          <w:p w:rsidR="008D5BB0" w:rsidRPr="00730BD5" w:rsidRDefault="008D5BB0">
            <w:pPr>
              <w:pStyle w:val="HuvudRubrik"/>
            </w:pPr>
            <w:r w:rsidRPr="00730BD5">
              <w:t>Regeringskansliet</w:t>
            </w:r>
          </w:p>
          <w:p w:rsidR="008D5BB0" w:rsidRPr="00730BD5" w:rsidRDefault="008D5BB0">
            <w:pPr>
              <w:pStyle w:val="HuvudRubrik"/>
            </w:pPr>
            <w:r w:rsidRPr="00730BD5">
              <w:t>Faktapromemoria 2003/04:FPM16</w:t>
            </w:r>
          </w:p>
        </w:tc>
      </w:tr>
      <w:tr w:rsidR="00000000" w:rsidRPr="00730BD5">
        <w:tblPrEx>
          <w:tblCellMar>
            <w:top w:w="0" w:type="dxa"/>
            <w:left w:w="0" w:type="dxa"/>
            <w:bottom w:w="0" w:type="dxa"/>
            <w:right w:w="0" w:type="dxa"/>
          </w:tblCellMar>
        </w:tblPrEx>
        <w:trPr>
          <w:gridAfter w:val="2"/>
          <w:wAfter w:w="1758" w:type="dxa"/>
          <w:cantSplit/>
          <w:trHeight w:val="240"/>
        </w:trPr>
        <w:tc>
          <w:tcPr>
            <w:tcW w:w="5897" w:type="dxa"/>
          </w:tcPr>
          <w:p w:rsidR="008D5BB0" w:rsidRPr="00730BD5" w:rsidRDefault="008D5BB0">
            <w:pPr>
              <w:pStyle w:val="HuvudRubrik"/>
              <w:rPr>
                <w:sz w:val="28"/>
              </w:rPr>
            </w:pPr>
            <w:r w:rsidRPr="00730BD5">
              <w:t xml:space="preserve">Förslag till rådsbeslut om slutande av Europarådets konvention nr 180 </w:t>
            </w:r>
            <w:r w:rsidRPr="00730BD5">
              <w:tab/>
            </w:r>
          </w:p>
        </w:tc>
      </w:tr>
      <w:tr w:rsidR="00000000" w:rsidRPr="00730BD5">
        <w:tblPrEx>
          <w:tblCellMar>
            <w:top w:w="0" w:type="dxa"/>
            <w:left w:w="0" w:type="dxa"/>
            <w:bottom w:w="0" w:type="dxa"/>
            <w:right w:w="0" w:type="dxa"/>
          </w:tblCellMar>
        </w:tblPrEx>
        <w:trPr>
          <w:cantSplit/>
          <w:trHeight w:val="285"/>
        </w:trPr>
        <w:tc>
          <w:tcPr>
            <w:tcW w:w="7655" w:type="dxa"/>
            <w:gridSpan w:val="3"/>
          </w:tcPr>
          <w:p w:rsidR="008D5BB0" w:rsidRPr="00730BD5" w:rsidRDefault="008D5BB0">
            <w:pPr>
              <w:pStyle w:val="Departement"/>
              <w:rPr>
                <w:sz w:val="28"/>
              </w:rPr>
            </w:pPr>
            <w:r w:rsidRPr="00730BD5">
              <w:t>Utrikesdepartementet</w:t>
            </w:r>
          </w:p>
        </w:tc>
      </w:tr>
      <w:tr w:rsidR="00000000" w:rsidRPr="00730BD5">
        <w:tblPrEx>
          <w:tblCellMar>
            <w:top w:w="0" w:type="dxa"/>
            <w:left w:w="0" w:type="dxa"/>
            <w:bottom w:w="0" w:type="dxa"/>
            <w:right w:w="0" w:type="dxa"/>
          </w:tblCellMar>
        </w:tblPrEx>
        <w:trPr>
          <w:cantSplit/>
          <w:trHeight w:val="240"/>
        </w:trPr>
        <w:tc>
          <w:tcPr>
            <w:tcW w:w="7655" w:type="dxa"/>
            <w:gridSpan w:val="3"/>
          </w:tcPr>
          <w:p w:rsidR="008D5BB0" w:rsidRPr="00730BD5" w:rsidRDefault="008D5BB0">
            <w:pPr>
              <w:pStyle w:val="Dokumentdatum"/>
            </w:pPr>
            <w:r w:rsidRPr="00730BD5">
              <w:t>2003-10-17</w:t>
            </w:r>
          </w:p>
        </w:tc>
      </w:tr>
      <w:tr w:rsidR="00000000" w:rsidRPr="00730BD5">
        <w:tblPrEx>
          <w:tblCellMar>
            <w:top w:w="0" w:type="dxa"/>
            <w:left w:w="0" w:type="dxa"/>
            <w:bottom w:w="0" w:type="dxa"/>
            <w:right w:w="0" w:type="dxa"/>
          </w:tblCellMar>
        </w:tblPrEx>
        <w:trPr>
          <w:cantSplit/>
          <w:trHeight w:val="726"/>
        </w:trPr>
        <w:tc>
          <w:tcPr>
            <w:tcW w:w="7655" w:type="dxa"/>
            <w:gridSpan w:val="3"/>
            <w:vAlign w:val="bottom"/>
          </w:tcPr>
          <w:p w:rsidR="008D5BB0" w:rsidRPr="00730BD5" w:rsidRDefault="008D5BB0">
            <w:pPr>
              <w:pStyle w:val="Dokumentbeteckning"/>
            </w:pPr>
            <w:r w:rsidRPr="00730BD5">
              <w:t>Dokumentbeteckning</w:t>
            </w:r>
          </w:p>
        </w:tc>
      </w:tr>
      <w:tr w:rsidR="00000000" w:rsidRPr="00730BD5">
        <w:tblPrEx>
          <w:tblCellMar>
            <w:top w:w="0" w:type="dxa"/>
            <w:left w:w="0" w:type="dxa"/>
            <w:bottom w:w="0" w:type="dxa"/>
            <w:right w:w="0" w:type="dxa"/>
          </w:tblCellMar>
        </w:tblPrEx>
        <w:trPr>
          <w:gridAfter w:val="1"/>
          <w:wAfter w:w="1560" w:type="dxa"/>
          <w:trHeight w:val="120"/>
        </w:trPr>
        <w:tc>
          <w:tcPr>
            <w:tcW w:w="6095" w:type="dxa"/>
            <w:gridSpan w:val="2"/>
          </w:tcPr>
          <w:p w:rsidR="008D5BB0" w:rsidRPr="00730BD5" w:rsidRDefault="008D5BB0">
            <w:bookmarkStart w:id="0" w:name="KomNr"/>
            <w:bookmarkEnd w:id="0"/>
            <w:r w:rsidRPr="00730BD5">
              <w:t>KOM (2003) 398 slutlig</w:t>
            </w:r>
            <w:r w:rsidRPr="00730BD5">
              <w:tab/>
            </w:r>
          </w:p>
        </w:tc>
      </w:tr>
      <w:tr w:rsidR="00000000" w:rsidRPr="00730BD5">
        <w:tblPrEx>
          <w:tblCellMar>
            <w:top w:w="0" w:type="dxa"/>
            <w:left w:w="0" w:type="dxa"/>
            <w:bottom w:w="0" w:type="dxa"/>
            <w:right w:w="0" w:type="dxa"/>
          </w:tblCellMar>
        </w:tblPrEx>
        <w:trPr>
          <w:gridAfter w:val="1"/>
          <w:wAfter w:w="1560" w:type="dxa"/>
          <w:trHeight w:val="120"/>
        </w:trPr>
        <w:tc>
          <w:tcPr>
            <w:tcW w:w="6095" w:type="dxa"/>
            <w:gridSpan w:val="2"/>
          </w:tcPr>
          <w:p w:rsidR="008D5BB0" w:rsidRPr="00730BD5" w:rsidRDefault="008D5BB0">
            <w:pPr>
              <w:pStyle w:val="Dokumentbeteckning-titel"/>
            </w:pPr>
            <w:r w:rsidRPr="00730BD5">
              <w:t>Förslag till rådets beslut om slutande i Europeiska gemenskapens namn av Europarådets konvention nr 180 om information och samarbete på rättsområdet rörande informationssamhällets tjänster</w:t>
            </w:r>
          </w:p>
        </w:tc>
      </w:tr>
      <w:tr w:rsidR="00000000" w:rsidRPr="00730BD5">
        <w:tblPrEx>
          <w:tblCellMar>
            <w:top w:w="0" w:type="dxa"/>
            <w:left w:w="0" w:type="dxa"/>
            <w:bottom w:w="0" w:type="dxa"/>
            <w:right w:w="0" w:type="dxa"/>
          </w:tblCellMar>
        </w:tblPrEx>
        <w:trPr>
          <w:gridAfter w:val="1"/>
          <w:wAfter w:w="1560" w:type="dxa"/>
          <w:trHeight w:val="120"/>
        </w:trPr>
        <w:tc>
          <w:tcPr>
            <w:tcW w:w="6095" w:type="dxa"/>
            <w:gridSpan w:val="2"/>
          </w:tcPr>
          <w:p w:rsidR="008D5BB0" w:rsidRPr="00730BD5" w:rsidRDefault="008D5BB0">
            <w:r w:rsidRPr="00730BD5">
              <w:t>DIR/JUR (2001) 5</w:t>
            </w:r>
          </w:p>
        </w:tc>
      </w:tr>
      <w:tr w:rsidR="00000000" w:rsidRPr="00730BD5">
        <w:tblPrEx>
          <w:tblCellMar>
            <w:top w:w="0" w:type="dxa"/>
            <w:left w:w="0" w:type="dxa"/>
            <w:bottom w:w="0" w:type="dxa"/>
            <w:right w:w="0" w:type="dxa"/>
          </w:tblCellMar>
        </w:tblPrEx>
        <w:trPr>
          <w:gridAfter w:val="1"/>
          <w:wAfter w:w="1560" w:type="dxa"/>
          <w:trHeight w:val="120"/>
        </w:trPr>
        <w:tc>
          <w:tcPr>
            <w:tcW w:w="6095" w:type="dxa"/>
            <w:gridSpan w:val="2"/>
          </w:tcPr>
          <w:p w:rsidR="008D5BB0" w:rsidRPr="00730BD5" w:rsidRDefault="008D5BB0">
            <w:pPr>
              <w:pStyle w:val="Dokumentbeteckning-titel"/>
            </w:pPr>
            <w:r w:rsidRPr="00730BD5">
              <w:t>Convention of information and legal co-operation concerning "Information society services" and explanatory report</w:t>
            </w:r>
            <w:r w:rsidRPr="00730BD5">
              <w:tab/>
            </w:r>
          </w:p>
        </w:tc>
      </w:tr>
    </w:tbl>
    <w:p w:rsidR="008D5BB0" w:rsidRPr="00730BD5" w:rsidRDefault="008D5BB0">
      <w:pPr>
        <w:pStyle w:val="Rubrik1"/>
        <w:numPr>
          <w:ilvl w:val="0"/>
          <w:numId w:val="0"/>
        </w:numPr>
      </w:pPr>
      <w:r w:rsidRPr="00730BD5">
        <w:t>Sammanfattning</w:t>
      </w:r>
    </w:p>
    <w:p w:rsidR="008D5BB0" w:rsidRPr="00730BD5" w:rsidRDefault="008D5BB0">
      <w:pPr>
        <w:jc w:val="left"/>
        <w:rPr>
          <w:color w:val="000000"/>
          <w:position w:val="6"/>
          <w:sz w:val="20"/>
        </w:rPr>
      </w:pPr>
      <w:r w:rsidRPr="00730BD5">
        <w:rPr>
          <w:color w:val="000000"/>
        </w:rPr>
        <w:t>Genom kommissionens förslag till rådsbeslut godkänns Europarådets konvention nr 180 om information och samarbete på rättsområdet rörande informationssamhällets tjänster i Europeiska gemenskapens namn. Genom konventionen möjliggörs en utökning av den inom EU gällande informationsproceduren vad gäller informationssamhällets tjänster, direktiv 98/34/EG såsom ändrat genom 98/48/EG, till samtliga Europarådets stater</w:t>
      </w:r>
      <w:r w:rsidRPr="00730BD5">
        <w:rPr>
          <w:color w:val="000000"/>
          <w:position w:val="6"/>
          <w:sz w:val="20"/>
        </w:rPr>
        <w:footnoteReference w:customMarkFollows="1" w:id="1"/>
        <w:t>.</w:t>
      </w:r>
      <w:r w:rsidRPr="00730BD5">
        <w:rPr>
          <w:rStyle w:val="Fotnotsreferens"/>
          <w:color w:val="000000"/>
          <w:sz w:val="20"/>
        </w:rPr>
        <w:t xml:space="preserve"> 1</w:t>
      </w:r>
      <w:r w:rsidRPr="00730BD5">
        <w:rPr>
          <w:color w:val="000000"/>
          <w:position w:val="6"/>
          <w:sz w:val="20"/>
        </w:rPr>
        <w:t xml:space="preserve"> </w:t>
      </w:r>
    </w:p>
    <w:p w:rsidR="008D5BB0" w:rsidRPr="00730BD5" w:rsidRDefault="008D5BB0">
      <w:pPr>
        <w:jc w:val="left"/>
        <w:rPr>
          <w:color w:val="000000"/>
        </w:rPr>
      </w:pPr>
      <w:r w:rsidRPr="00730BD5">
        <w:rPr>
          <w:color w:val="000000"/>
        </w:rPr>
        <w:t xml:space="preserve">Informationsproceduren 98/48/EG innebär att EU/EES-länder som inför regler inom det icke harmoniserade området, eller regler som går utöver ev. gemenskapsrättsliga regler, på förslagsstadiet skall anmäla reglerna till kommissionen. Inom en tremånadersperiod är landet förhindrat att anta reglerna och under denna period kan övriga medlemsländer och kommissionen kommentera förslaget. </w:t>
      </w:r>
    </w:p>
    <w:p w:rsidR="008D5BB0" w:rsidRPr="00730BD5" w:rsidRDefault="008D5BB0"/>
    <w:p w:rsidR="008D5BB0" w:rsidRPr="00730BD5" w:rsidRDefault="008D5BB0">
      <w:pPr>
        <w:spacing w:line="245" w:lineRule="atLeast"/>
        <w:ind w:firstLine="170"/>
        <w:rPr>
          <w:color w:val="000000"/>
        </w:rPr>
      </w:pPr>
      <w:r w:rsidRPr="00730BD5">
        <w:rPr>
          <w:color w:val="000000"/>
        </w:rPr>
        <w:t>Informationssamhällets tjänster – d.v.s. tjänster som normalt erbjuds mot ersättning, elektroniskt, på distans och på individuell begäran av tjänstemottagaren – är gränsöverskridande till sin karaktär, och det finns därför intresse av att också kunna följa de regler som införs i kandidatländerna såväl som i andra stora, näraliggande marknader såsom t.ex. den ryska.</w:t>
      </w:r>
    </w:p>
    <w:p w:rsidR="008D5BB0" w:rsidRPr="00730BD5" w:rsidRDefault="008D5BB0">
      <w:pPr>
        <w:spacing w:line="245" w:lineRule="atLeast"/>
      </w:pPr>
      <w:r w:rsidRPr="00730BD5">
        <w:rPr>
          <w:color w:val="000000"/>
        </w:rPr>
        <w:t>Genom Europarådets konvention skapas en informationsprocedur som i stort sett motsvarar den inom EU mellan de länder som åtar sig att följa konventionen. Enligt konvention införs således en skyldighet att anmäla regler som införs avseende informationssamhällets tjänster till samtliga påskrivande stater och dessa ges dessutom möjlighet att kommentera sådana regler som anses ha grava juridiska och ekonomiska konsekvenser i on-line sammanhang, i synnerhet då reglerna bedöms inverka på grundläggande friheter o</w:t>
      </w:r>
      <w:r w:rsidRPr="00730BD5">
        <w:rPr>
          <w:color w:val="000000"/>
        </w:rPr>
        <w:t>ch rättigheter (t.ex. för gemenskapsmedborgare eller gemenskapsföretag som opererar i tredje land). Däremot införs ingen skyldighet för Europarådets medlemsstater att vänta med antagandet av regeln, d.v.s. inga stand-still perioder införs. Anmälande land bör dock beakta ("</w:t>
      </w:r>
      <w:r w:rsidRPr="00730BD5">
        <w:rPr>
          <w:i/>
          <w:color w:val="000000"/>
        </w:rPr>
        <w:t>take into account as far as possible</w:t>
      </w:r>
      <w:r w:rsidRPr="00730BD5">
        <w:rPr>
          <w:color w:val="000000"/>
        </w:rPr>
        <w:t>") de kommentarer som ev. framförs på det anmälda förslaget. För EU/EES länderna kvarstår givetvis skyldigheten att avvakta med antagande i tre månader eftersom de även är skyldiga att uppfylla de skyldi</w:t>
      </w:r>
      <w:r w:rsidRPr="00730BD5">
        <w:rPr>
          <w:color w:val="000000"/>
        </w:rPr>
        <w:t xml:space="preserve">gheter som följer av direktiv 98/34/EG. Kommissionen kommer att agera mellanhand för att undvika en ökad börda för gemenskapens medlemsstater, och kommer även att notifiera sina egna förslag till gemenskapsåtgärder. </w:t>
      </w:r>
    </w:p>
    <w:p w:rsidR="008D5BB0" w:rsidRPr="00730BD5" w:rsidRDefault="008D5BB0">
      <w:pPr>
        <w:pStyle w:val="Rubrik1"/>
      </w:pPr>
      <w:r w:rsidRPr="00730BD5">
        <w:t>Förslaget</w:t>
      </w:r>
    </w:p>
    <w:p w:rsidR="008D5BB0" w:rsidRPr="00730BD5" w:rsidRDefault="008D5BB0">
      <w:pPr>
        <w:pStyle w:val="Rubrik2"/>
      </w:pPr>
      <w:r w:rsidRPr="00730BD5">
        <w:t>Innehåll</w:t>
      </w:r>
    </w:p>
    <w:p w:rsidR="008D5BB0" w:rsidRPr="00730BD5" w:rsidRDefault="008D5BB0">
      <w:pPr>
        <w:spacing w:line="245" w:lineRule="atLeast"/>
      </w:pPr>
      <w:r w:rsidRPr="00730BD5">
        <w:rPr>
          <w:color w:val="000000"/>
        </w:rPr>
        <w:t>I förslaget till rådsbeslut fastställs att Europarådets konvention godkänns i Europeiska gemenskapens namn samt att rådets ordförande får utse den person som bemyndigas att underteckna konventionen i gemenskapens namn.</w:t>
      </w:r>
    </w:p>
    <w:p w:rsidR="008D5BB0" w:rsidRPr="00730BD5" w:rsidRDefault="008D5BB0">
      <w:pPr>
        <w:pStyle w:val="Rubrik2"/>
      </w:pPr>
      <w:r w:rsidRPr="00730BD5">
        <w:t>Gällande svenska regler och förslagets effekt på dessa</w:t>
      </w:r>
    </w:p>
    <w:p w:rsidR="008D5BB0" w:rsidRPr="00730BD5" w:rsidRDefault="008D5BB0">
      <w:pPr>
        <w:spacing w:line="245" w:lineRule="atLeast"/>
        <w:rPr>
          <w:color w:val="000000"/>
        </w:rPr>
      </w:pPr>
      <w:r w:rsidRPr="00730BD5">
        <w:rPr>
          <w:color w:val="000000"/>
        </w:rPr>
        <w:t xml:space="preserve">Enligt förordningen SFS 1994:2029 om tekniska regler skall svenska myndigheter underrätta Kommerskollegium om förslag till nya tekniska föreskrifter. Föreskrifterna ansluter till Sveriges internationella förpliktelser enligt Världshandelsorganisationens (WTO) avtal om tekniska handelshinder, WTO:s avtal om sanitära och fytosanitära åtgärder samt direktiv 98/34/EG såsom ändrat genom 98/48/EG. </w:t>
      </w:r>
    </w:p>
    <w:p w:rsidR="008D5BB0" w:rsidRPr="00730BD5" w:rsidRDefault="008D5BB0">
      <w:pPr>
        <w:spacing w:line="245" w:lineRule="atLeast"/>
      </w:pPr>
      <w:r w:rsidRPr="00730BD5">
        <w:t xml:space="preserve">Anslutning till den föreslagna konventionen kommer inte att förändra gällande svenska regler i och med att kommissionen kommer att vidarebefordra de nationella regler som redan idag anmäls med anledning av direktiv 98/34/EG. Skillnaden kommer att ligga i den mängd ärenden som myndigheten Kommerskollegium kommer att motta och ev. även skall granska ur ett handelsperspektiv. </w:t>
      </w:r>
    </w:p>
    <w:p w:rsidR="008D5BB0" w:rsidRPr="00730BD5" w:rsidRDefault="008D5BB0">
      <w:pPr>
        <w:pStyle w:val="Rubrik2"/>
      </w:pPr>
      <w:r w:rsidRPr="00730BD5">
        <w:t>Budgetära konsekvenser</w:t>
      </w:r>
    </w:p>
    <w:p w:rsidR="008D5BB0" w:rsidRPr="00730BD5" w:rsidRDefault="008D5BB0">
      <w:pPr>
        <w:spacing w:line="245" w:lineRule="atLeast"/>
        <w:rPr>
          <w:color w:val="000000"/>
        </w:rPr>
      </w:pPr>
      <w:r w:rsidRPr="00730BD5">
        <w:rPr>
          <w:color w:val="000000"/>
        </w:rPr>
        <w:t>Det utökade området kan komma att medföra ökade kostnader för Kommerskollegium. Kommissionen har uppskattat att ca. 60 anmälningar per år kommer att inkomma från tredje land, och av dessa uppskattas ca. 10 % behöva översättas. Även om denna uppskattning torde vara i underkant bedöms de ökade kostnaderna för administrationen hos Kommerskollegium kunna rymmas inom befintlig ram.</w:t>
      </w:r>
    </w:p>
    <w:p w:rsidR="008D5BB0" w:rsidRPr="00730BD5" w:rsidRDefault="008D5BB0"/>
    <w:p w:rsidR="008D5BB0" w:rsidRPr="00730BD5" w:rsidRDefault="008D5BB0">
      <w:pPr>
        <w:pStyle w:val="Rubrik1"/>
      </w:pPr>
      <w:r w:rsidRPr="00730BD5">
        <w:t>Ståndpunkter</w:t>
      </w:r>
    </w:p>
    <w:p w:rsidR="008D5BB0" w:rsidRPr="00730BD5" w:rsidRDefault="008D5BB0">
      <w:pPr>
        <w:pStyle w:val="Rubrik2"/>
      </w:pPr>
      <w:r w:rsidRPr="00730BD5">
        <w:t>Svensk ståndpunkt</w:t>
      </w:r>
    </w:p>
    <w:p w:rsidR="008D5BB0" w:rsidRPr="00730BD5" w:rsidRDefault="008D5BB0">
      <w:r w:rsidRPr="00730BD5">
        <w:rPr>
          <w:color w:val="000000"/>
        </w:rPr>
        <w:t>I december 2000 röstade Sverige för konventionen inom den kommitté som ansvarat för utarbetandet av den European Committee on Legal Co-operation (CDCJ). Sverige är positiv till den ökade transparens som informationsproceduren kan komma medföra också vad gäller näraliggande marknader, även om vi också kan se vissa administrativa problem med att få systemet att fungera såsom tänkt.</w:t>
      </w:r>
    </w:p>
    <w:p w:rsidR="008D5BB0" w:rsidRPr="00730BD5" w:rsidRDefault="008D5BB0">
      <w:pPr>
        <w:pStyle w:val="Rubrik2"/>
      </w:pPr>
      <w:r w:rsidRPr="00730BD5">
        <w:t>Medlemsstaternas ståndpunkter</w:t>
      </w:r>
    </w:p>
    <w:p w:rsidR="008D5BB0" w:rsidRPr="00730BD5" w:rsidRDefault="008D5BB0">
      <w:r w:rsidRPr="00730BD5">
        <w:rPr>
          <w:color w:val="000000"/>
        </w:rPr>
        <w:t>Vid mötet i december 2000 röstade samtliga medlemsstater, utom Tyskland som avstod, för förslaget till konvention.</w:t>
      </w:r>
    </w:p>
    <w:p w:rsidR="008D5BB0" w:rsidRPr="00730BD5" w:rsidRDefault="008D5BB0">
      <w:pPr>
        <w:pStyle w:val="Rubrik2"/>
      </w:pPr>
      <w:r w:rsidRPr="00730BD5">
        <w:t>Institutionernas ståndpunkter</w:t>
      </w:r>
    </w:p>
    <w:p w:rsidR="008D5BB0" w:rsidRPr="00730BD5" w:rsidRDefault="008D5BB0">
      <w:r w:rsidRPr="00730BD5">
        <w:rPr>
          <w:color w:val="000000"/>
        </w:rPr>
        <w:t>Ej kända.</w:t>
      </w:r>
    </w:p>
    <w:p w:rsidR="008D5BB0" w:rsidRPr="00730BD5" w:rsidRDefault="008D5BB0">
      <w:pPr>
        <w:pStyle w:val="Rubrik2"/>
      </w:pPr>
      <w:r w:rsidRPr="00730BD5">
        <w:t>Remissinstansernas ståndpunkter</w:t>
      </w:r>
    </w:p>
    <w:p w:rsidR="008D5BB0" w:rsidRPr="00730BD5" w:rsidRDefault="008D5BB0">
      <w:r w:rsidRPr="00730BD5">
        <w:rPr>
          <w:color w:val="000000"/>
        </w:rPr>
        <w:t>Ej kända. Enligt kommissionen har förslaget välkomnats av en majoritet av operatörer etablerade inom gemenskapen.</w:t>
      </w:r>
    </w:p>
    <w:p w:rsidR="008D5BB0" w:rsidRPr="00730BD5" w:rsidRDefault="008D5BB0">
      <w:pPr>
        <w:pStyle w:val="Rubrik1"/>
      </w:pPr>
      <w:r w:rsidRPr="00730BD5">
        <w:t>Övrigt</w:t>
      </w:r>
    </w:p>
    <w:p w:rsidR="008D5BB0" w:rsidRPr="00730BD5" w:rsidRDefault="008D5BB0">
      <w:pPr>
        <w:pStyle w:val="Rubrik2"/>
      </w:pPr>
      <w:r w:rsidRPr="00730BD5">
        <w:t>Fortsatt behandling av ärendet</w:t>
      </w:r>
    </w:p>
    <w:p w:rsidR="008D5BB0" w:rsidRPr="00730BD5" w:rsidRDefault="008D5BB0">
      <w:r w:rsidRPr="00730BD5">
        <w:rPr>
          <w:color w:val="000000"/>
        </w:rPr>
        <w:t>Förslaget förväntas föras upp på rådets dagordning inom en snar framtid.</w:t>
      </w:r>
    </w:p>
    <w:p w:rsidR="008D5BB0" w:rsidRPr="00730BD5" w:rsidRDefault="008D5BB0">
      <w:pPr>
        <w:pStyle w:val="Rubrik2"/>
      </w:pPr>
      <w:r w:rsidRPr="00730BD5">
        <w:t>Rättslig grund och beslutsförfarande</w:t>
      </w:r>
    </w:p>
    <w:p w:rsidR="008D5BB0" w:rsidRPr="00730BD5" w:rsidRDefault="008D5BB0">
      <w:r w:rsidRPr="00730BD5">
        <w:rPr>
          <w:color w:val="000000"/>
        </w:rPr>
        <w:t>Artikel 133 samt 300.2</w:t>
      </w:r>
    </w:p>
    <w:p w:rsidR="008D5BB0" w:rsidRPr="00730BD5" w:rsidRDefault="008D5BB0">
      <w:pPr>
        <w:pStyle w:val="Rubrik2"/>
      </w:pPr>
      <w:r w:rsidRPr="00730BD5">
        <w:t>Fackuttryck/termer</w:t>
      </w:r>
    </w:p>
    <w:p w:rsidR="008D5BB0" w:rsidRPr="00730BD5" w:rsidRDefault="008D5BB0">
      <w:r w:rsidRPr="00730BD5">
        <w:t>____</w:t>
      </w:r>
    </w:p>
    <w:sectPr w:rsidR="008D5BB0" w:rsidRPr="00730BD5">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BB0" w:rsidRPr="00730BD5" w:rsidRDefault="008D5BB0">
      <w:pPr>
        <w:spacing w:before="0" w:line="240" w:lineRule="auto"/>
      </w:pPr>
      <w:r w:rsidRPr="00730BD5">
        <w:separator/>
      </w:r>
    </w:p>
  </w:endnote>
  <w:endnote w:type="continuationSeparator" w:id="0">
    <w:p w:rsidR="008D5BB0" w:rsidRPr="00730BD5" w:rsidRDefault="008D5BB0">
      <w:pPr>
        <w:spacing w:before="0" w:line="240" w:lineRule="auto"/>
      </w:pPr>
      <w:r w:rsidRPr="00730B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B0" w:rsidRPr="00730BD5" w:rsidRDefault="008D5BB0">
    <w:pPr>
      <w:pStyle w:val="SidfotH"/>
      <w:framePr w:wrap="around"/>
    </w:pPr>
    <w:r w:rsidRPr="00730BD5">
      <w:t>2</w:t>
    </w:r>
  </w:p>
  <w:p w:rsidR="008D5BB0" w:rsidRPr="00730BD5" w:rsidRDefault="008D5B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B0" w:rsidRPr="00730BD5" w:rsidRDefault="008D5BB0">
    <w:pPr>
      <w:pStyle w:val="SidfotH"/>
      <w:framePr w:wrap="around"/>
    </w:pPr>
    <w:r w:rsidRPr="00730BD5">
      <w:t>1</w:t>
    </w:r>
  </w:p>
  <w:p w:rsidR="008D5BB0" w:rsidRPr="00730BD5" w:rsidRDefault="008D5B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BB0" w:rsidRPr="00730BD5" w:rsidRDefault="008D5BB0">
      <w:pPr>
        <w:spacing w:before="0" w:line="240" w:lineRule="auto"/>
      </w:pPr>
      <w:r w:rsidRPr="00730BD5">
        <w:separator/>
      </w:r>
    </w:p>
  </w:footnote>
  <w:footnote w:type="continuationSeparator" w:id="0">
    <w:p w:rsidR="008D5BB0" w:rsidRPr="00730BD5" w:rsidRDefault="008D5BB0">
      <w:pPr>
        <w:spacing w:before="0" w:line="240" w:lineRule="auto"/>
      </w:pPr>
      <w:r w:rsidRPr="00730BD5">
        <w:continuationSeparator/>
      </w:r>
    </w:p>
  </w:footnote>
  <w:footnote w:id="1">
    <w:p w:rsidR="008D5BB0" w:rsidRPr="00730BD5" w:rsidRDefault="008D5BB0">
      <w:pPr>
        <w:jc w:val="left"/>
        <w:rPr>
          <w:color w:val="000000"/>
          <w:sz w:val="17"/>
        </w:rPr>
      </w:pPr>
      <w:r w:rsidRPr="00730BD5">
        <w:rPr>
          <w:color w:val="000000"/>
          <w:position w:val="6"/>
          <w:sz w:val="20"/>
        </w:rPr>
        <w:t>1</w:t>
      </w:r>
      <w:r w:rsidRPr="00730BD5">
        <w:rPr>
          <w:color w:val="000000"/>
          <w:sz w:val="17"/>
        </w:rPr>
        <w:t xml:space="preserve"> Konventionen är öppen för Europarådets 41 medlemsstater (inkl. gemenskapens medlemsstater) samt även länder som medverkat under konventionens utarbetande (Armenien, Azerbadjan, Bosnien-Hercegovina, Kanada, Japan, USA, Mexico samt Vatikanen).</w:t>
      </w:r>
    </w:p>
    <w:p w:rsidR="008D5BB0" w:rsidRPr="00730BD5" w:rsidRDefault="008D5BB0">
      <w:pPr>
        <w:jc w:val="left"/>
        <w:rPr>
          <w:color w:val="000000"/>
          <w:sz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B0" w:rsidRPr="00730BD5" w:rsidRDefault="008D5BB0">
    <w:pPr>
      <w:pStyle w:val="Kantrubrik"/>
      <w:framePr w:h="1157" w:hRule="exact" w:wrap="around" w:y="738"/>
    </w:pPr>
    <w:r w:rsidRPr="00730BD5">
      <w:t>2003/04:FPM16</w:t>
    </w:r>
  </w:p>
  <w:p w:rsidR="008D5BB0" w:rsidRPr="00730BD5" w:rsidRDefault="008D5B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BB0" w:rsidRPr="00730BD5" w:rsidRDefault="00730BD5">
    <w:pPr>
      <w:pStyle w:val="Sidhuvud"/>
    </w:pPr>
    <w:r w:rsidRPr="00730BD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223496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D5BB0" w:rsidRDefault="008D5BB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D5BB0" w:rsidRDefault="008D5BB0">
                    <w:pPr>
                      <w:pStyle w:val="Logo"/>
                    </w:pPr>
                    <w:r>
                      <w:object w:dxaOrig="840" w:dyaOrig="1545">
                        <v:shape id="_x0000_i1025" type="#_x0000_t75" style="width:42pt;height:77.15pt" fillcolor="window">
                          <v:imagedata r:id="rId1" o:title=""/>
                        </v:shape>
                        <o:OLEObject Type="Embed" ProgID="Word.Picture.8" ShapeID="_x0000_i1025" DrawAspect="Content" ObjectID="_18274180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9099390">
    <w:abstractNumId w:val="4"/>
  </w:num>
  <w:num w:numId="2" w16cid:durableId="1616057316">
    <w:abstractNumId w:val="1"/>
  </w:num>
  <w:num w:numId="3" w16cid:durableId="1485393134">
    <w:abstractNumId w:val="2"/>
  </w:num>
  <w:num w:numId="4" w16cid:durableId="379594628">
    <w:abstractNumId w:val="3"/>
  </w:num>
  <w:num w:numId="5" w16cid:durableId="775101735">
    <w:abstractNumId w:val="5"/>
  </w:num>
  <w:num w:numId="6" w16cid:durableId="21262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4"/>
    <w:docVar w:name="Ar" w:val="2003/04"/>
    <w:docVar w:name="Dep" w:val="Utrikesdepartementet"/>
    <w:docVar w:name="DepWeb" w:val="Utrikesdepartementet"/>
    <w:docVar w:name="GDB1" w:val="KOM (2003) 398 slutlig_x0009_"/>
    <w:docVar w:name="GDB10" w:val=" "/>
    <w:docVar w:name="GDB11" w:val=" "/>
    <w:docVar w:name="GDB12" w:val=" "/>
    <w:docVar w:name="GDB13" w:val=" "/>
    <w:docVar w:name="GDB2" w:val="DIR/JUR (2001) 5"/>
    <w:docVar w:name="GDB3" w:val=" "/>
    <w:docVar w:name="GDB4" w:val=" "/>
    <w:docVar w:name="GDB5" w:val=" "/>
    <w:docVar w:name="GDB6" w:val=" "/>
    <w:docVar w:name="GDB7" w:val=" "/>
    <w:docVar w:name="GDB8" w:val=" "/>
    <w:docVar w:name="GDB9" w:val=" "/>
    <w:docVar w:name="GDT1" w:val="Förslag till rådets beslut om slutande i Europeiska gemenskapens namn av Europarådets konvention nr 180 om information och samarbete på rättsområdet rörande informationssamhällets tjänster"/>
    <w:docVar w:name="GDT10" w:val=" "/>
    <w:docVar w:name="GDT11" w:val=" "/>
    <w:docVar w:name="GDT12" w:val=" "/>
    <w:docVar w:name="GDT13" w:val=" "/>
    <w:docVar w:name="GDT2" w:val="Convention of information and legal co-operation concerning &quot;Information society services&quot; and explanatory report_x0009_"/>
    <w:docVar w:name="GDT3" w:val=" "/>
    <w:docVar w:name="GDT4" w:val=" "/>
    <w:docVar w:name="GDT5" w:val=" "/>
    <w:docVar w:name="GDT6" w:val=" "/>
    <w:docVar w:name="GDT7" w:val=" "/>
    <w:docVar w:name="GDT8" w:val=" "/>
    <w:docVar w:name="GDT9" w:val=" "/>
    <w:docVar w:name="GDTWeb" w:val="KOM (2003) 398 slutlig_x0009_, DIR/JUR (2001) 5"/>
    <w:docVar w:name="Nr" w:val="16"/>
    <w:docVar w:name="Rub" w:val="Förslag till rådsbeslut om slutande av Europarådets konvention nr 180 _x0009_"/>
    <w:docVar w:name="UppDat" w:val="2003-10-17"/>
    <w:docVar w:name="Utsk" w:val="Näringsutskottet"/>
  </w:docVars>
  <w:rsids>
    <w:rsidRoot w:val="002A6BBC"/>
    <w:rsid w:val="002A6BBC"/>
    <w:rsid w:val="00730BD5"/>
    <w:rsid w:val="008D5B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5B494C-6B3B-421D-8C6A-E1B2FA3E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710</Words>
  <Characters>4653</Characters>
  <Application>Microsoft Office Word</Application>
  <DocSecurity>4</DocSecurity>
  <Lines>99</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2003-10-27T07:37:00Z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vt:lpwstr>
  </property>
  <property fmtid="{D5CDD505-2E9C-101B-9397-08002B2CF9AE}" pid="4" name="GDB1">
    <vt:lpwstr>KOM (2003) 398 slutlig	</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Förslag till rådsbeslut om slutande av Europarådets konvention nr 180 	</vt:lpwstr>
  </property>
  <property fmtid="{D5CDD505-2E9C-101B-9397-08002B2CF9AE}" pid="8" name="UppDat">
    <vt:lpwstr>2003-10-17</vt:lpwstr>
  </property>
  <property fmtid="{D5CDD505-2E9C-101B-9397-08002B2CF9AE}" pid="9" name="AnkDat">
    <vt:lpwstr>2003-10-24</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DIR/JUR (2001) 5</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