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CD709B" w14:paraId="44FA4FBA" w14:textId="77777777" w:rsidTr="00536CF4">
        <w:tc>
          <w:tcPr>
            <w:tcW w:w="2268" w:type="dxa"/>
          </w:tcPr>
          <w:p w14:paraId="44812A2A" w14:textId="77777777" w:rsidR="00CD709B" w:rsidRDefault="00CD709B" w:rsidP="00B174FE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14:paraId="2A3B6E11" w14:textId="77777777" w:rsidR="00CD709B" w:rsidRDefault="00CD709B" w:rsidP="00B174FE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</w:tr>
      <w:tr w:rsidR="00CD709B" w14:paraId="6A35E9F2" w14:textId="77777777" w:rsidTr="00536CF4">
        <w:trPr>
          <w:cantSplit/>
        </w:trPr>
        <w:tc>
          <w:tcPr>
            <w:tcW w:w="4615" w:type="dxa"/>
            <w:gridSpan w:val="3"/>
          </w:tcPr>
          <w:p w14:paraId="51D16C55" w14:textId="77777777" w:rsidR="00CD709B" w:rsidRDefault="00CD709B" w:rsidP="00B174FE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</w:tr>
      <w:tr w:rsidR="00CD709B" w14:paraId="41EB380D" w14:textId="77777777" w:rsidTr="00536CF4">
        <w:tc>
          <w:tcPr>
            <w:tcW w:w="3402" w:type="dxa"/>
            <w:gridSpan w:val="2"/>
          </w:tcPr>
          <w:p w14:paraId="315CC66D" w14:textId="77777777" w:rsidR="00CD709B" w:rsidRDefault="00CD709B" w:rsidP="00B174FE">
            <w:pPr>
              <w:framePr w:w="4400" w:h="1644" w:wrap="notBeside" w:vAnchor="page" w:hAnchor="page" w:x="6573" w:y="721"/>
              <w:jc w:val="both"/>
            </w:pPr>
          </w:p>
        </w:tc>
        <w:tc>
          <w:tcPr>
            <w:tcW w:w="1213" w:type="dxa"/>
          </w:tcPr>
          <w:p w14:paraId="4F351173" w14:textId="77777777" w:rsidR="00CD709B" w:rsidRDefault="00CD709B" w:rsidP="00B174FE">
            <w:pPr>
              <w:framePr w:w="4400" w:h="1644" w:wrap="notBeside" w:vAnchor="page" w:hAnchor="page" w:x="6573" w:y="721"/>
              <w:jc w:val="both"/>
            </w:pPr>
          </w:p>
        </w:tc>
      </w:tr>
      <w:tr w:rsidR="00CD709B" w14:paraId="6B02CC18" w14:textId="77777777" w:rsidTr="00536CF4">
        <w:tc>
          <w:tcPr>
            <w:tcW w:w="2268" w:type="dxa"/>
          </w:tcPr>
          <w:p w14:paraId="77D22B4D" w14:textId="67E3FF8E" w:rsidR="00CD709B" w:rsidRDefault="00CD709B" w:rsidP="00B174FE">
            <w:pPr>
              <w:framePr w:w="4400" w:h="1644" w:wrap="notBeside" w:vAnchor="page" w:hAnchor="page" w:x="6573" w:y="721"/>
              <w:jc w:val="both"/>
            </w:pPr>
            <w:r>
              <w:t>20</w:t>
            </w:r>
            <w:r w:rsidR="0066659D">
              <w:t>16-11-25</w:t>
            </w:r>
          </w:p>
        </w:tc>
        <w:tc>
          <w:tcPr>
            <w:tcW w:w="2347" w:type="dxa"/>
            <w:gridSpan w:val="2"/>
          </w:tcPr>
          <w:p w14:paraId="54D42E58" w14:textId="77777777" w:rsidR="00CD709B" w:rsidRDefault="00CD709B" w:rsidP="00B174FE">
            <w:pPr>
              <w:framePr w:w="4400" w:h="1644" w:wrap="notBeside" w:vAnchor="page" w:hAnchor="page" w:x="6573" w:y="721"/>
              <w:jc w:val="both"/>
            </w:pPr>
          </w:p>
        </w:tc>
      </w:tr>
      <w:tr w:rsidR="00CD709B" w14:paraId="7B9513E5" w14:textId="77777777" w:rsidTr="00536CF4">
        <w:tc>
          <w:tcPr>
            <w:tcW w:w="2268" w:type="dxa"/>
          </w:tcPr>
          <w:p w14:paraId="655CA4A9" w14:textId="77777777" w:rsidR="00CD709B" w:rsidRDefault="00CD709B" w:rsidP="00B174FE">
            <w:pPr>
              <w:framePr w:w="4400" w:h="1644" w:wrap="notBeside" w:vAnchor="page" w:hAnchor="page" w:x="6573" w:y="721"/>
              <w:jc w:val="both"/>
            </w:pPr>
          </w:p>
        </w:tc>
        <w:tc>
          <w:tcPr>
            <w:tcW w:w="2347" w:type="dxa"/>
            <w:gridSpan w:val="2"/>
          </w:tcPr>
          <w:p w14:paraId="2E25CF79" w14:textId="77777777" w:rsidR="00CD709B" w:rsidRDefault="00CD709B" w:rsidP="00B174FE">
            <w:pPr>
              <w:framePr w:w="4400" w:h="1644" w:wrap="notBeside" w:vAnchor="page" w:hAnchor="page" w:x="6573" w:y="721"/>
              <w:jc w:val="both"/>
            </w:pPr>
          </w:p>
        </w:tc>
      </w:tr>
    </w:tbl>
    <w:p w14:paraId="21292836" w14:textId="77777777" w:rsidR="00CD709B" w:rsidRPr="00C12FD4" w:rsidRDefault="00CD709B" w:rsidP="00B174FE">
      <w:pPr>
        <w:jc w:val="both"/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CD709B" w14:paraId="4EC8ECA9" w14:textId="77777777" w:rsidTr="00536CF4">
        <w:trPr>
          <w:trHeight w:val="284"/>
        </w:trPr>
        <w:tc>
          <w:tcPr>
            <w:tcW w:w="4911" w:type="dxa"/>
          </w:tcPr>
          <w:p w14:paraId="42F8685F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CD709B" w14:paraId="6B6294A7" w14:textId="77777777" w:rsidTr="00536CF4">
        <w:trPr>
          <w:trHeight w:val="284"/>
        </w:trPr>
        <w:tc>
          <w:tcPr>
            <w:tcW w:w="4911" w:type="dxa"/>
          </w:tcPr>
          <w:p w14:paraId="0D2BFBAB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CD709B" w14:paraId="1E08BBBB" w14:textId="77777777" w:rsidTr="00536CF4">
        <w:trPr>
          <w:trHeight w:val="284"/>
        </w:trPr>
        <w:tc>
          <w:tcPr>
            <w:tcW w:w="4911" w:type="dxa"/>
          </w:tcPr>
          <w:p w14:paraId="3FEDBA16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Åklagarenheten</w:t>
            </w:r>
          </w:p>
        </w:tc>
      </w:tr>
      <w:tr w:rsidR="00CD709B" w14:paraId="119DA66E" w14:textId="77777777" w:rsidTr="00536CF4">
        <w:trPr>
          <w:trHeight w:val="284"/>
        </w:trPr>
        <w:tc>
          <w:tcPr>
            <w:tcW w:w="4911" w:type="dxa"/>
          </w:tcPr>
          <w:p w14:paraId="5016B153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CD709B" w14:paraId="5D34D5C7" w14:textId="77777777" w:rsidTr="00536CF4">
        <w:trPr>
          <w:trHeight w:val="284"/>
        </w:trPr>
        <w:tc>
          <w:tcPr>
            <w:tcW w:w="4911" w:type="dxa"/>
          </w:tcPr>
          <w:p w14:paraId="6806854D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CD709B" w14:paraId="6DEA1413" w14:textId="77777777" w:rsidTr="00536CF4">
        <w:trPr>
          <w:trHeight w:val="284"/>
        </w:trPr>
        <w:tc>
          <w:tcPr>
            <w:tcW w:w="4911" w:type="dxa"/>
          </w:tcPr>
          <w:p w14:paraId="4EFA2855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CD709B" w14:paraId="538DC6DE" w14:textId="77777777" w:rsidTr="00536CF4">
        <w:trPr>
          <w:trHeight w:val="284"/>
        </w:trPr>
        <w:tc>
          <w:tcPr>
            <w:tcW w:w="4911" w:type="dxa"/>
          </w:tcPr>
          <w:p w14:paraId="48111CE1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CD709B" w14:paraId="549BF485" w14:textId="77777777" w:rsidTr="00536CF4">
        <w:trPr>
          <w:trHeight w:val="284"/>
        </w:trPr>
        <w:tc>
          <w:tcPr>
            <w:tcW w:w="4911" w:type="dxa"/>
          </w:tcPr>
          <w:p w14:paraId="01131868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CD709B" w14:paraId="70BAFDBE" w14:textId="77777777" w:rsidTr="00536CF4">
        <w:trPr>
          <w:trHeight w:val="284"/>
        </w:trPr>
        <w:tc>
          <w:tcPr>
            <w:tcW w:w="4911" w:type="dxa"/>
          </w:tcPr>
          <w:p w14:paraId="7E0068A2" w14:textId="77777777" w:rsidR="00CD709B" w:rsidRDefault="00CD709B" w:rsidP="00B174FE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</w:tbl>
    <w:p w14:paraId="50A55BA2" w14:textId="77777777" w:rsidR="00CD709B" w:rsidRDefault="00CD709B" w:rsidP="00B174FE">
      <w:pPr>
        <w:framePr w:w="4400" w:h="2523" w:wrap="notBeside" w:vAnchor="page" w:hAnchor="page" w:x="6453" w:y="2445"/>
        <w:ind w:left="142"/>
        <w:jc w:val="both"/>
        <w:rPr>
          <w:b/>
        </w:rPr>
      </w:pPr>
    </w:p>
    <w:p w14:paraId="72B92832" w14:textId="77777777" w:rsidR="00CD709B" w:rsidRDefault="00CD709B" w:rsidP="00B174FE">
      <w:pPr>
        <w:pStyle w:val="RKrubrik"/>
        <w:pBdr>
          <w:bottom w:val="single" w:sz="6" w:space="1" w:color="auto"/>
        </w:pBdr>
        <w:jc w:val="both"/>
      </w:pPr>
      <w:bookmarkStart w:id="1" w:name="bRubrik"/>
      <w:bookmarkEnd w:id="1"/>
      <w:r w:rsidRPr="007911D1">
        <w:t xml:space="preserve">Rådets möte för rättsliga och inrikes frågor (RIF) den </w:t>
      </w:r>
      <w:r>
        <w:t>8</w:t>
      </w:r>
      <w:r w:rsidRPr="007911D1">
        <w:t xml:space="preserve"> och </w:t>
      </w:r>
      <w:r>
        <w:t>9</w:t>
      </w:r>
      <w:r w:rsidRPr="007911D1">
        <w:t xml:space="preserve"> </w:t>
      </w:r>
      <w:r>
        <w:t>december</w:t>
      </w:r>
      <w:r w:rsidRPr="007911D1">
        <w:t xml:space="preserve"> 2016</w:t>
      </w:r>
    </w:p>
    <w:p w14:paraId="4447F7E8" w14:textId="77777777" w:rsidR="00CD709B" w:rsidRDefault="00CD709B" w:rsidP="00B174FE">
      <w:pPr>
        <w:pStyle w:val="RKnormal"/>
        <w:jc w:val="both"/>
      </w:pPr>
    </w:p>
    <w:p w14:paraId="17FE4EC8" w14:textId="77777777" w:rsidR="002F7E5A" w:rsidRPr="002F7E5A" w:rsidRDefault="002F7E5A" w:rsidP="00B174FE">
      <w:pPr>
        <w:pStyle w:val="RKnormal"/>
        <w:jc w:val="both"/>
      </w:pPr>
      <w:r w:rsidRPr="007911D1">
        <w:t xml:space="preserve">Dagordningspunkt </w:t>
      </w:r>
      <w:r w:rsidRPr="002F7E5A">
        <w:t>3</w:t>
      </w:r>
    </w:p>
    <w:p w14:paraId="12211DC9" w14:textId="77777777" w:rsidR="002F7E5A" w:rsidRPr="007911D1" w:rsidRDefault="002F7E5A" w:rsidP="00B174FE">
      <w:pPr>
        <w:pStyle w:val="RKnormal"/>
        <w:jc w:val="both"/>
      </w:pPr>
    </w:p>
    <w:p w14:paraId="1B80544E" w14:textId="77777777" w:rsidR="002F7E5A" w:rsidRPr="007911D1" w:rsidRDefault="002F7E5A" w:rsidP="00B174FE">
      <w:pPr>
        <w:pStyle w:val="RKnormal"/>
        <w:jc w:val="both"/>
      </w:pPr>
      <w:r w:rsidRPr="007911D1">
        <w:t>Förslag till rådets förordning om inrättande av Europeiska åklagarmyn</w:t>
      </w:r>
      <w:r w:rsidRPr="007911D1">
        <w:softHyphen/>
        <w:t xml:space="preserve">digheten </w:t>
      </w:r>
    </w:p>
    <w:p w14:paraId="252EF53A" w14:textId="77777777" w:rsidR="002F7E5A" w:rsidRPr="002F7E5A" w:rsidRDefault="002F7E5A" w:rsidP="00B174FE">
      <w:pPr>
        <w:pStyle w:val="RKnormal"/>
        <w:ind w:left="720"/>
        <w:jc w:val="both"/>
      </w:pPr>
      <w:r w:rsidRPr="002F7E5A">
        <w:t>– A</w:t>
      </w:r>
      <w:r>
        <w:rPr>
          <w:bCs/>
        </w:rPr>
        <w:t>llmän inriktning</w:t>
      </w:r>
    </w:p>
    <w:p w14:paraId="15827117" w14:textId="77777777" w:rsidR="002F7E5A" w:rsidRPr="007911D1" w:rsidRDefault="002F7E5A" w:rsidP="00B174FE">
      <w:pPr>
        <w:pStyle w:val="RKnormal"/>
        <w:jc w:val="both"/>
      </w:pPr>
    </w:p>
    <w:p w14:paraId="4839299D" w14:textId="77777777" w:rsidR="007C7D00" w:rsidRDefault="007C7D00" w:rsidP="00B174FE">
      <w:pPr>
        <w:pStyle w:val="RKnormal"/>
        <w:jc w:val="both"/>
      </w:pPr>
      <w:r w:rsidRPr="007911D1">
        <w:t xml:space="preserve">Dokument: </w:t>
      </w:r>
    </w:p>
    <w:p w14:paraId="53FE56F5" w14:textId="77777777" w:rsidR="007C7D00" w:rsidRPr="00B32041" w:rsidRDefault="007C7D00" w:rsidP="00B174FE">
      <w:pPr>
        <w:pStyle w:val="RKnormal"/>
        <w:jc w:val="both"/>
      </w:pPr>
      <w:r w:rsidRPr="00B32041">
        <w:t>Något dokument har ännu inte</w:t>
      </w:r>
      <w:r w:rsidR="00F4569E" w:rsidRPr="00B32041">
        <w:t xml:space="preserve"> distribuerats.</w:t>
      </w:r>
      <w:r w:rsidRPr="00B32041">
        <w:t xml:space="preserve"> </w:t>
      </w:r>
    </w:p>
    <w:p w14:paraId="5F5AD68F" w14:textId="77777777" w:rsidR="007C7D00" w:rsidRDefault="007C7D00" w:rsidP="00B174FE">
      <w:pPr>
        <w:pStyle w:val="RKnormal"/>
        <w:jc w:val="both"/>
      </w:pPr>
    </w:p>
    <w:p w14:paraId="3AE618D2" w14:textId="77777777" w:rsidR="00CD709B" w:rsidRPr="00F05292" w:rsidRDefault="00CD709B" w:rsidP="00B174FE">
      <w:pPr>
        <w:pStyle w:val="RKnormal"/>
        <w:jc w:val="both"/>
      </w:pPr>
      <w:r w:rsidRPr="00F05292">
        <w:t>Tidigare dokument:</w:t>
      </w:r>
    </w:p>
    <w:p w14:paraId="28530735" w14:textId="77777777" w:rsidR="00CD709B" w:rsidRPr="007911D1" w:rsidRDefault="00CD709B" w:rsidP="00B174FE">
      <w:pPr>
        <w:pStyle w:val="RKnormal"/>
        <w:jc w:val="both"/>
      </w:pPr>
      <w:r w:rsidRPr="007911D1">
        <w:t>– KOM (2013) 534 Förslag till förordning om inrättande av Europeiska åklagarmyndigheten, och</w:t>
      </w:r>
    </w:p>
    <w:p w14:paraId="14484AB5" w14:textId="77777777" w:rsidR="00CD709B" w:rsidRDefault="00CD709B" w:rsidP="00B174FE">
      <w:pPr>
        <w:pStyle w:val="RKnormal"/>
        <w:jc w:val="both"/>
      </w:pPr>
      <w:r w:rsidRPr="007911D1">
        <w:t>– Faktapromemoria 2013/14:FPM10.</w:t>
      </w:r>
    </w:p>
    <w:p w14:paraId="3466BC0D" w14:textId="77777777" w:rsidR="00CD709B" w:rsidRPr="007911D1" w:rsidRDefault="00CD709B" w:rsidP="00B174FE">
      <w:pPr>
        <w:pStyle w:val="RKnormal"/>
        <w:jc w:val="both"/>
      </w:pPr>
    </w:p>
    <w:p w14:paraId="6448FE56" w14:textId="77777777" w:rsidR="00CD709B" w:rsidRPr="00F05292" w:rsidRDefault="00CD709B" w:rsidP="00B174FE">
      <w:pPr>
        <w:tabs>
          <w:tab w:val="left" w:pos="2835"/>
        </w:tabs>
        <w:spacing w:line="240" w:lineRule="atLeast"/>
        <w:jc w:val="both"/>
      </w:pPr>
      <w:r w:rsidRPr="00F05292">
        <w:t xml:space="preserve">Tidigare behandlad vid samråd med EU-nämnden: </w:t>
      </w:r>
    </w:p>
    <w:p w14:paraId="5F520B3F" w14:textId="77777777" w:rsidR="00CD709B" w:rsidRDefault="00CD709B" w:rsidP="00B174FE">
      <w:pPr>
        <w:tabs>
          <w:tab w:val="left" w:pos="2835"/>
        </w:tabs>
        <w:spacing w:line="240" w:lineRule="atLeast"/>
        <w:jc w:val="both"/>
      </w:pPr>
      <w:r w:rsidRPr="00A024BB">
        <w:t>4 oktober 2013, 28 februari 2014, 28 maj 2014, 3 oktober 2014, 6 mars 2015, 12 juni 2015, 2 oktober 2015, 27 november 2015, 4 mars 2016</w:t>
      </w:r>
      <w:r>
        <w:t xml:space="preserve">, </w:t>
      </w:r>
    </w:p>
    <w:p w14:paraId="69866034" w14:textId="77777777" w:rsidR="00CD709B" w:rsidRPr="00A024BB" w:rsidRDefault="00CD709B" w:rsidP="00B174FE">
      <w:pPr>
        <w:tabs>
          <w:tab w:val="left" w:pos="2835"/>
        </w:tabs>
        <w:spacing w:line="240" w:lineRule="atLeast"/>
        <w:jc w:val="both"/>
        <w:rPr>
          <w:i/>
        </w:rPr>
      </w:pPr>
      <w:r>
        <w:t xml:space="preserve">3 juni 2016 och 7 oktober 2016. </w:t>
      </w:r>
    </w:p>
    <w:p w14:paraId="63258F71" w14:textId="77777777" w:rsidR="00CD709B" w:rsidRPr="00A024BB" w:rsidRDefault="00CD709B" w:rsidP="00B174FE">
      <w:pPr>
        <w:tabs>
          <w:tab w:val="left" w:pos="2835"/>
        </w:tabs>
        <w:spacing w:line="240" w:lineRule="atLeast"/>
        <w:jc w:val="both"/>
      </w:pPr>
    </w:p>
    <w:p w14:paraId="32FCD91D" w14:textId="77777777" w:rsidR="00CD709B" w:rsidRPr="00F05292" w:rsidRDefault="00CD709B" w:rsidP="00B174FE">
      <w:pPr>
        <w:tabs>
          <w:tab w:val="left" w:pos="2835"/>
        </w:tabs>
        <w:spacing w:line="240" w:lineRule="atLeast"/>
        <w:jc w:val="both"/>
      </w:pPr>
      <w:r w:rsidRPr="00F05292">
        <w:t>Tidigare behandlad vid överläggning med</w:t>
      </w:r>
      <w:r w:rsidR="00F4569E">
        <w:t>,</w:t>
      </w:r>
      <w:r w:rsidRPr="00F05292">
        <w:t xml:space="preserve"> eller information till</w:t>
      </w:r>
      <w:r w:rsidR="00F4569E">
        <w:t>,</w:t>
      </w:r>
      <w:r w:rsidRPr="00F05292">
        <w:t xml:space="preserve"> riksdags</w:t>
      </w:r>
      <w:r w:rsidRPr="00F05292">
        <w:softHyphen/>
        <w:t xml:space="preserve">utskott: </w:t>
      </w:r>
    </w:p>
    <w:p w14:paraId="2921F911" w14:textId="77777777" w:rsidR="00CD709B" w:rsidRDefault="00CD709B" w:rsidP="00B174FE">
      <w:pPr>
        <w:tabs>
          <w:tab w:val="left" w:pos="2835"/>
        </w:tabs>
        <w:spacing w:line="240" w:lineRule="atLeast"/>
        <w:jc w:val="both"/>
        <w:rPr>
          <w:rFonts w:cs="Arial"/>
        </w:rPr>
      </w:pPr>
      <w:r w:rsidRPr="00A024BB">
        <w:t>14 februari 2013 (info. JuU), 3 oktober 2013 (info. JuU), 27 februari 2014 (info. JuU), 25 mars 2014 (över</w:t>
      </w:r>
      <w:r w:rsidRPr="00A024BB">
        <w:softHyphen/>
        <w:t>lägg</w:t>
      </w:r>
      <w:r w:rsidRPr="00A024BB">
        <w:softHyphen/>
        <w:t>ning JuU), 25 maj 2014 (info. JuU), oktober 2014 (skriftlig in</w:t>
      </w:r>
      <w:r w:rsidRPr="00A024BB">
        <w:softHyphen/>
        <w:t>fo. JuU), 12 februari 2015 (info. JuU), 7 maj 2015 (över</w:t>
      </w:r>
      <w:r w:rsidRPr="00A024BB">
        <w:softHyphen/>
        <w:t xml:space="preserve">läggning JuU), 9 juni 2015 (info. KU), 11 juni 2015 (info. JuU),1 oktober 2015 (info. JuU), </w:t>
      </w:r>
      <w:r w:rsidRPr="00A024BB">
        <w:rPr>
          <w:rFonts w:cs="Arial"/>
        </w:rPr>
        <w:t xml:space="preserve">26 november 2015 (info. JuU), </w:t>
      </w:r>
    </w:p>
    <w:p w14:paraId="175CB840" w14:textId="77777777" w:rsidR="00CD709B" w:rsidRPr="00A024BB" w:rsidRDefault="00CD709B" w:rsidP="00B174FE">
      <w:pPr>
        <w:tabs>
          <w:tab w:val="left" w:pos="2835"/>
        </w:tabs>
        <w:spacing w:line="240" w:lineRule="atLeast"/>
        <w:jc w:val="both"/>
      </w:pPr>
      <w:r w:rsidRPr="00A024BB">
        <w:rPr>
          <w:rFonts w:cs="Arial"/>
        </w:rPr>
        <w:t>2 februari 2016 (info. JuU)</w:t>
      </w:r>
      <w:r>
        <w:rPr>
          <w:rFonts w:cs="Arial"/>
        </w:rPr>
        <w:t xml:space="preserve">, </w:t>
      </w:r>
      <w:r w:rsidRPr="00A024BB">
        <w:rPr>
          <w:rFonts w:cs="Arial"/>
        </w:rPr>
        <w:t>3 mars 2016 (info. JuU)</w:t>
      </w:r>
      <w:r>
        <w:rPr>
          <w:rFonts w:cs="Arial"/>
        </w:rPr>
        <w:t>, 4 oktober 2016 (info. JuU) och 10 november 2016 (överläggning JuU)</w:t>
      </w:r>
      <w:r w:rsidRPr="00A024BB">
        <w:t>.</w:t>
      </w:r>
    </w:p>
    <w:p w14:paraId="5B153621" w14:textId="77777777" w:rsidR="00CD709B" w:rsidRDefault="00CD709B" w:rsidP="00B174FE">
      <w:pPr>
        <w:pStyle w:val="RKrubrik"/>
        <w:jc w:val="both"/>
      </w:pPr>
      <w:r>
        <w:lastRenderedPageBreak/>
        <w:t xml:space="preserve">Bakgrund </w:t>
      </w:r>
    </w:p>
    <w:p w14:paraId="57CA89BF" w14:textId="02916866" w:rsidR="00CD709B" w:rsidRPr="00023952" w:rsidRDefault="00B452E3" w:rsidP="00B174FE">
      <w:pPr>
        <w:pStyle w:val="RKnormal"/>
        <w:jc w:val="both"/>
        <w:rPr>
          <w:szCs w:val="24"/>
        </w:rPr>
      </w:pPr>
      <w:r>
        <w:t>Ordförandeskapet förväntas be m</w:t>
      </w:r>
      <w:r w:rsidR="006014BB">
        <w:t xml:space="preserve">inistrarna att </w:t>
      </w:r>
      <w:r w:rsidR="00CD709B">
        <w:t xml:space="preserve">rösta JA eller NEJ till </w:t>
      </w:r>
      <w:r w:rsidR="006014BB">
        <w:t>förslaget</w:t>
      </w:r>
      <w:r w:rsidR="006014BB" w:rsidRPr="006014BB">
        <w:t xml:space="preserve"> </w:t>
      </w:r>
      <w:r w:rsidR="006014BB">
        <w:t xml:space="preserve">till förordning </w:t>
      </w:r>
      <w:r w:rsidR="006014BB" w:rsidRPr="007911D1">
        <w:t>om inrättande av Europeiska åklagarmyn</w:t>
      </w:r>
      <w:r w:rsidR="006014BB" w:rsidRPr="007911D1">
        <w:softHyphen/>
        <w:t xml:space="preserve">digheten </w:t>
      </w:r>
      <w:r w:rsidR="006014BB">
        <w:t xml:space="preserve">(Eppo). </w:t>
      </w:r>
    </w:p>
    <w:p w14:paraId="10134499" w14:textId="77777777" w:rsidR="00CD709B" w:rsidRDefault="00CD709B" w:rsidP="00B174FE">
      <w:pPr>
        <w:pStyle w:val="RKrubrik"/>
        <w:jc w:val="both"/>
      </w:pPr>
      <w:r>
        <w:t>Rättslig grund och beslutsförfarande</w:t>
      </w:r>
    </w:p>
    <w:p w14:paraId="4E3B5DC0" w14:textId="77777777" w:rsidR="00CD709B" w:rsidRPr="007911D1" w:rsidRDefault="00CD709B" w:rsidP="00B174FE">
      <w:pPr>
        <w:spacing w:line="240" w:lineRule="auto"/>
        <w:jc w:val="both"/>
        <w:rPr>
          <w:rFonts w:cs="Calibri"/>
          <w:szCs w:val="24"/>
        </w:rPr>
      </w:pPr>
      <w:r w:rsidRPr="007911D1">
        <w:rPr>
          <w:rFonts w:cs="Calibri"/>
          <w:szCs w:val="24"/>
        </w:rPr>
        <w:t xml:space="preserve">Enligt artikel 86 i EUF-fördraget kräver inrättandet av Eppo enhällighet i </w:t>
      </w:r>
      <w:r w:rsidRPr="007911D1">
        <w:rPr>
          <w:rFonts w:cs="Calibri"/>
        </w:rPr>
        <w:t>rådet efter Europaparlamentets godkännande. Med enhällighet avses i detta sam</w:t>
      </w:r>
      <w:r w:rsidRPr="007911D1">
        <w:rPr>
          <w:rFonts w:cs="Calibri"/>
        </w:rPr>
        <w:softHyphen/>
        <w:t xml:space="preserve">manhang samtliga medlemsstater förutom Storbritannien, Irland och Danmark. </w:t>
      </w:r>
      <w:r w:rsidRPr="007911D1">
        <w:rPr>
          <w:szCs w:val="24"/>
        </w:rPr>
        <w:t xml:space="preserve">Om någon medlemsstat röstar nej kan frågan hänskjutas till Europeiska rådet. Om enighet inte kan nås där </w:t>
      </w:r>
      <w:r w:rsidRPr="007911D1">
        <w:rPr>
          <w:rFonts w:cs="Calibri"/>
          <w:szCs w:val="24"/>
        </w:rPr>
        <w:t>kan minst nio med</w:t>
      </w:r>
      <w:r w:rsidRPr="007911D1">
        <w:rPr>
          <w:rFonts w:cs="Calibri"/>
          <w:szCs w:val="24"/>
        </w:rPr>
        <w:softHyphen/>
        <w:t>lemsstater inrätta Eppo genom s.k. fördjupat samarbete. Medlemsstater utanför samarbetet har möjlighet att ansluta sig till det i efterhand.</w:t>
      </w:r>
    </w:p>
    <w:p w14:paraId="5688631E" w14:textId="77777777" w:rsidR="00CD709B" w:rsidRDefault="00CD709B" w:rsidP="00B174FE">
      <w:pPr>
        <w:pStyle w:val="RKrubrik"/>
        <w:jc w:val="both"/>
      </w:pPr>
      <w:r>
        <w:t>Svensk ståndpunkt</w:t>
      </w:r>
    </w:p>
    <w:p w14:paraId="494F63F8" w14:textId="77777777" w:rsidR="0011549D" w:rsidRDefault="0011549D" w:rsidP="00B174FE">
      <w:pPr>
        <w:tabs>
          <w:tab w:val="left" w:pos="2835"/>
        </w:tabs>
        <w:spacing w:line="240" w:lineRule="atLeast"/>
        <w:jc w:val="both"/>
        <w:rPr>
          <w:szCs w:val="24"/>
        </w:rPr>
      </w:pPr>
      <w:r>
        <w:rPr>
          <w:rFonts w:cs="Calibri"/>
          <w:szCs w:val="24"/>
        </w:rPr>
        <w:t>R</w:t>
      </w:r>
      <w:r>
        <w:t xml:space="preserve">egeringen </w:t>
      </w:r>
      <w:r w:rsidR="0053646E">
        <w:t xml:space="preserve">föreslår </w:t>
      </w:r>
      <w:r>
        <w:t xml:space="preserve">att Sverige </w:t>
      </w:r>
      <w:r w:rsidRPr="00023952">
        <w:rPr>
          <w:szCs w:val="24"/>
        </w:rPr>
        <w:t>rösta</w:t>
      </w:r>
      <w:r w:rsidR="004978FD">
        <w:rPr>
          <w:szCs w:val="24"/>
        </w:rPr>
        <w:t>r</w:t>
      </w:r>
      <w:r w:rsidRPr="00023952">
        <w:rPr>
          <w:szCs w:val="24"/>
        </w:rPr>
        <w:t xml:space="preserve"> NEJ till </w:t>
      </w:r>
      <w:r>
        <w:rPr>
          <w:szCs w:val="24"/>
        </w:rPr>
        <w:t>förordnings</w:t>
      </w:r>
      <w:r w:rsidRPr="00023952">
        <w:rPr>
          <w:szCs w:val="24"/>
        </w:rPr>
        <w:t>förslaget</w:t>
      </w:r>
      <w:r w:rsidR="006014BB">
        <w:rPr>
          <w:szCs w:val="24"/>
        </w:rPr>
        <w:t>.</w:t>
      </w:r>
      <w:r>
        <w:rPr>
          <w:szCs w:val="24"/>
        </w:rPr>
        <w:t xml:space="preserve"> </w:t>
      </w:r>
    </w:p>
    <w:p w14:paraId="05BAF46B" w14:textId="77777777" w:rsidR="006014BB" w:rsidRDefault="006014BB" w:rsidP="00B174FE">
      <w:pPr>
        <w:tabs>
          <w:tab w:val="left" w:pos="2835"/>
        </w:tabs>
        <w:spacing w:line="240" w:lineRule="atLeast"/>
        <w:jc w:val="both"/>
        <w:rPr>
          <w:szCs w:val="24"/>
        </w:rPr>
      </w:pPr>
    </w:p>
    <w:p w14:paraId="703F5FBF" w14:textId="77777777" w:rsidR="00CD709B" w:rsidRPr="0082490C" w:rsidRDefault="00CD709B" w:rsidP="00B174FE">
      <w:pPr>
        <w:spacing w:line="240" w:lineRule="auto"/>
        <w:jc w:val="both"/>
        <w:rPr>
          <w:rFonts w:cs="Calibri"/>
          <w:szCs w:val="24"/>
        </w:rPr>
      </w:pPr>
      <w:r w:rsidRPr="0082490C">
        <w:rPr>
          <w:rFonts w:cs="Calibri"/>
          <w:szCs w:val="24"/>
        </w:rPr>
        <w:t>Sveriges övergripande inställning till förslaget har genomgående varit att det är av stor vikt att effektivt bekämpa brott mot EU:s finansiella in</w:t>
      </w:r>
      <w:r w:rsidRPr="0082490C">
        <w:rPr>
          <w:rFonts w:cs="Calibri"/>
          <w:szCs w:val="24"/>
        </w:rPr>
        <w:softHyphen/>
        <w:t xml:space="preserve">tressen, men att det finns invändningar mot förslaget. Invändningarna </w:t>
      </w:r>
      <w:r>
        <w:rPr>
          <w:rFonts w:cs="Calibri"/>
          <w:szCs w:val="24"/>
        </w:rPr>
        <w:t>har</w:t>
      </w:r>
      <w:r w:rsidRPr="0082490C">
        <w:rPr>
          <w:rFonts w:cs="Calibri"/>
          <w:szCs w:val="24"/>
        </w:rPr>
        <w:t xml:space="preserve"> främst </w:t>
      </w:r>
      <w:r>
        <w:rPr>
          <w:rFonts w:cs="Calibri"/>
          <w:szCs w:val="24"/>
        </w:rPr>
        <w:t xml:space="preserve">handlat </w:t>
      </w:r>
      <w:r w:rsidRPr="0082490C">
        <w:rPr>
          <w:rFonts w:cs="Calibri"/>
          <w:szCs w:val="24"/>
        </w:rPr>
        <w:t xml:space="preserve">om att förslaget är mycket långtgående eftersom det innebär att medlemsstaterna ska överlåta sin åklagarbehörighet för vissa brott till en europeisk åklagarmyndighet med särskilda befogenheter. Det </w:t>
      </w:r>
      <w:r>
        <w:rPr>
          <w:rFonts w:cs="Calibri"/>
          <w:szCs w:val="24"/>
        </w:rPr>
        <w:t>har</w:t>
      </w:r>
      <w:r w:rsidRPr="0082490C">
        <w:rPr>
          <w:rFonts w:cs="Calibri"/>
          <w:szCs w:val="24"/>
        </w:rPr>
        <w:t xml:space="preserve"> vidare </w:t>
      </w:r>
      <w:r>
        <w:rPr>
          <w:rFonts w:cs="Calibri"/>
          <w:szCs w:val="24"/>
        </w:rPr>
        <w:t xml:space="preserve">sedan kommissionen presenterade sitt ursprungliga förslag </w:t>
      </w:r>
      <w:r w:rsidRPr="0082490C">
        <w:rPr>
          <w:rFonts w:cs="Calibri"/>
          <w:szCs w:val="24"/>
        </w:rPr>
        <w:t>ifrågas</w:t>
      </w:r>
      <w:r>
        <w:rPr>
          <w:rFonts w:cs="Calibri"/>
          <w:szCs w:val="24"/>
        </w:rPr>
        <w:t>atts</w:t>
      </w:r>
      <w:r w:rsidRPr="0082490C">
        <w:rPr>
          <w:rFonts w:cs="Calibri"/>
          <w:szCs w:val="24"/>
        </w:rPr>
        <w:t xml:space="preserve"> om förslaget uppfyller kraven på subsidiaritet och proportionalitet</w:t>
      </w:r>
      <w:r>
        <w:rPr>
          <w:rFonts w:cs="Calibri"/>
          <w:szCs w:val="24"/>
        </w:rPr>
        <w:t xml:space="preserve"> (se </w:t>
      </w:r>
      <w:r w:rsidRPr="007911D1">
        <w:t>Faktapromemoria 2013/14:FPM10</w:t>
      </w:r>
      <w:r>
        <w:t>)</w:t>
      </w:r>
      <w:r w:rsidRPr="0082490C">
        <w:rPr>
          <w:rFonts w:cs="Calibri"/>
          <w:szCs w:val="24"/>
        </w:rPr>
        <w:t xml:space="preserve">. </w:t>
      </w:r>
    </w:p>
    <w:p w14:paraId="4A49090A" w14:textId="77777777" w:rsidR="00CD709B" w:rsidRPr="0082490C" w:rsidRDefault="00CD709B" w:rsidP="00B174FE">
      <w:pPr>
        <w:spacing w:line="240" w:lineRule="auto"/>
        <w:jc w:val="both"/>
        <w:rPr>
          <w:rFonts w:cs="Calibri"/>
          <w:szCs w:val="24"/>
        </w:rPr>
      </w:pPr>
    </w:p>
    <w:p w14:paraId="6EEC98A0" w14:textId="77777777" w:rsidR="00CD709B" w:rsidRDefault="00CD709B" w:rsidP="00B174FE">
      <w:pPr>
        <w:spacing w:line="24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Vid bedömningen av om Sverige bör delta i Eppo-samarbetet kan det inledningsvis konstateras att förhandlingarna i flera avseende har gått i Sveriges riktning. Förordningstexten bedöms exempelvis numera vara förenlig med våra grundlagar</w:t>
      </w:r>
      <w:r w:rsidR="007C7D0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Regleringen bedöms vidare inte stå i strid med några grundläggande straff- eller processrättsliga principer. </w:t>
      </w:r>
    </w:p>
    <w:p w14:paraId="05A823B8" w14:textId="77777777" w:rsidR="00CD709B" w:rsidRDefault="00CD709B" w:rsidP="00B174FE">
      <w:pPr>
        <w:spacing w:line="240" w:lineRule="auto"/>
        <w:jc w:val="both"/>
        <w:rPr>
          <w:rFonts w:cs="Calibri"/>
          <w:szCs w:val="24"/>
        </w:rPr>
      </w:pPr>
    </w:p>
    <w:p w14:paraId="1E6F0B69" w14:textId="741F2E96" w:rsidR="00CD709B" w:rsidRDefault="00B452E3" w:rsidP="00B174FE">
      <w:pPr>
        <w:spacing w:line="24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Trots </w:t>
      </w:r>
      <w:r w:rsidR="00CD709B" w:rsidRPr="00E255D8">
        <w:rPr>
          <w:rFonts w:cs="Calibri"/>
          <w:szCs w:val="24"/>
        </w:rPr>
        <w:t xml:space="preserve">dessa framgångar </w:t>
      </w:r>
      <w:r w:rsidR="00CD709B">
        <w:rPr>
          <w:rFonts w:cs="Calibri"/>
          <w:szCs w:val="24"/>
        </w:rPr>
        <w:t xml:space="preserve">går delar av </w:t>
      </w:r>
      <w:r w:rsidR="00CD709B" w:rsidRPr="00E255D8">
        <w:rPr>
          <w:rFonts w:cs="Calibri"/>
          <w:szCs w:val="24"/>
        </w:rPr>
        <w:t xml:space="preserve">förslaget </w:t>
      </w:r>
      <w:r w:rsidR="00CD709B">
        <w:rPr>
          <w:rFonts w:cs="Calibri"/>
          <w:szCs w:val="24"/>
        </w:rPr>
        <w:t>fortfarande emot</w:t>
      </w:r>
      <w:r w:rsidR="00CD709B" w:rsidRPr="00E255D8">
        <w:rPr>
          <w:rFonts w:cs="Calibri"/>
          <w:szCs w:val="24"/>
        </w:rPr>
        <w:t xml:space="preserve"> Sverige</w:t>
      </w:r>
      <w:r w:rsidR="00CD709B">
        <w:rPr>
          <w:rFonts w:cs="Calibri"/>
          <w:szCs w:val="24"/>
        </w:rPr>
        <w:t xml:space="preserve">s ståndpunkt. </w:t>
      </w:r>
      <w:r w:rsidR="00CD709B" w:rsidRPr="00E255D8">
        <w:rPr>
          <w:rFonts w:cs="Calibri"/>
          <w:szCs w:val="24"/>
        </w:rPr>
        <w:t>Detta gäller framför</w:t>
      </w:r>
      <w:r w:rsidR="00CD709B">
        <w:rPr>
          <w:rFonts w:cs="Calibri"/>
          <w:szCs w:val="24"/>
        </w:rPr>
        <w:t xml:space="preserve"> </w:t>
      </w:r>
      <w:r w:rsidR="00CD709B" w:rsidRPr="00E255D8">
        <w:rPr>
          <w:rFonts w:cs="Calibri"/>
          <w:szCs w:val="24"/>
        </w:rPr>
        <w:t xml:space="preserve">allt </w:t>
      </w:r>
      <w:r w:rsidR="00CD709B">
        <w:rPr>
          <w:rFonts w:cs="Calibri"/>
          <w:szCs w:val="24"/>
        </w:rPr>
        <w:t xml:space="preserve">frågan om </w:t>
      </w:r>
      <w:r w:rsidR="00CD709B" w:rsidRPr="00E255D8">
        <w:rPr>
          <w:rFonts w:cs="Calibri"/>
          <w:szCs w:val="24"/>
        </w:rPr>
        <w:t>den s.k. öppenhetsförordningen</w:t>
      </w:r>
      <w:r w:rsidR="00CD709B">
        <w:rPr>
          <w:rFonts w:cs="Calibri"/>
          <w:szCs w:val="24"/>
        </w:rPr>
        <w:t>s</w:t>
      </w:r>
      <w:r w:rsidR="00CD709B" w:rsidRPr="00E255D8">
        <w:rPr>
          <w:rFonts w:cs="Calibri"/>
          <w:szCs w:val="24"/>
        </w:rPr>
        <w:t xml:space="preserve"> tillämplig</w:t>
      </w:r>
      <w:r w:rsidR="00CD709B">
        <w:rPr>
          <w:rFonts w:cs="Calibri"/>
          <w:szCs w:val="24"/>
        </w:rPr>
        <w:t xml:space="preserve">het på Eppos verksamhet. </w:t>
      </w:r>
      <w:r>
        <w:rPr>
          <w:rFonts w:cs="Calibri"/>
          <w:szCs w:val="24"/>
        </w:rPr>
        <w:t>Såsom den aktuella bestämm</w:t>
      </w:r>
      <w:r w:rsidR="00EE2401">
        <w:rPr>
          <w:rFonts w:cs="Calibri"/>
          <w:szCs w:val="24"/>
        </w:rPr>
        <w:t xml:space="preserve">elsen ser ut i dagsläget så ska </w:t>
      </w:r>
      <w:r>
        <w:rPr>
          <w:rFonts w:cs="Calibri"/>
          <w:szCs w:val="24"/>
        </w:rPr>
        <w:t>ö</w:t>
      </w:r>
      <w:r w:rsidR="00CD709B">
        <w:rPr>
          <w:rFonts w:cs="Calibri"/>
          <w:szCs w:val="24"/>
        </w:rPr>
        <w:t>ppenhetsförordningen endast vara tillämplig</w:t>
      </w:r>
      <w:r w:rsidR="00B174FE">
        <w:rPr>
          <w:rFonts w:cs="Calibri"/>
          <w:szCs w:val="24"/>
        </w:rPr>
        <w:t xml:space="preserve"> på delar av Eppos verksamhet, </w:t>
      </w:r>
      <w:r w:rsidR="00CD709B" w:rsidRPr="00E255D8">
        <w:rPr>
          <w:rFonts w:cs="Calibri"/>
          <w:szCs w:val="24"/>
        </w:rPr>
        <w:t>något s</w:t>
      </w:r>
      <w:r w:rsidR="00CD709B">
        <w:rPr>
          <w:rFonts w:cs="Calibri"/>
          <w:szCs w:val="24"/>
        </w:rPr>
        <w:t xml:space="preserve">om </w:t>
      </w:r>
      <w:r w:rsidR="000563CA">
        <w:rPr>
          <w:rFonts w:cs="Calibri"/>
          <w:szCs w:val="24"/>
        </w:rPr>
        <w:t xml:space="preserve">Sverige </w:t>
      </w:r>
      <w:r w:rsidR="00CD709B">
        <w:rPr>
          <w:rFonts w:cs="Calibri"/>
          <w:szCs w:val="24"/>
        </w:rPr>
        <w:t>reserverat sig emot</w:t>
      </w:r>
      <w:r w:rsidR="00CD709B" w:rsidRPr="00E255D8">
        <w:rPr>
          <w:rFonts w:cs="Calibri"/>
          <w:szCs w:val="24"/>
        </w:rPr>
        <w:t>.</w:t>
      </w:r>
      <w:r w:rsidR="00441B74">
        <w:rPr>
          <w:rFonts w:cs="Calibri"/>
          <w:szCs w:val="24"/>
        </w:rPr>
        <w:t xml:space="preserve"> Sverige, tillsammans med några andra stater och kommissionen, menar att öppenhetsförordningen bör vara tillämplig på hela Eppos verksamhet. </w:t>
      </w:r>
    </w:p>
    <w:p w14:paraId="25156C26" w14:textId="77777777" w:rsidR="00CD709B" w:rsidRDefault="00CD709B" w:rsidP="00B174FE">
      <w:pPr>
        <w:tabs>
          <w:tab w:val="left" w:pos="2835"/>
        </w:tabs>
        <w:spacing w:line="240" w:lineRule="atLeast"/>
        <w:jc w:val="both"/>
      </w:pPr>
    </w:p>
    <w:p w14:paraId="41E2BFB4" w14:textId="77777777" w:rsidR="00CD709B" w:rsidRDefault="00CD709B" w:rsidP="00B174FE">
      <w:pPr>
        <w:tabs>
          <w:tab w:val="left" w:pos="2835"/>
        </w:tabs>
        <w:spacing w:line="240" w:lineRule="atLeast"/>
        <w:jc w:val="both"/>
        <w:rPr>
          <w:szCs w:val="24"/>
        </w:rPr>
      </w:pPr>
      <w:r>
        <w:t>Utöver förslagets rättsliga aspekter kan man utifrån ett verksamhets- och nyttoperspektiv ifrågasätta om det finns ett tillräckligt stort mervärde</w:t>
      </w:r>
      <w:r w:rsidRPr="003F3240">
        <w:t xml:space="preserve"> för Sverige att </w:t>
      </w:r>
      <w:r>
        <w:t xml:space="preserve">för närvarande </w:t>
      </w:r>
      <w:r w:rsidRPr="003F3240">
        <w:t xml:space="preserve">delta i Eppo-samarbetet. </w:t>
      </w:r>
      <w:r w:rsidRPr="003F3240">
        <w:lastRenderedPageBreak/>
        <w:t>Utredning och lagföring av denna typ av brott</w:t>
      </w:r>
      <w:r>
        <w:t>slighet fungerar väl i Sverige i dag</w:t>
      </w:r>
      <w:r w:rsidRPr="003F3240">
        <w:t xml:space="preserve">. </w:t>
      </w:r>
      <w:r>
        <w:t xml:space="preserve">Denna uppfattning delas av de berörda myndigheterna, Ekobrottsmyndigheten och Åklagarmyndigheten. </w:t>
      </w:r>
      <w:r w:rsidRPr="003F3240">
        <w:t xml:space="preserve">Vidare bedöms förslaget </w:t>
      </w:r>
      <w:r>
        <w:t xml:space="preserve">vara fortsatt </w:t>
      </w:r>
      <w:r w:rsidRPr="003F3240">
        <w:t xml:space="preserve">tveksamt ur ett subsidiaritets- och proportionalitetsperspektiv. Det går </w:t>
      </w:r>
      <w:r w:rsidRPr="003F3240">
        <w:rPr>
          <w:szCs w:val="24"/>
        </w:rPr>
        <w:t xml:space="preserve">inte att sluta sig till att de mål kommissionen vill uppnå med förordningen, inte kan uppnås genom åtgärder på </w:t>
      </w:r>
      <w:r>
        <w:rPr>
          <w:szCs w:val="24"/>
        </w:rPr>
        <w:t xml:space="preserve">ett </w:t>
      </w:r>
      <w:r w:rsidRPr="003F3240">
        <w:rPr>
          <w:szCs w:val="24"/>
        </w:rPr>
        <w:t>nationellt plan eller genom mindre ingripande åtgärder på EU-rättslig</w:t>
      </w:r>
      <w:r w:rsidR="00B452E3">
        <w:rPr>
          <w:szCs w:val="24"/>
        </w:rPr>
        <w:t xml:space="preserve"> nivå</w:t>
      </w:r>
      <w:r w:rsidRPr="003F3240">
        <w:rPr>
          <w:szCs w:val="24"/>
        </w:rPr>
        <w:t xml:space="preserve"> än att inrätta en överstatlig åklagarmyndighet. </w:t>
      </w:r>
      <w:r>
        <w:rPr>
          <w:szCs w:val="24"/>
        </w:rPr>
        <w:t>Dessutom kan Eurojust vid behov redan i dag erbjuda stöd åt medlemsstaterna</w:t>
      </w:r>
      <w:r w:rsidRPr="003F3240">
        <w:rPr>
          <w:szCs w:val="24"/>
        </w:rPr>
        <w:t xml:space="preserve"> vid gränsöverskridande dimensioner </w:t>
      </w:r>
      <w:r>
        <w:rPr>
          <w:szCs w:val="24"/>
        </w:rPr>
        <w:t>av</w:t>
      </w:r>
      <w:r w:rsidRPr="003F3240">
        <w:rPr>
          <w:szCs w:val="24"/>
        </w:rPr>
        <w:t xml:space="preserve"> denna typ av brott</w:t>
      </w:r>
      <w:r>
        <w:rPr>
          <w:szCs w:val="24"/>
        </w:rPr>
        <w:t>slighet</w:t>
      </w:r>
      <w:r w:rsidRPr="003F3240">
        <w:rPr>
          <w:szCs w:val="24"/>
        </w:rPr>
        <w:t xml:space="preserve">. </w:t>
      </w:r>
    </w:p>
    <w:p w14:paraId="32E12453" w14:textId="77777777" w:rsidR="00A05EA5" w:rsidRDefault="00A05EA5" w:rsidP="00B174FE">
      <w:pPr>
        <w:tabs>
          <w:tab w:val="left" w:pos="2835"/>
        </w:tabs>
        <w:spacing w:line="240" w:lineRule="atLeast"/>
        <w:jc w:val="both"/>
        <w:rPr>
          <w:szCs w:val="24"/>
        </w:rPr>
      </w:pPr>
    </w:p>
    <w:p w14:paraId="023B4605" w14:textId="4BC6F007" w:rsidR="004978FD" w:rsidRPr="00023952" w:rsidRDefault="00A05EA5" w:rsidP="00A05EA5">
      <w:pPr>
        <w:tabs>
          <w:tab w:val="left" w:pos="2835"/>
        </w:tabs>
        <w:spacing w:line="240" w:lineRule="atLeast"/>
        <w:jc w:val="both"/>
        <w:rPr>
          <w:szCs w:val="24"/>
        </w:rPr>
      </w:pPr>
      <w:r>
        <w:rPr>
          <w:szCs w:val="24"/>
        </w:rPr>
        <w:t>Ett svenskt NEJ till förslaget innebär inte att Sverige motsätter sig själva inrättandet av Eppo</w:t>
      </w:r>
      <w:r w:rsidR="003C4235">
        <w:rPr>
          <w:szCs w:val="24"/>
        </w:rPr>
        <w:t xml:space="preserve">. </w:t>
      </w:r>
      <w:r w:rsidR="00B174FE" w:rsidRPr="007911D1">
        <w:rPr>
          <w:rFonts w:cs="Calibri"/>
          <w:szCs w:val="24"/>
        </w:rPr>
        <w:t xml:space="preserve">Medlemsstater </w:t>
      </w:r>
      <w:r w:rsidR="00B174FE">
        <w:rPr>
          <w:rFonts w:cs="Calibri"/>
          <w:szCs w:val="24"/>
        </w:rPr>
        <w:t xml:space="preserve">som väljer att stå </w:t>
      </w:r>
      <w:r w:rsidR="00B174FE" w:rsidRPr="007911D1">
        <w:rPr>
          <w:rFonts w:cs="Calibri"/>
          <w:szCs w:val="24"/>
        </w:rPr>
        <w:t xml:space="preserve">utanför </w:t>
      </w:r>
      <w:r w:rsidR="00B174FE">
        <w:rPr>
          <w:rFonts w:cs="Calibri"/>
          <w:szCs w:val="24"/>
        </w:rPr>
        <w:t>Eppo-</w:t>
      </w:r>
      <w:r w:rsidR="00B174FE" w:rsidRPr="007911D1">
        <w:rPr>
          <w:rFonts w:cs="Calibri"/>
          <w:szCs w:val="24"/>
        </w:rPr>
        <w:t>samarbetet har möjlighet att ansluta sig till det i efterhand.</w:t>
      </w:r>
      <w:r w:rsidR="00B174FE">
        <w:rPr>
          <w:rFonts w:cs="Calibri"/>
          <w:szCs w:val="24"/>
        </w:rPr>
        <w:t xml:space="preserve"> </w:t>
      </w:r>
      <w:r w:rsidR="004978FD">
        <w:rPr>
          <w:szCs w:val="24"/>
        </w:rPr>
        <w:t>Regeringen utesluter inte att ett svenskt deltagande kan bli aktuellt längre fram i tiden om fö</w:t>
      </w:r>
      <w:r w:rsidR="00B32041">
        <w:rPr>
          <w:szCs w:val="24"/>
        </w:rPr>
        <w:t xml:space="preserve">rutsättningarna skulle ändras. </w:t>
      </w:r>
    </w:p>
    <w:p w14:paraId="36F9D455" w14:textId="77777777" w:rsidR="00CD709B" w:rsidRPr="00A528D8" w:rsidRDefault="00CD709B" w:rsidP="00B174FE">
      <w:pPr>
        <w:keepNext/>
        <w:tabs>
          <w:tab w:val="left" w:pos="1134"/>
          <w:tab w:val="left" w:pos="2835"/>
        </w:tabs>
        <w:spacing w:before="360" w:after="120" w:line="240" w:lineRule="atLeast"/>
        <w:jc w:val="both"/>
        <w:rPr>
          <w:rFonts w:ascii="TradeGothic" w:hAnsi="TradeGothic"/>
          <w:b/>
          <w:sz w:val="22"/>
        </w:rPr>
      </w:pPr>
      <w:r w:rsidRPr="00A528D8">
        <w:rPr>
          <w:rFonts w:ascii="TradeGothic" w:hAnsi="TradeGothic"/>
          <w:b/>
          <w:sz w:val="22"/>
        </w:rPr>
        <w:t>Europaparlamentets inställning</w:t>
      </w:r>
    </w:p>
    <w:p w14:paraId="2953824C" w14:textId="77777777" w:rsidR="00CD709B" w:rsidRPr="00A528D8" w:rsidRDefault="00CD709B" w:rsidP="00B174FE">
      <w:pPr>
        <w:tabs>
          <w:tab w:val="left" w:pos="2835"/>
        </w:tabs>
        <w:spacing w:line="240" w:lineRule="atLeast"/>
        <w:jc w:val="both"/>
      </w:pPr>
      <w:r w:rsidRPr="00A528D8">
        <w:rPr>
          <w:bCs/>
        </w:rPr>
        <w:t>Europaparlamentet har antagit två resolutioner om Eppo, den 12 mars 2014 och den 29 april 2015</w:t>
      </w:r>
      <w:r w:rsidRPr="00A528D8">
        <w:t>. Europaparlamentet har särskilt pekat på att stora summor ur EU:s budget beräknas försvinna genom bedrägerier, att mycket få brott mot EU:s finansiella intressen blir föremål för lagföring och att de europeiska skattebetalarnas intressen måste skyddas i samtliga medlemsstater. Eppo skulle enligt Europaparlamentet kunna ge ett särskilt mer</w:t>
      </w:r>
      <w:r w:rsidRPr="00A528D8">
        <w:softHyphen/>
        <w:t>värde om alla medlemsstater deltar. Europaparlamentet har även syn</w:t>
      </w:r>
      <w:r w:rsidRPr="00A528D8">
        <w:softHyphen/>
        <w:t>punkter på vissa bestämmelser i sak, bl.a. värnas Eppo:s självständighet.</w:t>
      </w:r>
    </w:p>
    <w:p w14:paraId="03BA57AF" w14:textId="77777777" w:rsidR="00CD709B" w:rsidRPr="00B174FE" w:rsidRDefault="00CD709B" w:rsidP="00B174FE">
      <w:pPr>
        <w:pStyle w:val="Rubrik2"/>
        <w:numPr>
          <w:ilvl w:val="0"/>
          <w:numId w:val="0"/>
        </w:numPr>
        <w:jc w:val="both"/>
        <w:rPr>
          <w:rFonts w:ascii="TradeGothic" w:hAnsi="TradeGothic"/>
        </w:rPr>
      </w:pPr>
      <w:r w:rsidRPr="00B174FE">
        <w:rPr>
          <w:rFonts w:ascii="TradeGothic" w:hAnsi="TradeGothic"/>
        </w:rPr>
        <w:t>Förslaget</w:t>
      </w:r>
    </w:p>
    <w:p w14:paraId="1EC27F49" w14:textId="2136D9BA" w:rsidR="00CD709B" w:rsidRPr="00CE7884" w:rsidRDefault="00CD709B" w:rsidP="00B174FE">
      <w:pPr>
        <w:jc w:val="both"/>
      </w:pPr>
      <w:r w:rsidRPr="007911D1">
        <w:rPr>
          <w:szCs w:val="24"/>
        </w:rPr>
        <w:t>Eppo ska ha primär behörighet, framför medlemsstaterna, att utreda och lagföra brott mot EU:s finansiella intressen. Vilka dessa brott är definieras i ett direktiv som också förhandlas just nu</w:t>
      </w:r>
      <w:r>
        <w:rPr>
          <w:szCs w:val="24"/>
        </w:rPr>
        <w:t xml:space="preserve"> </w:t>
      </w:r>
      <w:r w:rsidRPr="007911D1">
        <w:rPr>
          <w:szCs w:val="24"/>
        </w:rPr>
        <w:t xml:space="preserve">(det s.k. SEFI-direktivet, eller ”PIF-direktivet”). Det handlar bl.a. </w:t>
      </w:r>
      <w:r w:rsidRPr="00983969">
        <w:t xml:space="preserve">om bedrägeri, penningtvätt, förskingring, mutbrott och </w:t>
      </w:r>
      <w:r w:rsidR="008506A3">
        <w:t xml:space="preserve">möjligen </w:t>
      </w:r>
      <w:r w:rsidR="007C7D00">
        <w:t>även</w:t>
      </w:r>
      <w:r w:rsidRPr="00983969">
        <w:t xml:space="preserve"> vissa </w:t>
      </w:r>
      <w:r>
        <w:t xml:space="preserve">allvarligare </w:t>
      </w:r>
      <w:r w:rsidRPr="00983969">
        <w:t>former av momsbedrägerier</w:t>
      </w:r>
      <w:r>
        <w:t>, där</w:t>
      </w:r>
      <w:r>
        <w:rPr>
          <w:color w:val="1F497D"/>
        </w:rPr>
        <w:t xml:space="preserve"> </w:t>
      </w:r>
      <w:r w:rsidRPr="00CE7884">
        <w:t>effekt</w:t>
      </w:r>
      <w:r w:rsidR="00496B9B">
        <w:t xml:space="preserve">en av brotten påverkar EU:s </w:t>
      </w:r>
      <w:r w:rsidRPr="00CE7884">
        <w:t>budget.</w:t>
      </w:r>
    </w:p>
    <w:p w14:paraId="2699DB87" w14:textId="77777777" w:rsidR="00CD709B" w:rsidRPr="007911D1" w:rsidRDefault="00CD709B" w:rsidP="00B174FE">
      <w:pPr>
        <w:tabs>
          <w:tab w:val="left" w:pos="2835"/>
        </w:tabs>
        <w:spacing w:line="240" w:lineRule="atLeast"/>
        <w:jc w:val="both"/>
        <w:rPr>
          <w:szCs w:val="24"/>
        </w:rPr>
      </w:pPr>
    </w:p>
    <w:p w14:paraId="778792DF" w14:textId="77777777" w:rsidR="00CD709B" w:rsidRPr="007911D1" w:rsidRDefault="00CD709B" w:rsidP="00B174FE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  <w:r w:rsidRPr="007911D1">
        <w:rPr>
          <w:szCs w:val="24"/>
        </w:rPr>
        <w:t>Eppo ska vara en självständig EU-myn</w:t>
      </w:r>
      <w:r w:rsidRPr="007911D1">
        <w:rPr>
          <w:szCs w:val="24"/>
        </w:rPr>
        <w:softHyphen/>
        <w:t>dighet med ett centralt huvudkontor och med lokal närvaro i medlemsstaterna genom s.k. dele</w:t>
      </w:r>
      <w:r w:rsidRPr="007911D1">
        <w:rPr>
          <w:szCs w:val="24"/>
        </w:rPr>
        <w:softHyphen/>
        <w:t>gerade åklagare. Den centrala delen ska bestå av en chefsåklagare, biträ</w:t>
      </w:r>
      <w:r w:rsidRPr="007911D1">
        <w:rPr>
          <w:szCs w:val="24"/>
        </w:rPr>
        <w:softHyphen/>
        <w:t xml:space="preserve">dande chefsåklagare och europeiska åklagare, vilka utses av Europaparlamentet och rådet. </w:t>
      </w:r>
      <w:r w:rsidRPr="007911D1">
        <w:rPr>
          <w:szCs w:val="24"/>
          <w:lang w:eastAsia="sv-SE"/>
        </w:rPr>
        <w:t>Därutöver ska det finnas minst två delegerade åklagare i varje medlemsstat, vilka utses av den europeiska åklagaren efter förslag från medlemsstaterna. De delegerade åklagarna ska vara integrerade i medlems</w:t>
      </w:r>
      <w:r w:rsidRPr="007911D1">
        <w:rPr>
          <w:szCs w:val="24"/>
          <w:lang w:eastAsia="sv-SE"/>
        </w:rPr>
        <w:softHyphen/>
        <w:t xml:space="preserve">staternas åklagarväsenden och </w:t>
      </w:r>
      <w:r>
        <w:rPr>
          <w:szCs w:val="24"/>
          <w:lang w:eastAsia="sv-SE"/>
        </w:rPr>
        <w:t xml:space="preserve">får </w:t>
      </w:r>
      <w:r w:rsidRPr="007911D1">
        <w:rPr>
          <w:szCs w:val="24"/>
          <w:lang w:eastAsia="sv-SE"/>
        </w:rPr>
        <w:t xml:space="preserve">ha dubbla funktioner. Detta innebär att </w:t>
      </w:r>
      <w:r>
        <w:rPr>
          <w:szCs w:val="24"/>
          <w:lang w:eastAsia="sv-SE"/>
        </w:rPr>
        <w:t xml:space="preserve">det är möjligt för dem att dels </w:t>
      </w:r>
      <w:r w:rsidRPr="007911D1">
        <w:rPr>
          <w:szCs w:val="24"/>
          <w:lang w:eastAsia="sv-SE"/>
        </w:rPr>
        <w:t xml:space="preserve">kunna arbeta som svenska åklagare med nationella ärenden, dels som delegerade åklagare med Eppo-ärenden. När de hanterar den senare typen av ärenden ingår de i den europeiska åklagarmyndigheten och står helt under Eppos ledning och styrning. </w:t>
      </w:r>
    </w:p>
    <w:p w14:paraId="271A6422" w14:textId="77777777" w:rsidR="00CD709B" w:rsidRPr="007911D1" w:rsidRDefault="00CD709B" w:rsidP="00B174FE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</w:p>
    <w:p w14:paraId="3A802E37" w14:textId="77777777" w:rsidR="00CD709B" w:rsidRPr="007911D1" w:rsidRDefault="00CD709B" w:rsidP="00B174FE">
      <w:pPr>
        <w:tabs>
          <w:tab w:val="left" w:pos="2835"/>
        </w:tabs>
        <w:spacing w:line="240" w:lineRule="atLeast"/>
        <w:jc w:val="both"/>
        <w:rPr>
          <w:szCs w:val="24"/>
          <w:lang w:eastAsia="sv-SE"/>
        </w:rPr>
      </w:pPr>
      <w:r w:rsidRPr="007911D1">
        <w:rPr>
          <w:szCs w:val="24"/>
          <w:lang w:eastAsia="sv-SE"/>
        </w:rPr>
        <w:t>Beslut som fattas av Eppo ska som huvudregel prövas av nationella domstolar i enlighet med nationell rätt i den medlemsstat där ett ärende handläggs av en delegerad åklagare. Åtal ska vidare som huvudregel väckas av en delegerad åklagare i den medlemsstat där ett ärende handläggs. Under förundersökningen ska de delegerade åklagarna ha samma rättigheter att anlita nationella myndigheter för olika utrednings</w:t>
      </w:r>
      <w:r w:rsidRPr="007911D1">
        <w:rPr>
          <w:szCs w:val="24"/>
          <w:lang w:eastAsia="sv-SE"/>
        </w:rPr>
        <w:softHyphen/>
        <w:t xml:space="preserve">åtgärder som en nationell åklagare.  EU-domstolen föreslås få överprövningsrätt avseende vissa beslut. Ett nära samarbete ska upprättas mellan Eppo och Eurojust. </w:t>
      </w:r>
    </w:p>
    <w:p w14:paraId="6279C0DB" w14:textId="77777777" w:rsidR="00CD709B" w:rsidRPr="007911D1" w:rsidRDefault="00CD709B" w:rsidP="00B174FE">
      <w:pPr>
        <w:pStyle w:val="RKrubrik"/>
        <w:jc w:val="both"/>
        <w:rPr>
          <w:iCs/>
        </w:rPr>
      </w:pPr>
      <w:r w:rsidRPr="007911D1">
        <w:rPr>
          <w:iCs/>
        </w:rPr>
        <w:t>Gällande svenska regler och förslagets effekter på dessa</w:t>
      </w:r>
    </w:p>
    <w:p w14:paraId="73E87955" w14:textId="77777777" w:rsidR="00CD709B" w:rsidRPr="007911D1" w:rsidRDefault="00CD709B" w:rsidP="00B174FE">
      <w:pPr>
        <w:pStyle w:val="RKnormal"/>
        <w:jc w:val="both"/>
        <w:rPr>
          <w:szCs w:val="24"/>
        </w:rPr>
      </w:pPr>
      <w:r>
        <w:rPr>
          <w:szCs w:val="24"/>
        </w:rPr>
        <w:t>Om Sverige skulle rösta ja till f</w:t>
      </w:r>
      <w:r w:rsidRPr="007911D1">
        <w:rPr>
          <w:szCs w:val="24"/>
        </w:rPr>
        <w:t xml:space="preserve">örordningen blir </w:t>
      </w:r>
      <w:r>
        <w:rPr>
          <w:szCs w:val="24"/>
        </w:rPr>
        <w:t xml:space="preserve">den </w:t>
      </w:r>
      <w:r w:rsidRPr="007911D1">
        <w:rPr>
          <w:szCs w:val="24"/>
        </w:rPr>
        <w:t>direkt tillämplig i Sverige</w:t>
      </w:r>
      <w:r>
        <w:rPr>
          <w:szCs w:val="24"/>
        </w:rPr>
        <w:t xml:space="preserve">. Trots detta skulle det sannolikt </w:t>
      </w:r>
      <w:r>
        <w:t xml:space="preserve">behövas lagändringar, detta </w:t>
      </w:r>
      <w:r w:rsidRPr="007911D1">
        <w:t>dels för att reglera de delegerade åklagar</w:t>
      </w:r>
      <w:r w:rsidRPr="007911D1">
        <w:softHyphen/>
        <w:t>nas roll och ge europeiska åklagare samma befogenheter som andra åkla</w:t>
      </w:r>
      <w:r w:rsidRPr="007911D1">
        <w:softHyphen/>
        <w:t xml:space="preserve">gare i Sverige, dels för att undanta de delegerade åklagarna från vissa regler när de utför uppgifter åt Eppo. </w:t>
      </w:r>
      <w:r w:rsidRPr="007911D1">
        <w:rPr>
          <w:szCs w:val="24"/>
        </w:rPr>
        <w:t xml:space="preserve">Lagändringar </w:t>
      </w:r>
      <w:r>
        <w:rPr>
          <w:szCs w:val="24"/>
        </w:rPr>
        <w:t>skulle även</w:t>
      </w:r>
      <w:r w:rsidRPr="007911D1">
        <w:rPr>
          <w:szCs w:val="24"/>
        </w:rPr>
        <w:t xml:space="preserve"> sannolikt att behövas i bl.a. brottsbalken, rättegångsbalken, offentlighets- och sekretesslagen samt lagarna om JO:s och JK:s tillsyn. </w:t>
      </w:r>
    </w:p>
    <w:p w14:paraId="3883A1AC" w14:textId="77777777" w:rsidR="00CD709B" w:rsidRPr="00A528D8" w:rsidRDefault="00CD709B" w:rsidP="00B174FE">
      <w:pPr>
        <w:keepNext/>
        <w:tabs>
          <w:tab w:val="left" w:pos="1134"/>
          <w:tab w:val="left" w:pos="2835"/>
        </w:tabs>
        <w:spacing w:before="360" w:after="120" w:line="240" w:lineRule="atLeast"/>
        <w:jc w:val="both"/>
        <w:rPr>
          <w:rFonts w:ascii="TradeGothic" w:hAnsi="TradeGothic"/>
          <w:b/>
          <w:sz w:val="22"/>
        </w:rPr>
      </w:pPr>
      <w:r w:rsidRPr="00A528D8">
        <w:rPr>
          <w:rFonts w:ascii="TradeGothic" w:hAnsi="TradeGothic"/>
          <w:b/>
          <w:sz w:val="22"/>
        </w:rPr>
        <w:t>Ekonomiska konsekvenser</w:t>
      </w:r>
    </w:p>
    <w:p w14:paraId="2CDE1DA0" w14:textId="77777777" w:rsidR="00CD709B" w:rsidRPr="00A528D8" w:rsidRDefault="00CD709B" w:rsidP="00B174FE">
      <w:pPr>
        <w:tabs>
          <w:tab w:val="left" w:pos="2835"/>
        </w:tabs>
        <w:spacing w:line="240" w:lineRule="atLeast"/>
        <w:jc w:val="both"/>
      </w:pPr>
      <w:r w:rsidRPr="00A528D8">
        <w:t>I dag är det inte möjligt att bedöma alla konsekvenser av förslaget för EU:s budget och Sveriges budget. Sverige har sedan EU-inträdet i egen</w:t>
      </w:r>
      <w:r w:rsidRPr="00A528D8">
        <w:softHyphen/>
        <w:t>skap av nettobetalare arbetat för en effektiv och återhållsam EU-budget</w:t>
      </w:r>
      <w:r w:rsidRPr="00A528D8">
        <w:softHyphen/>
        <w:t>politik och prioriterat frågor som rör uppföljning och kontroll av EU-medel. Utgångspunkten är att förslagets budgetkonsekvenser ska finan</w:t>
      </w:r>
      <w:r w:rsidRPr="00A528D8">
        <w:softHyphen/>
        <w:t>sieras genom omprioriteringar inom befintliga ramar.</w:t>
      </w:r>
    </w:p>
    <w:p w14:paraId="60234A4E" w14:textId="77777777" w:rsidR="00CD709B" w:rsidRPr="00A528D8" w:rsidRDefault="00CD709B" w:rsidP="00B174FE">
      <w:pPr>
        <w:tabs>
          <w:tab w:val="left" w:pos="2835"/>
        </w:tabs>
        <w:spacing w:line="240" w:lineRule="atLeast"/>
        <w:jc w:val="both"/>
      </w:pPr>
    </w:p>
    <w:p w14:paraId="44E6819B" w14:textId="77777777" w:rsidR="00CD709B" w:rsidRDefault="00CD709B" w:rsidP="00B174FE">
      <w:pPr>
        <w:jc w:val="both"/>
      </w:pPr>
      <w:r w:rsidRPr="00A528D8">
        <w:rPr>
          <w:bCs/>
        </w:rPr>
        <w:t>Kommissionen har tidigare beräknat att kostnaden för Eppo under peri</w:t>
      </w:r>
      <w:r w:rsidRPr="00A528D8">
        <w:rPr>
          <w:bCs/>
        </w:rPr>
        <w:softHyphen/>
        <w:t>oden 2017–2020 kommer att uppgå till 37,7 miljoner euro. Kommissio</w:t>
      </w:r>
      <w:r w:rsidRPr="00A528D8">
        <w:rPr>
          <w:bCs/>
        </w:rPr>
        <w:softHyphen/>
        <w:t xml:space="preserve">nen har </w:t>
      </w:r>
      <w:r>
        <w:rPr>
          <w:bCs/>
        </w:rPr>
        <w:t>nyligen</w:t>
      </w:r>
      <w:r w:rsidRPr="00A528D8">
        <w:rPr>
          <w:bCs/>
        </w:rPr>
        <w:t xml:space="preserve"> presenterat en ny kostnadsberäkning där den beräknade kostnaden för Eppo under perioden 2017-2020 kommer att uppgå till ca 36 miljoner euro.</w:t>
      </w:r>
    </w:p>
    <w:p w14:paraId="5A06E708" w14:textId="77777777" w:rsidR="00CD709B" w:rsidRDefault="00CD709B" w:rsidP="00B174FE">
      <w:pPr>
        <w:pStyle w:val="RKnormal"/>
        <w:jc w:val="both"/>
      </w:pPr>
    </w:p>
    <w:p w14:paraId="55DA01EF" w14:textId="77777777" w:rsidR="00CD709B" w:rsidRDefault="00CD709B" w:rsidP="00B174FE">
      <w:pPr>
        <w:pStyle w:val="RKnormal"/>
        <w:jc w:val="both"/>
        <w:rPr>
          <w:i/>
          <w:iCs/>
        </w:rPr>
      </w:pPr>
    </w:p>
    <w:p w14:paraId="27891A79" w14:textId="77777777" w:rsidR="00CD709B" w:rsidRDefault="00CD709B" w:rsidP="00B174FE">
      <w:pPr>
        <w:pStyle w:val="RKnormal"/>
        <w:ind w:left="-1134"/>
        <w:jc w:val="both"/>
      </w:pPr>
    </w:p>
    <w:p w14:paraId="51C955F8" w14:textId="77777777" w:rsidR="00CD709B" w:rsidRDefault="00CD709B" w:rsidP="00B174FE">
      <w:pPr>
        <w:pStyle w:val="RKrubrik"/>
        <w:spacing w:before="0" w:after="0"/>
        <w:jc w:val="both"/>
      </w:pPr>
    </w:p>
    <w:p w14:paraId="33F3E5E8" w14:textId="77777777" w:rsidR="00CD709B" w:rsidRDefault="00CD709B" w:rsidP="00B174FE">
      <w:pPr>
        <w:pStyle w:val="RKnormal"/>
        <w:jc w:val="both"/>
      </w:pPr>
    </w:p>
    <w:p w14:paraId="2EC7D4D1" w14:textId="77777777" w:rsidR="00CD709B" w:rsidRDefault="00CD709B" w:rsidP="00B174FE">
      <w:pPr>
        <w:pStyle w:val="RKnormal"/>
        <w:jc w:val="both"/>
      </w:pPr>
    </w:p>
    <w:p w14:paraId="433C201B" w14:textId="77777777" w:rsidR="009D6B1B" w:rsidRPr="00222258" w:rsidRDefault="009D6B1B" w:rsidP="00B174FE">
      <w:pPr>
        <w:pStyle w:val="Brdtext"/>
        <w:jc w:val="both"/>
      </w:pPr>
    </w:p>
    <w:sectPr w:rsidR="009D6B1B" w:rsidRPr="00222258" w:rsidSect="00CD709B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65DE1" w14:textId="77777777" w:rsidR="00421541" w:rsidRDefault="00421541" w:rsidP="00A87A54">
      <w:pPr>
        <w:spacing w:line="240" w:lineRule="auto"/>
      </w:pPr>
      <w:r>
        <w:separator/>
      </w:r>
    </w:p>
  </w:endnote>
  <w:endnote w:type="continuationSeparator" w:id="0">
    <w:p w14:paraId="721DB7D5" w14:textId="77777777" w:rsidR="00421541" w:rsidRDefault="00421541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7EE7" w14:textId="77777777" w:rsidR="00421541" w:rsidRDefault="00421541" w:rsidP="00A87A54">
      <w:pPr>
        <w:spacing w:line="240" w:lineRule="auto"/>
      </w:pPr>
      <w:r>
        <w:separator/>
      </w:r>
    </w:p>
  </w:footnote>
  <w:footnote w:type="continuationSeparator" w:id="0">
    <w:p w14:paraId="08E9D00E" w14:textId="77777777" w:rsidR="00421541" w:rsidRDefault="00421541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4D1" w14:textId="77777777" w:rsidR="00E34A0E" w:rsidRDefault="00776C8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14BB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34A0E" w14:paraId="27B79B9C" w14:textId="77777777">
      <w:trPr>
        <w:cantSplit/>
      </w:trPr>
      <w:tc>
        <w:tcPr>
          <w:tcW w:w="3119" w:type="dxa"/>
        </w:tcPr>
        <w:p w14:paraId="077F5461" w14:textId="77777777" w:rsidR="00E34A0E" w:rsidRDefault="002977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D4C788" w14:textId="77777777" w:rsidR="00E34A0E" w:rsidRDefault="00297734">
          <w:pPr>
            <w:pStyle w:val="Sidhuvud"/>
            <w:ind w:right="360"/>
          </w:pPr>
        </w:p>
      </w:tc>
      <w:tc>
        <w:tcPr>
          <w:tcW w:w="1525" w:type="dxa"/>
        </w:tcPr>
        <w:p w14:paraId="0FF79263" w14:textId="77777777" w:rsidR="00E34A0E" w:rsidRDefault="00297734">
          <w:pPr>
            <w:pStyle w:val="Sidhuvud"/>
            <w:ind w:right="360"/>
          </w:pPr>
        </w:p>
      </w:tc>
    </w:tr>
  </w:tbl>
  <w:p w14:paraId="49D979A0" w14:textId="77777777" w:rsidR="00E34A0E" w:rsidRDefault="0029773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48AE9" w14:textId="77777777" w:rsidR="00E34A0E" w:rsidRDefault="00776C8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7734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34A0E" w14:paraId="09AEA52B" w14:textId="77777777">
      <w:trPr>
        <w:cantSplit/>
      </w:trPr>
      <w:tc>
        <w:tcPr>
          <w:tcW w:w="3119" w:type="dxa"/>
        </w:tcPr>
        <w:p w14:paraId="7AA1D82B" w14:textId="77777777" w:rsidR="00E34A0E" w:rsidRDefault="002977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EEED6C" w14:textId="77777777" w:rsidR="00E34A0E" w:rsidRDefault="00297734">
          <w:pPr>
            <w:pStyle w:val="Sidhuvud"/>
            <w:ind w:right="360"/>
          </w:pPr>
        </w:p>
      </w:tc>
      <w:tc>
        <w:tcPr>
          <w:tcW w:w="1525" w:type="dxa"/>
        </w:tcPr>
        <w:p w14:paraId="42170F31" w14:textId="77777777" w:rsidR="00E34A0E" w:rsidRDefault="00297734">
          <w:pPr>
            <w:pStyle w:val="Sidhuvud"/>
            <w:ind w:right="360"/>
          </w:pPr>
        </w:p>
      </w:tc>
    </w:tr>
  </w:tbl>
  <w:p w14:paraId="0C031859" w14:textId="77777777" w:rsidR="00E34A0E" w:rsidRDefault="0029773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8C438" w14:textId="77777777" w:rsidR="00E34A0E" w:rsidRDefault="00776C8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CEF034" wp14:editId="13E1F15B">
          <wp:extent cx="187706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C983F" w14:textId="77777777" w:rsidR="00E34A0E" w:rsidRDefault="002977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8520" w14:textId="77777777" w:rsidR="00E34A0E" w:rsidRDefault="00297734">
    <w:pPr>
      <w:rPr>
        <w:rFonts w:ascii="TradeGothic" w:hAnsi="TradeGothic"/>
        <w:b/>
        <w:bCs/>
        <w:spacing w:val="12"/>
        <w:sz w:val="22"/>
      </w:rPr>
    </w:pPr>
  </w:p>
  <w:p w14:paraId="08B4E71C" w14:textId="77777777" w:rsidR="00E34A0E" w:rsidRDefault="002977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12BF6B" w14:textId="77777777" w:rsidR="00E34A0E" w:rsidRDefault="0029773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D4F1C67"/>
    <w:multiLevelType w:val="hybridMultilevel"/>
    <w:tmpl w:val="1556C196"/>
    <w:lvl w:ilvl="0" w:tplc="6D54CAB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9B"/>
    <w:rsid w:val="00004D5C"/>
    <w:rsid w:val="00005F68"/>
    <w:rsid w:val="00012B00"/>
    <w:rsid w:val="00026711"/>
    <w:rsid w:val="00041EDC"/>
    <w:rsid w:val="000563CA"/>
    <w:rsid w:val="00057FE0"/>
    <w:rsid w:val="000757FC"/>
    <w:rsid w:val="000862E0"/>
    <w:rsid w:val="00093408"/>
    <w:rsid w:val="0009435C"/>
    <w:rsid w:val="000C61D1"/>
    <w:rsid w:val="000E12D9"/>
    <w:rsid w:val="000F00B8"/>
    <w:rsid w:val="0011549D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97734"/>
    <w:rsid w:val="002E4D3F"/>
    <w:rsid w:val="002F66A6"/>
    <w:rsid w:val="002F7E5A"/>
    <w:rsid w:val="003050DB"/>
    <w:rsid w:val="00307E0B"/>
    <w:rsid w:val="00310561"/>
    <w:rsid w:val="003128E2"/>
    <w:rsid w:val="00326C03"/>
    <w:rsid w:val="00340DE0"/>
    <w:rsid w:val="00340F2A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235"/>
    <w:rsid w:val="003C7BE0"/>
    <w:rsid w:val="003D0DD3"/>
    <w:rsid w:val="003D17EF"/>
    <w:rsid w:val="003D3535"/>
    <w:rsid w:val="003E6020"/>
    <w:rsid w:val="0041223B"/>
    <w:rsid w:val="0042068E"/>
    <w:rsid w:val="00421541"/>
    <w:rsid w:val="00441B74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6B9B"/>
    <w:rsid w:val="004978FD"/>
    <w:rsid w:val="004B66DA"/>
    <w:rsid w:val="004C70EE"/>
    <w:rsid w:val="004E25CD"/>
    <w:rsid w:val="004F0448"/>
    <w:rsid w:val="004F6525"/>
    <w:rsid w:val="0052127C"/>
    <w:rsid w:val="0053646E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D1CE6"/>
    <w:rsid w:val="005E2F29"/>
    <w:rsid w:val="005E4E79"/>
    <w:rsid w:val="006014BB"/>
    <w:rsid w:val="006175D7"/>
    <w:rsid w:val="006208E5"/>
    <w:rsid w:val="00631F82"/>
    <w:rsid w:val="00654B4D"/>
    <w:rsid w:val="0066659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76C86"/>
    <w:rsid w:val="00782B3F"/>
    <w:rsid w:val="0079641B"/>
    <w:rsid w:val="007A629C"/>
    <w:rsid w:val="007C44FF"/>
    <w:rsid w:val="007C7BDB"/>
    <w:rsid w:val="007C7D00"/>
    <w:rsid w:val="007D73AB"/>
    <w:rsid w:val="007F4970"/>
    <w:rsid w:val="00804C1B"/>
    <w:rsid w:val="00816677"/>
    <w:rsid w:val="008178E6"/>
    <w:rsid w:val="008375D5"/>
    <w:rsid w:val="008506A3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5EA5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174FE"/>
    <w:rsid w:val="00B2169D"/>
    <w:rsid w:val="00B21CBB"/>
    <w:rsid w:val="00B316CA"/>
    <w:rsid w:val="00B32041"/>
    <w:rsid w:val="00B41F72"/>
    <w:rsid w:val="00B452E3"/>
    <w:rsid w:val="00B517E1"/>
    <w:rsid w:val="00B55E70"/>
    <w:rsid w:val="00B84409"/>
    <w:rsid w:val="00BB5683"/>
    <w:rsid w:val="00BC032F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444A"/>
    <w:rsid w:val="00CB6EDE"/>
    <w:rsid w:val="00CC41BA"/>
    <w:rsid w:val="00CD049B"/>
    <w:rsid w:val="00CD1C6C"/>
    <w:rsid w:val="00CD6169"/>
    <w:rsid w:val="00CD709B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05E80"/>
    <w:rsid w:val="00E469E4"/>
    <w:rsid w:val="00E475C3"/>
    <w:rsid w:val="00E509B0"/>
    <w:rsid w:val="00EA1688"/>
    <w:rsid w:val="00ED592E"/>
    <w:rsid w:val="00ED6ABD"/>
    <w:rsid w:val="00EE2401"/>
    <w:rsid w:val="00EE3C0F"/>
    <w:rsid w:val="00EF2A7F"/>
    <w:rsid w:val="00F03EAC"/>
    <w:rsid w:val="00F14024"/>
    <w:rsid w:val="00F259D7"/>
    <w:rsid w:val="00F32D05"/>
    <w:rsid w:val="00F35263"/>
    <w:rsid w:val="00F4569E"/>
    <w:rsid w:val="00F53AEA"/>
    <w:rsid w:val="00F5545B"/>
    <w:rsid w:val="00F65F3E"/>
    <w:rsid w:val="00F66093"/>
    <w:rsid w:val="00F848D6"/>
    <w:rsid w:val="00FA07CE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CC84CE"/>
  <w15:docId w15:val="{083FB18E-E76D-4D2C-BF14-2473102C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9B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nhideWhenUsed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line="240" w:lineRule="auto"/>
    </w:pPr>
  </w:style>
  <w:style w:type="character" w:styleId="Sidnummer">
    <w:name w:val="page number"/>
    <w:basedOn w:val="SidfotChar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CD709B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link w:val="RKnormalChar"/>
    <w:rsid w:val="00CD709B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CD709B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locked/>
    <w:rsid w:val="00CD709B"/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7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70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d44cc-993d-4c0e-9780-c4ecd094065b"/>
    <Diarienummer xmlns="ae7d44cc-993d-4c0e-9780-c4ecd094065b" xsi:nil="true"/>
    <Nyckelord xmlns="ae7d44cc-993d-4c0e-9780-c4ecd094065b" xsi:nil="true"/>
    <RKOrdnaCheckInComment xmlns="338f2a83-5282-45d1-8af4-7e742a6566e3" xsi:nil="true"/>
    <Sekretess xmlns="ae7d44cc-993d-4c0e-9780-c4ecd094065b" xsi:nil="true"/>
    <k46d94c0acf84ab9a79866a9d8b1905f xmlns="ae7d44cc-993d-4c0e-9780-c4ecd094065b">
      <Terms xmlns="http://schemas.microsoft.com/office/infopath/2007/PartnerControls"/>
    </k46d94c0acf84ab9a79866a9d8b1905f>
    <RKOrdnaClass xmlns="338f2a83-5282-45d1-8af4-7e742a6566e3" xsi:nil="true"/>
    <c9cd366cc722410295b9eacffbd73909 xmlns="ae7d44cc-993d-4c0e-9780-c4ecd094065b">
      <Terms xmlns="http://schemas.microsoft.com/office/infopath/2007/PartnerControls"/>
    </c9cd366cc722410295b9eacffbd73909>
    <_dlc_DocId xmlns="ae7d44cc-993d-4c0e-9780-c4ecd094065b">F5J5VW6DSRJ4-5-22376</_dlc_DocId>
    <_dlc_DocIdUrl xmlns="ae7d44cc-993d-4c0e-9780-c4ecd094065b">
      <Url>http://rkdhs-ju/enhet/eu/_layouts/DocIdRedir.aspx?ID=F5J5VW6DSRJ4-5-22376</Url>
      <Description>F5J5VW6DSRJ4-5-22376</Description>
    </_dlc_DocIdUrl>
  </documentManagement>
</p:properti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32C9E506A07C54F976DA4F70564747D" ma:contentTypeVersion="12" ma:contentTypeDescription="Skapa ett nytt dokument." ma:contentTypeScope="" ma:versionID="13d330e644196b2ad40d390acbcfde70">
  <xsd:schema xmlns:xsd="http://www.w3.org/2001/XMLSchema" xmlns:xs="http://www.w3.org/2001/XMLSchema" xmlns:p="http://schemas.microsoft.com/office/2006/metadata/properties" xmlns:ns2="ae7d44cc-993d-4c0e-9780-c4ecd094065b" xmlns:ns3="338f2a83-5282-45d1-8af4-7e742a6566e3" targetNamespace="http://schemas.microsoft.com/office/2006/metadata/properties" ma:root="true" ma:fieldsID="040e0721a4bd89687a7db8bc1c3a89ba" ns2:_="" ns3:_="">
    <xsd:import namespace="ae7d44cc-993d-4c0e-9780-c4ecd094065b"/>
    <xsd:import namespace="338f2a83-5282-45d1-8af4-7e742a656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c69c543-5a3f-4542-82fb-7e9b1f67e418}" ma:internalName="TaxCatchAll" ma:showField="CatchAllData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c69c543-5a3f-4542-82fb-7e9b1f67e418}" ma:internalName="TaxCatchAllLabel" ma:readOnly="true" ma:showField="CatchAllDataLabel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7D99-8133-4433-BE7A-970F2D091FA4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441228BE-F98E-42F0-8A95-88F05439C9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5E791F-04AF-4E62-B99B-52C2452BC20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ae7d44cc-993d-4c0e-9780-c4ecd094065b"/>
    <ds:schemaRef ds:uri="http://schemas.microsoft.com/office/infopath/2007/PartnerControls"/>
    <ds:schemaRef ds:uri="http://schemas.openxmlformats.org/package/2006/metadata/core-properties"/>
    <ds:schemaRef ds:uri="338f2a83-5282-45d1-8af4-7e742a6566e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F7E9C8B-61C9-4617-B5D1-0789E4FAD5A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819586-E329-49A4-A1B8-E7C1A224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44cc-993d-4c0e-9780-c4ecd094065b"/>
    <ds:schemaRef ds:uri="338f2a83-5282-45d1-8af4-7e742a65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432B14D-5D28-4D1F-81A6-486ED2FCE2D7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9044AB60-7987-4E6D-B96F-FEAFC04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7163</Characters>
  <Application>Microsoft Office Word</Application>
  <DocSecurity>4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Persson</dc:creator>
  <cp:lastModifiedBy>Sanna Helsing</cp:lastModifiedBy>
  <cp:revision>2</cp:revision>
  <cp:lastPrinted>2016-11-17T09:32:00Z</cp:lastPrinted>
  <dcterms:created xsi:type="dcterms:W3CDTF">2016-11-28T11:48:00Z</dcterms:created>
  <dcterms:modified xsi:type="dcterms:W3CDTF">2016-11-28T11:48:00Z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0x01010053E1D612BA3F4E21AA250ECD751942B300D32C9E506A07C54F976DA4F70564747D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ff13068e-be5a-48c0-aa57-78dda59642a9</vt:lpwstr>
  </property>
</Properties>
</file>