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2A35AB75"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33D5EF79" w:rsidR="00F65DF8" w:rsidRPr="0012669A" w:rsidRDefault="00197781" w:rsidP="00F65DF8">
            <w:pPr>
              <w:rPr>
                <w:b/>
              </w:rPr>
            </w:pPr>
            <w:r w:rsidRPr="0012669A">
              <w:rPr>
                <w:b/>
              </w:rPr>
              <w:t>UTSKOTTSSAMMANTRÄDE 20</w:t>
            </w:r>
            <w:r w:rsidR="002C5A9C">
              <w:rPr>
                <w:b/>
              </w:rPr>
              <w:t>2</w:t>
            </w:r>
            <w:r w:rsidR="00DC0588">
              <w:rPr>
                <w:b/>
              </w:rPr>
              <w:t>5</w:t>
            </w:r>
            <w:r w:rsidRPr="0012669A">
              <w:rPr>
                <w:b/>
              </w:rPr>
              <w:t>/</w:t>
            </w:r>
            <w:r w:rsidR="00113C2E" w:rsidRPr="0012669A">
              <w:rPr>
                <w:b/>
              </w:rPr>
              <w:t>2</w:t>
            </w:r>
            <w:r w:rsidR="00DC0588">
              <w:rPr>
                <w:b/>
              </w:rPr>
              <w:t>6</w:t>
            </w:r>
            <w:r w:rsidR="0060686F">
              <w:rPr>
                <w:b/>
              </w:rPr>
              <w:t>:</w:t>
            </w:r>
            <w:r w:rsidR="00540396">
              <w:rPr>
                <w:b/>
              </w:rPr>
              <w:t>7</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02768CAB" w:rsidR="00F65DF8" w:rsidRPr="0012669A" w:rsidRDefault="00D46F51" w:rsidP="005F596C">
            <w:r w:rsidRPr="0012669A">
              <w:t>20</w:t>
            </w:r>
            <w:r w:rsidR="00F053F8" w:rsidRPr="0012669A">
              <w:t>2</w:t>
            </w:r>
            <w:r w:rsidR="00583C98">
              <w:t>5</w:t>
            </w:r>
            <w:r w:rsidRPr="0012669A">
              <w:t>-</w:t>
            </w:r>
            <w:r w:rsidR="000C73D0">
              <w:t>10</w:t>
            </w:r>
            <w:r w:rsidR="005F28AA">
              <w:t>-</w:t>
            </w:r>
            <w:r w:rsidR="00C76CA9">
              <w:t>2</w:t>
            </w:r>
            <w:r w:rsidR="00540396">
              <w:t>3</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7BD78FD9" w:rsidR="002E505E" w:rsidRPr="0012669A" w:rsidRDefault="00D1166C" w:rsidP="00920FCA">
            <w:r>
              <w:t>1</w:t>
            </w:r>
            <w:r w:rsidR="00540396">
              <w:t>0</w:t>
            </w:r>
            <w:r w:rsidR="006A30F1">
              <w:t>.</w:t>
            </w:r>
            <w:r>
              <w:t>0</w:t>
            </w:r>
            <w:r w:rsidR="00AC75E3">
              <w:t>0</w:t>
            </w:r>
            <w:r w:rsidR="0073639C">
              <w:t>–</w:t>
            </w:r>
            <w:r w:rsidR="002E505E">
              <w:t>1</w:t>
            </w:r>
            <w:r w:rsidR="00540396">
              <w:t>0</w:t>
            </w:r>
            <w:r w:rsidR="002E505E">
              <w:t>.</w:t>
            </w:r>
            <w:r w:rsidR="00F13BB9">
              <w:t>22</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04089B61" w14:textId="77777777" w:rsidR="000F714D" w:rsidRDefault="000F714D"/>
    <w:p w14:paraId="6B9C78A4" w14:textId="77777777" w:rsidR="00D5643D" w:rsidRPr="0012669A" w:rsidRDefault="00D5643D"/>
    <w:tbl>
      <w:tblPr>
        <w:tblW w:w="7729" w:type="dxa"/>
        <w:tblInd w:w="1485" w:type="dxa"/>
        <w:tblCellMar>
          <w:left w:w="70" w:type="dxa"/>
          <w:right w:w="70" w:type="dxa"/>
        </w:tblCellMar>
        <w:tblLook w:val="00A0" w:firstRow="1" w:lastRow="0" w:firstColumn="1" w:lastColumn="0" w:noHBand="0" w:noVBand="0"/>
      </w:tblPr>
      <w:tblGrid>
        <w:gridCol w:w="567"/>
        <w:gridCol w:w="7162"/>
      </w:tblGrid>
      <w:tr w:rsidR="00D1166C" w:rsidRPr="006C0F9A" w14:paraId="6A4397D6" w14:textId="77777777" w:rsidTr="001324AA">
        <w:trPr>
          <w:trHeight w:val="950"/>
        </w:trPr>
        <w:tc>
          <w:tcPr>
            <w:tcW w:w="567" w:type="dxa"/>
          </w:tcPr>
          <w:p w14:paraId="6874B93C" w14:textId="46DE132B" w:rsidR="00D1166C" w:rsidRDefault="007040E7" w:rsidP="00DC0D46">
            <w:pPr>
              <w:tabs>
                <w:tab w:val="left" w:pos="1701"/>
              </w:tabs>
              <w:rPr>
                <w:b/>
                <w:snapToGrid w:val="0"/>
              </w:rPr>
            </w:pPr>
            <w:r>
              <w:rPr>
                <w:b/>
                <w:snapToGrid w:val="0"/>
              </w:rPr>
              <w:t xml:space="preserve">§ </w:t>
            </w:r>
            <w:r w:rsidR="00DC0588">
              <w:rPr>
                <w:b/>
                <w:snapToGrid w:val="0"/>
              </w:rPr>
              <w:t>1</w:t>
            </w:r>
          </w:p>
        </w:tc>
        <w:tc>
          <w:tcPr>
            <w:tcW w:w="7162" w:type="dxa"/>
          </w:tcPr>
          <w:p w14:paraId="6ADAF213" w14:textId="77777777" w:rsidR="00D75546" w:rsidRPr="006C0F9A" w:rsidRDefault="00D75546" w:rsidP="00D75546">
            <w:pPr>
              <w:widowControl w:val="0"/>
              <w:tabs>
                <w:tab w:val="left" w:pos="1701"/>
              </w:tabs>
              <w:rPr>
                <w:b/>
                <w:bCs/>
              </w:rPr>
            </w:pPr>
            <w:r w:rsidRPr="006C0F9A">
              <w:rPr>
                <w:b/>
                <w:bCs/>
              </w:rPr>
              <w:t>Justering av protokoll</w:t>
            </w:r>
          </w:p>
          <w:p w14:paraId="6C85B637" w14:textId="77777777" w:rsidR="00D75546" w:rsidRPr="006C0F9A" w:rsidRDefault="00D75546" w:rsidP="00D75546">
            <w:pPr>
              <w:widowControl w:val="0"/>
              <w:tabs>
                <w:tab w:val="left" w:pos="1701"/>
              </w:tabs>
              <w:rPr>
                <w:b/>
                <w:bCs/>
              </w:rPr>
            </w:pPr>
          </w:p>
          <w:p w14:paraId="60AC4ACC" w14:textId="00E3B430" w:rsidR="00D75546" w:rsidRPr="006C0F9A" w:rsidRDefault="00D75546" w:rsidP="00D75546">
            <w:pPr>
              <w:widowControl w:val="0"/>
              <w:tabs>
                <w:tab w:val="left" w:pos="1701"/>
              </w:tabs>
            </w:pPr>
            <w:r w:rsidRPr="006C0F9A">
              <w:t xml:space="preserve">Utskottet justerade protokoll </w:t>
            </w:r>
            <w:r>
              <w:t>2025/26:</w:t>
            </w:r>
            <w:r w:rsidR="00540396">
              <w:t>6</w:t>
            </w:r>
            <w:r w:rsidRPr="006C0F9A">
              <w:t>.</w:t>
            </w:r>
          </w:p>
          <w:p w14:paraId="60F320F1" w14:textId="175A3B75" w:rsidR="007040E7" w:rsidRPr="00D1166C" w:rsidRDefault="007040E7" w:rsidP="00DC0588">
            <w:pPr>
              <w:widowControl w:val="0"/>
              <w:tabs>
                <w:tab w:val="left" w:pos="1701"/>
              </w:tabs>
              <w:rPr>
                <w:b/>
                <w:bCs/>
              </w:rPr>
            </w:pPr>
          </w:p>
        </w:tc>
      </w:tr>
      <w:tr w:rsidR="00C76CA9" w:rsidRPr="006C0F9A" w14:paraId="31C44DF6" w14:textId="77777777" w:rsidTr="001324AA">
        <w:trPr>
          <w:trHeight w:val="950"/>
        </w:trPr>
        <w:tc>
          <w:tcPr>
            <w:tcW w:w="567" w:type="dxa"/>
          </w:tcPr>
          <w:p w14:paraId="1C39FA3D" w14:textId="15C46A45" w:rsidR="00C76CA9" w:rsidRDefault="00C76CA9" w:rsidP="00DC0D46">
            <w:pPr>
              <w:tabs>
                <w:tab w:val="left" w:pos="1701"/>
              </w:tabs>
              <w:rPr>
                <w:b/>
                <w:snapToGrid w:val="0"/>
              </w:rPr>
            </w:pPr>
            <w:r>
              <w:rPr>
                <w:b/>
                <w:snapToGrid w:val="0"/>
              </w:rPr>
              <w:t xml:space="preserve">§ </w:t>
            </w:r>
            <w:r w:rsidR="00540396">
              <w:rPr>
                <w:b/>
                <w:snapToGrid w:val="0"/>
              </w:rPr>
              <w:t>2</w:t>
            </w:r>
          </w:p>
        </w:tc>
        <w:tc>
          <w:tcPr>
            <w:tcW w:w="7162" w:type="dxa"/>
          </w:tcPr>
          <w:p w14:paraId="59119308" w14:textId="4A441E40" w:rsidR="00C76CA9" w:rsidRPr="002E1E0F" w:rsidRDefault="00540396" w:rsidP="00C76CA9">
            <w:pPr>
              <w:widowControl w:val="0"/>
              <w:tabs>
                <w:tab w:val="left" w:pos="1701"/>
              </w:tabs>
            </w:pPr>
            <w:r w:rsidRPr="00F05BA2">
              <w:rPr>
                <w:b/>
                <w:bCs/>
                <w:iCs/>
              </w:rPr>
              <w:t>Grundläggande bestämmelser för en övergripande EU-fond under delad förvaltning</w:t>
            </w:r>
            <w:r w:rsidRPr="009267C5">
              <w:rPr>
                <w:b/>
                <w:bCs/>
                <w:iCs/>
              </w:rPr>
              <w:br/>
            </w:r>
            <w:r w:rsidR="00C76CA9" w:rsidRPr="009267C5">
              <w:rPr>
                <w:b/>
                <w:bCs/>
                <w:iCs/>
              </w:rPr>
              <w:br/>
            </w:r>
            <w:r w:rsidR="00C76CA9" w:rsidRPr="0074420B">
              <w:t xml:space="preserve">Utskottet överlade med </w:t>
            </w:r>
            <w:r>
              <w:t>s</w:t>
            </w:r>
            <w:r w:rsidRPr="00540396">
              <w:t>tatssekreterare Daniel Liljeberg</w:t>
            </w:r>
            <w:r w:rsidR="00C76CA9" w:rsidRPr="002E1E0F">
              <w:t xml:space="preserve">, </w:t>
            </w:r>
            <w:r w:rsidR="00C76CA9">
              <w:t xml:space="preserve">biträdd av medarbetare </w:t>
            </w:r>
            <w:r w:rsidRPr="00540396">
              <w:t>Landsbygds- och infrastrukturdepartementet</w:t>
            </w:r>
            <w:r w:rsidR="00C76CA9">
              <w:t>.</w:t>
            </w:r>
          </w:p>
          <w:p w14:paraId="124274A6" w14:textId="77777777" w:rsidR="00C76CA9" w:rsidRDefault="00C76CA9" w:rsidP="00C76CA9">
            <w:pPr>
              <w:widowControl w:val="0"/>
              <w:tabs>
                <w:tab w:val="left" w:pos="1701"/>
              </w:tabs>
              <w:rPr>
                <w:b/>
                <w:bCs/>
              </w:rPr>
            </w:pPr>
          </w:p>
          <w:p w14:paraId="1A81B682" w14:textId="32B2C487" w:rsidR="00C76CA9" w:rsidRDefault="00C76CA9" w:rsidP="00C76CA9">
            <w:pPr>
              <w:widowControl w:val="0"/>
              <w:tabs>
                <w:tab w:val="left" w:pos="1701"/>
              </w:tabs>
            </w:pPr>
            <w:r w:rsidRPr="00583C98">
              <w:t xml:space="preserve">Underlaget utgjordes </w:t>
            </w:r>
            <w:r>
              <w:t xml:space="preserve">av </w:t>
            </w:r>
            <w:r w:rsidRPr="00583C98">
              <w:t>faktapromemoria 202</w:t>
            </w:r>
            <w:r w:rsidR="00540396">
              <w:t>5</w:t>
            </w:r>
            <w:r w:rsidRPr="00583C98">
              <w:t>/</w:t>
            </w:r>
            <w:proofErr w:type="gramStart"/>
            <w:r w:rsidRPr="00583C98">
              <w:t>2</w:t>
            </w:r>
            <w:r w:rsidR="00540396">
              <w:t>6</w:t>
            </w:r>
            <w:r w:rsidRPr="00583C98">
              <w:t>:FPM</w:t>
            </w:r>
            <w:proofErr w:type="gramEnd"/>
            <w:r w:rsidR="00540396">
              <w:t>10</w:t>
            </w:r>
            <w:r>
              <w:t>.</w:t>
            </w:r>
          </w:p>
          <w:p w14:paraId="7D436786" w14:textId="77777777" w:rsidR="00C76CA9" w:rsidRDefault="00C76CA9" w:rsidP="00C76CA9">
            <w:pPr>
              <w:widowControl w:val="0"/>
              <w:tabs>
                <w:tab w:val="left" w:pos="1701"/>
              </w:tabs>
            </w:pPr>
          </w:p>
          <w:p w14:paraId="1DE778C4" w14:textId="6FA1AE65" w:rsidR="00C76CA9" w:rsidRDefault="00540396" w:rsidP="00C76CA9">
            <w:pPr>
              <w:widowControl w:val="0"/>
              <w:tabs>
                <w:tab w:val="left" w:pos="1701"/>
              </w:tabs>
            </w:pPr>
            <w:r>
              <w:t>S</w:t>
            </w:r>
            <w:r w:rsidRPr="00540396">
              <w:t>tatssekreterare Daniel Liljeberg</w:t>
            </w:r>
            <w:r w:rsidR="00C76CA9" w:rsidRPr="007B15BC">
              <w:t>,</w:t>
            </w:r>
            <w:r w:rsidR="00C76CA9">
              <w:t xml:space="preserve"> </w:t>
            </w:r>
            <w:r w:rsidR="00C76CA9" w:rsidRPr="005E2B1F">
              <w:t>redogjorde för regeringens ståndpunkt i enlighet med faktapromemorian:</w:t>
            </w:r>
          </w:p>
          <w:p w14:paraId="26236560" w14:textId="77777777" w:rsidR="00540396" w:rsidRDefault="00540396" w:rsidP="00540396">
            <w:pPr>
              <w:widowControl w:val="0"/>
              <w:tabs>
                <w:tab w:val="left" w:pos="1701"/>
              </w:tabs>
              <w:ind w:left="715"/>
            </w:pPr>
          </w:p>
          <w:p w14:paraId="22FDBB26" w14:textId="2B5F17F6" w:rsidR="00F13BB9" w:rsidRDefault="00F13BB9" w:rsidP="00540396">
            <w:pPr>
              <w:widowControl w:val="0"/>
              <w:tabs>
                <w:tab w:val="left" w:pos="1701"/>
              </w:tabs>
              <w:ind w:left="715"/>
            </w:pPr>
            <w:r w:rsidRPr="00F13BB9">
              <w:t xml:space="preserve">[…] </w:t>
            </w:r>
            <w:r w:rsidR="00540396">
              <w:t xml:space="preserve">När det gäller kommissionens förslag om ett grundläggande </w:t>
            </w:r>
          </w:p>
          <w:p w14:paraId="019DDFE8" w14:textId="21BB216B" w:rsidR="00540396" w:rsidRDefault="00540396" w:rsidP="00540396">
            <w:pPr>
              <w:widowControl w:val="0"/>
              <w:tabs>
                <w:tab w:val="left" w:pos="1701"/>
              </w:tabs>
              <w:ind w:left="715"/>
            </w:pPr>
            <w:r>
              <w:t xml:space="preserve">regelverk för EU-fonderna med nationella kuvert ser regeringen att en enklare struktur och färre program kan ge medlemsstaterna bättre förutsättningar att hantera olika nationella och regionala utmaningar, samtidigt som möjligheten att flytta medel mellan åtgärder vid behov underlättas.  </w:t>
            </w:r>
          </w:p>
          <w:p w14:paraId="6C844055" w14:textId="77777777" w:rsidR="00540396" w:rsidRDefault="00540396" w:rsidP="00540396">
            <w:pPr>
              <w:widowControl w:val="0"/>
              <w:tabs>
                <w:tab w:val="left" w:pos="1701"/>
              </w:tabs>
              <w:ind w:left="715"/>
            </w:pPr>
          </w:p>
          <w:p w14:paraId="7DE2B620" w14:textId="77777777" w:rsidR="00F13BB9" w:rsidRDefault="00540396" w:rsidP="00540396">
            <w:pPr>
              <w:widowControl w:val="0"/>
              <w:tabs>
                <w:tab w:val="left" w:pos="1701"/>
              </w:tabs>
              <w:ind w:left="715"/>
            </w:pPr>
            <w:r>
              <w:t xml:space="preserve">Förslaget till regelverk är över lag mindre detaljstyrt vilket har potential att leda till förenkling för stödmottagare och genomförandemyndigheter förutsatt att ansatsen bibehålls i kommande </w:t>
            </w:r>
          </w:p>
          <w:p w14:paraId="15C2802A" w14:textId="77777777" w:rsidR="00F13BB9" w:rsidRDefault="00540396" w:rsidP="00540396">
            <w:pPr>
              <w:widowControl w:val="0"/>
              <w:tabs>
                <w:tab w:val="left" w:pos="1701"/>
              </w:tabs>
              <w:ind w:left="715"/>
            </w:pPr>
            <w:r>
              <w:t xml:space="preserve">sekundärlagstiftning och riktlinjer från kommissionen etcetera Kravet på reformer i medlemsstaterna har potential att bidra till att EU-medlen kan ge positiva strukturella effekter. Det är viktigt att regelverket främjar innovativa insatser till exempel vid </w:t>
            </w:r>
          </w:p>
          <w:p w14:paraId="20A38720" w14:textId="7D71E747" w:rsidR="00540396" w:rsidRDefault="00540396" w:rsidP="00540396">
            <w:pPr>
              <w:widowControl w:val="0"/>
              <w:tabs>
                <w:tab w:val="left" w:pos="1701"/>
              </w:tabs>
              <w:ind w:left="715"/>
            </w:pPr>
            <w:r>
              <w:t xml:space="preserve">utformningen av mål och indikatorer. De olika krisinstrumenten och kravet på medlemsstaterna att hålla inne medel (25 procent) tills halvtidsöversynen liksom EU-faciliteten behöver analyseras vidare.  </w:t>
            </w:r>
          </w:p>
          <w:p w14:paraId="5A5799ED" w14:textId="77777777" w:rsidR="00540396" w:rsidRDefault="00540396" w:rsidP="00540396">
            <w:pPr>
              <w:widowControl w:val="0"/>
              <w:tabs>
                <w:tab w:val="left" w:pos="1701"/>
              </w:tabs>
              <w:ind w:left="715"/>
            </w:pPr>
          </w:p>
          <w:p w14:paraId="6FF70F9B" w14:textId="77777777" w:rsidR="00F13BB9" w:rsidRDefault="00540396" w:rsidP="00540396">
            <w:pPr>
              <w:widowControl w:val="0"/>
              <w:tabs>
                <w:tab w:val="left" w:pos="1701"/>
              </w:tabs>
              <w:ind w:left="715"/>
            </w:pPr>
            <w:r>
              <w:t xml:space="preserve">Regeringen är i princip för en ny genomförandemodell som bygger på prestationsbaserad budgetering. Den kan ha flera fördelar vad avser fokus på resultat och måluppfyllnad. Det kräver dock att modellen utformas med relevanta mål och ändamålsenliga </w:t>
            </w:r>
          </w:p>
          <w:p w14:paraId="3C8397CF" w14:textId="61BB77FD" w:rsidR="00540396" w:rsidRDefault="00540396" w:rsidP="00540396">
            <w:pPr>
              <w:widowControl w:val="0"/>
              <w:tabs>
                <w:tab w:val="left" w:pos="1701"/>
              </w:tabs>
              <w:ind w:left="715"/>
            </w:pPr>
            <w:r>
              <w:t xml:space="preserve">åtgärder, liksom att modellen dels respekterar finanspolitisk autonomi, dels blir proportionerlig i den grad den binder medlemsstater i förhållande till beroendet av EU-medel.  </w:t>
            </w:r>
          </w:p>
          <w:p w14:paraId="6E40B0D8" w14:textId="77777777" w:rsidR="00540396" w:rsidRDefault="00540396" w:rsidP="00540396">
            <w:pPr>
              <w:widowControl w:val="0"/>
              <w:tabs>
                <w:tab w:val="left" w:pos="1701"/>
              </w:tabs>
              <w:ind w:left="715"/>
            </w:pPr>
          </w:p>
          <w:p w14:paraId="1F63A7F2" w14:textId="42CD44A1" w:rsidR="00540396" w:rsidRDefault="00540396" w:rsidP="00540396">
            <w:pPr>
              <w:widowControl w:val="0"/>
              <w:tabs>
                <w:tab w:val="left" w:pos="1701"/>
              </w:tabs>
              <w:ind w:left="715"/>
            </w:pPr>
            <w:r>
              <w:lastRenderedPageBreak/>
              <w:t xml:space="preserve">Regeringen värnar viktiga budgetprinciper såsom nationell medfinansiering och strikta återtaganderegler då de bidrar till nationellt och regionalt ägarskap av insatserna liksom till ett effektivt genomförande. </w:t>
            </w:r>
          </w:p>
          <w:p w14:paraId="57CEBF8F" w14:textId="77777777" w:rsidR="00540396" w:rsidRDefault="00540396" w:rsidP="00540396">
            <w:pPr>
              <w:widowControl w:val="0"/>
              <w:tabs>
                <w:tab w:val="left" w:pos="1701"/>
              </w:tabs>
              <w:ind w:left="715"/>
            </w:pPr>
          </w:p>
          <w:p w14:paraId="55F96319" w14:textId="77777777" w:rsidR="00F13BB9" w:rsidRDefault="00540396" w:rsidP="00540396">
            <w:pPr>
              <w:widowControl w:val="0"/>
              <w:tabs>
                <w:tab w:val="left" w:pos="1701"/>
              </w:tabs>
              <w:ind w:left="715"/>
            </w:pPr>
            <w:r>
              <w:t>Regeringen är emot ny gemensam upplåning inklusive förslaget om policylån inom nationella och regionala partnerskapsplaner (</w:t>
            </w:r>
            <w:proofErr w:type="spellStart"/>
            <w:r>
              <w:t>Catalyst</w:t>
            </w:r>
            <w:proofErr w:type="spellEnd"/>
            <w:r>
              <w:t xml:space="preserve"> </w:t>
            </w:r>
            <w:proofErr w:type="spellStart"/>
            <w:r>
              <w:t>Europe</w:t>
            </w:r>
            <w:proofErr w:type="spellEnd"/>
            <w:r>
              <w:t xml:space="preserve">). Regeringen anser inte att sådana lån vore förenliga med hållbara statsfinanser eller upprätthållandet av ändamålsenliga incitament för detta ändamål. Gemensam upplåning ökar riskexponeringen, skjuter betalningsansvar på framtida </w:t>
            </w:r>
          </w:p>
          <w:p w14:paraId="4D2EB280" w14:textId="741EA052" w:rsidR="00540396" w:rsidRDefault="00540396" w:rsidP="00540396">
            <w:pPr>
              <w:widowControl w:val="0"/>
              <w:tabs>
                <w:tab w:val="left" w:pos="1701"/>
              </w:tabs>
              <w:ind w:left="715"/>
            </w:pPr>
            <w:r>
              <w:t xml:space="preserve">generationer och begränsar det finanspolitiska manöverutrymmet.  </w:t>
            </w:r>
          </w:p>
          <w:p w14:paraId="25BE93AE" w14:textId="77777777" w:rsidR="00540396" w:rsidRDefault="00540396" w:rsidP="00540396">
            <w:pPr>
              <w:widowControl w:val="0"/>
              <w:tabs>
                <w:tab w:val="left" w:pos="1701"/>
              </w:tabs>
              <w:ind w:left="715"/>
            </w:pPr>
          </w:p>
          <w:p w14:paraId="63201D3B" w14:textId="77777777" w:rsidR="00F13BB9" w:rsidRDefault="00540396" w:rsidP="00540396">
            <w:pPr>
              <w:widowControl w:val="0"/>
              <w:tabs>
                <w:tab w:val="left" w:pos="1701"/>
              </w:tabs>
              <w:ind w:left="715"/>
            </w:pPr>
            <w:r>
              <w:t xml:space="preserve">Regeringen välkomnar att insatserna enligt ramförordningen i högre utsträckning ska riktas mot utbyggnaden av gränsöverskridande militär mobilitet, kritisk infrastruktur och beredskap samt stödja kommissionens förslag om ett utgiftsmål för klimat- och miljöåtgärder. Regeringen välkomnar vidare satsningar på </w:t>
            </w:r>
          </w:p>
          <w:p w14:paraId="5AD7F352" w14:textId="77777777" w:rsidR="00F13BB9" w:rsidRDefault="00540396" w:rsidP="00540396">
            <w:pPr>
              <w:widowControl w:val="0"/>
              <w:tabs>
                <w:tab w:val="left" w:pos="1701"/>
              </w:tabs>
              <w:ind w:left="715"/>
            </w:pPr>
            <w:r>
              <w:t xml:space="preserve">migration, säkerhet och i synnerhet Europol. Regeringen vill samtidigt se ett tydligt fokus på konkurrenskraft i EU och att </w:t>
            </w:r>
          </w:p>
          <w:p w14:paraId="1714CFE3" w14:textId="620E54CC" w:rsidR="00540396" w:rsidRDefault="00540396" w:rsidP="00540396">
            <w:pPr>
              <w:widowControl w:val="0"/>
              <w:tabs>
                <w:tab w:val="left" w:pos="1701"/>
              </w:tabs>
              <w:ind w:left="715"/>
            </w:pPr>
            <w:r>
              <w:t xml:space="preserve">synergier med insatser inom pelare 2, såsom Konkurrenskraftsfonden, Fonden för ett sammanlänkat Europa (CEF) samt Horisont Europa säkerställs.  </w:t>
            </w:r>
          </w:p>
          <w:p w14:paraId="4135EC25" w14:textId="77777777" w:rsidR="00540396" w:rsidRDefault="00540396" w:rsidP="00540396">
            <w:pPr>
              <w:widowControl w:val="0"/>
              <w:tabs>
                <w:tab w:val="left" w:pos="1701"/>
              </w:tabs>
              <w:ind w:left="715"/>
            </w:pPr>
          </w:p>
          <w:p w14:paraId="3D33F6BF" w14:textId="77777777" w:rsidR="00F13BB9" w:rsidRDefault="00540396" w:rsidP="00540396">
            <w:pPr>
              <w:widowControl w:val="0"/>
              <w:tabs>
                <w:tab w:val="left" w:pos="1701"/>
              </w:tabs>
              <w:ind w:left="715"/>
            </w:pPr>
            <w:r>
              <w:t xml:space="preserve">Regeringen välkomnar kommissionens förslag om att EU-medel är villkorade av respekt för rättsstatens principer och stadgan om de grundläggande rättigheterna. Enskildheter i det föreslagna </w:t>
            </w:r>
          </w:p>
          <w:p w14:paraId="1477E327" w14:textId="299E6922" w:rsidR="00540396" w:rsidRDefault="00540396" w:rsidP="00540396">
            <w:pPr>
              <w:widowControl w:val="0"/>
              <w:tabs>
                <w:tab w:val="left" w:pos="1701"/>
              </w:tabs>
              <w:ind w:left="715"/>
            </w:pPr>
            <w:r>
              <w:t xml:space="preserve">systemet behöver analyseras på djupet och dess effektivitet bör säkerställas. </w:t>
            </w:r>
          </w:p>
          <w:p w14:paraId="63C5C29C" w14:textId="77777777" w:rsidR="00540396" w:rsidRDefault="00540396" w:rsidP="00540396">
            <w:pPr>
              <w:widowControl w:val="0"/>
              <w:tabs>
                <w:tab w:val="left" w:pos="1701"/>
              </w:tabs>
              <w:ind w:left="715"/>
            </w:pPr>
          </w:p>
          <w:p w14:paraId="5651FEAC" w14:textId="34C7BCC1" w:rsidR="00540396" w:rsidRDefault="00540396" w:rsidP="00540396">
            <w:pPr>
              <w:widowControl w:val="0"/>
              <w:tabs>
                <w:tab w:val="left" w:pos="1701"/>
              </w:tabs>
              <w:ind w:left="715"/>
            </w:pPr>
            <w:r>
              <w:t xml:space="preserve">Sammantaget är regeringens preliminära bedömning att det föreslagna regelverket innebär nya möjligheter att genomföra reformer och investeringar för att hantera nationella, regionala och territoriella utmaningar liksom förenkling för stödmottagare och genomförandemyndigheter. Det behövs dock ytterligare information och analys för att avgöra om kommissionens förslag uppnår dessa mål. </w:t>
            </w:r>
          </w:p>
          <w:p w14:paraId="6DA10909" w14:textId="77777777" w:rsidR="00540396" w:rsidRDefault="00540396" w:rsidP="00540396">
            <w:pPr>
              <w:widowControl w:val="0"/>
              <w:tabs>
                <w:tab w:val="left" w:pos="1701"/>
              </w:tabs>
              <w:ind w:left="715"/>
            </w:pPr>
          </w:p>
          <w:p w14:paraId="22A3EC78" w14:textId="4CBB5D8C" w:rsidR="00540396" w:rsidRDefault="00540396" w:rsidP="00540396">
            <w:pPr>
              <w:widowControl w:val="0"/>
              <w:tabs>
                <w:tab w:val="left" w:pos="1701"/>
              </w:tabs>
              <w:ind w:left="715"/>
            </w:pPr>
            <w:r>
              <w:t xml:space="preserve">De föreslagna förändringarna är omfattande vilket innebär att ståndpunkterna kommer att utvecklas och uppdateras allteftersom analysen förfinas. Ståndpunkterna kommer också behöva uppdateras i förhållande till utvecklingen av förhandlingarna. </w:t>
            </w:r>
            <w:r w:rsidR="00F13BB9" w:rsidRPr="00F13BB9">
              <w:t xml:space="preserve">[…] </w:t>
            </w:r>
          </w:p>
          <w:p w14:paraId="7B91A3A1" w14:textId="77777777" w:rsidR="00C76CA9" w:rsidRDefault="00C76CA9" w:rsidP="00C76CA9">
            <w:pPr>
              <w:widowControl w:val="0"/>
              <w:tabs>
                <w:tab w:val="left" w:pos="1701"/>
              </w:tabs>
              <w:rPr>
                <w:b/>
                <w:bCs/>
                <w:iCs/>
              </w:rPr>
            </w:pPr>
          </w:p>
          <w:p w14:paraId="01431E3B" w14:textId="77777777" w:rsidR="00C76CA9" w:rsidRDefault="00C76CA9" w:rsidP="00C76CA9">
            <w:pPr>
              <w:widowControl w:val="0"/>
              <w:tabs>
                <w:tab w:val="left" w:pos="1701"/>
              </w:tabs>
            </w:pPr>
            <w:r>
              <w:t>Ordföranden konstaterade att det fanns stöd för regeringens ståndpunkt.</w:t>
            </w:r>
          </w:p>
          <w:p w14:paraId="68FBD479" w14:textId="20130C16" w:rsidR="00865C28" w:rsidRDefault="00865C28" w:rsidP="00F13BB9"/>
          <w:p w14:paraId="15C37193" w14:textId="00E08084" w:rsidR="00865C28" w:rsidRDefault="00865C28" w:rsidP="00C76CA9">
            <w:pPr>
              <w:ind w:left="7"/>
            </w:pPr>
            <w:r>
              <w:t>MP-ledamoten anmälde följande avvikande ståndpunkt:</w:t>
            </w:r>
          </w:p>
          <w:p w14:paraId="3FAF09F7" w14:textId="391E238C" w:rsidR="00F71751" w:rsidRDefault="00F71751" w:rsidP="00C76CA9">
            <w:pPr>
              <w:ind w:left="7"/>
            </w:pPr>
          </w:p>
          <w:p w14:paraId="02A50034" w14:textId="77777777" w:rsidR="00F71751" w:rsidRPr="00F71751" w:rsidRDefault="00F71751" w:rsidP="00F71751">
            <w:pPr>
              <w:ind w:left="715"/>
            </w:pPr>
            <w:r w:rsidRPr="00F71751">
              <w:t>Jag anser att klimatomställningen behöver ligga till grund för Europas konkurrenskraft, som ett sätt att stärka näringslivets konkurrenskraft och främja nya innovationssystem. Vidare bör Europas behov av klimatomställning och utfasning av det fossila tydliggöras bättre i regeringens ståndpunkt.</w:t>
            </w:r>
          </w:p>
          <w:p w14:paraId="5446767E" w14:textId="77777777" w:rsidR="00F71751" w:rsidRDefault="00F71751" w:rsidP="00F71751">
            <w:pPr>
              <w:ind w:left="715"/>
            </w:pPr>
          </w:p>
          <w:p w14:paraId="01CA0DC4" w14:textId="3F7ED678" w:rsidR="00723B37" w:rsidRDefault="00723B37" w:rsidP="00C76CA9">
            <w:pPr>
              <w:ind w:left="7"/>
            </w:pPr>
          </w:p>
          <w:p w14:paraId="325223D9" w14:textId="1436039E" w:rsidR="00C76CA9" w:rsidRDefault="00C76CA9" w:rsidP="00C76CA9">
            <w:pPr>
              <w:ind w:left="7"/>
            </w:pPr>
          </w:p>
          <w:p w14:paraId="7141729C" w14:textId="77777777" w:rsidR="00C76CA9" w:rsidRDefault="00C76CA9" w:rsidP="00F13BB9">
            <w:pPr>
              <w:widowControl w:val="0"/>
              <w:tabs>
                <w:tab w:val="left" w:pos="1701"/>
              </w:tabs>
            </w:pPr>
            <w:r w:rsidRPr="00126CAC">
              <w:t>Under överläggningen närvarade även en tjänsteman från EU-nämndens kansli.</w:t>
            </w:r>
          </w:p>
          <w:p w14:paraId="7741C8E1" w14:textId="76D6CD92" w:rsidR="00F13BB9" w:rsidRPr="00A76BF3" w:rsidRDefault="00F13BB9" w:rsidP="00F13BB9">
            <w:pPr>
              <w:widowControl w:val="0"/>
              <w:tabs>
                <w:tab w:val="left" w:pos="1701"/>
              </w:tabs>
              <w:rPr>
                <w:b/>
                <w:bCs/>
                <w:iCs/>
              </w:rPr>
            </w:pPr>
          </w:p>
        </w:tc>
      </w:tr>
      <w:tr w:rsidR="0074420B" w:rsidRPr="00C76CA9" w14:paraId="0ECCAD6E" w14:textId="77777777" w:rsidTr="001324AA">
        <w:trPr>
          <w:trHeight w:val="950"/>
        </w:trPr>
        <w:tc>
          <w:tcPr>
            <w:tcW w:w="567" w:type="dxa"/>
          </w:tcPr>
          <w:p w14:paraId="3B6FDB46" w14:textId="3E0E0730" w:rsidR="0074420B" w:rsidRDefault="00387176" w:rsidP="00DC0D46">
            <w:pPr>
              <w:tabs>
                <w:tab w:val="left" w:pos="1701"/>
              </w:tabs>
              <w:rPr>
                <w:b/>
                <w:snapToGrid w:val="0"/>
              </w:rPr>
            </w:pPr>
            <w:r>
              <w:rPr>
                <w:b/>
                <w:snapToGrid w:val="0"/>
              </w:rPr>
              <w:lastRenderedPageBreak/>
              <w:t>§ 3</w:t>
            </w:r>
          </w:p>
        </w:tc>
        <w:tc>
          <w:tcPr>
            <w:tcW w:w="7162" w:type="dxa"/>
          </w:tcPr>
          <w:p w14:paraId="415449CB" w14:textId="7EA4F4CB" w:rsidR="00387176" w:rsidRPr="00387176" w:rsidRDefault="00387176" w:rsidP="00387176">
            <w:pPr>
              <w:widowControl w:val="0"/>
              <w:tabs>
                <w:tab w:val="left" w:pos="1701"/>
              </w:tabs>
              <w:rPr>
                <w:b/>
                <w:bCs/>
              </w:rPr>
            </w:pPr>
            <w:r w:rsidRPr="00387176">
              <w:rPr>
                <w:b/>
                <w:bCs/>
              </w:rPr>
              <w:t xml:space="preserve">Förordningen om </w:t>
            </w:r>
            <w:proofErr w:type="gramStart"/>
            <w:r w:rsidRPr="00387176">
              <w:rPr>
                <w:b/>
                <w:bCs/>
              </w:rPr>
              <w:t>Europeiska</w:t>
            </w:r>
            <w:proofErr w:type="gramEnd"/>
            <w:r w:rsidRPr="00387176">
              <w:rPr>
                <w:b/>
                <w:bCs/>
              </w:rPr>
              <w:t xml:space="preserve"> regionala utvecklingsfonde</w:t>
            </w:r>
            <w:r>
              <w:rPr>
                <w:b/>
                <w:bCs/>
              </w:rPr>
              <w:t>n</w:t>
            </w:r>
          </w:p>
          <w:p w14:paraId="5F2F1090" w14:textId="77777777" w:rsidR="00387176" w:rsidRDefault="00387176" w:rsidP="00387176">
            <w:pPr>
              <w:widowControl w:val="0"/>
              <w:tabs>
                <w:tab w:val="left" w:pos="1701"/>
              </w:tabs>
            </w:pPr>
          </w:p>
          <w:p w14:paraId="06A7440B" w14:textId="599FB6A7" w:rsidR="00387176" w:rsidRPr="002E1E0F" w:rsidRDefault="00387176" w:rsidP="00387176">
            <w:pPr>
              <w:widowControl w:val="0"/>
              <w:tabs>
                <w:tab w:val="left" w:pos="1701"/>
              </w:tabs>
            </w:pPr>
            <w:r w:rsidRPr="0074420B">
              <w:t xml:space="preserve">Utskottet överlade med </w:t>
            </w:r>
            <w:r>
              <w:t>s</w:t>
            </w:r>
            <w:r w:rsidRPr="00540396">
              <w:t>tatssekreterare Daniel Liljeberg</w:t>
            </w:r>
            <w:r w:rsidRPr="002E1E0F">
              <w:t xml:space="preserve">, </w:t>
            </w:r>
            <w:r>
              <w:t xml:space="preserve">biträdd av medarbetare </w:t>
            </w:r>
            <w:r w:rsidRPr="00540396">
              <w:t>Landsbygds- och infrastrukturdepartementet</w:t>
            </w:r>
            <w:r>
              <w:t>.</w:t>
            </w:r>
          </w:p>
          <w:p w14:paraId="59EA1410" w14:textId="77777777" w:rsidR="00387176" w:rsidRDefault="00387176" w:rsidP="00387176">
            <w:pPr>
              <w:widowControl w:val="0"/>
              <w:tabs>
                <w:tab w:val="left" w:pos="1701"/>
              </w:tabs>
              <w:rPr>
                <w:b/>
                <w:bCs/>
              </w:rPr>
            </w:pPr>
          </w:p>
          <w:p w14:paraId="0410A141" w14:textId="31553A05" w:rsidR="00387176" w:rsidRDefault="00387176" w:rsidP="00387176">
            <w:pPr>
              <w:widowControl w:val="0"/>
              <w:tabs>
                <w:tab w:val="left" w:pos="1701"/>
              </w:tabs>
            </w:pPr>
            <w:r w:rsidRPr="00583C98">
              <w:t xml:space="preserve">Underlaget utgjordes </w:t>
            </w:r>
            <w:r>
              <w:t xml:space="preserve">av </w:t>
            </w:r>
            <w:r w:rsidRPr="00583C98">
              <w:t>faktapromemoria 202</w:t>
            </w:r>
            <w:r>
              <w:t>5</w:t>
            </w:r>
            <w:r w:rsidRPr="00583C98">
              <w:t>/</w:t>
            </w:r>
            <w:proofErr w:type="gramStart"/>
            <w:r w:rsidRPr="00583C98">
              <w:t>2</w:t>
            </w:r>
            <w:r>
              <w:t>6</w:t>
            </w:r>
            <w:r w:rsidRPr="00583C98">
              <w:t>:FPM</w:t>
            </w:r>
            <w:proofErr w:type="gramEnd"/>
            <w:r>
              <w:t>11.</w:t>
            </w:r>
          </w:p>
          <w:p w14:paraId="0D06DC42" w14:textId="77777777" w:rsidR="00387176" w:rsidRDefault="00387176" w:rsidP="00387176">
            <w:pPr>
              <w:widowControl w:val="0"/>
              <w:tabs>
                <w:tab w:val="left" w:pos="1701"/>
              </w:tabs>
            </w:pPr>
          </w:p>
          <w:p w14:paraId="5B3C98CE" w14:textId="2D9FA596" w:rsidR="00387176" w:rsidRDefault="00387176" w:rsidP="00387176">
            <w:pPr>
              <w:widowControl w:val="0"/>
              <w:tabs>
                <w:tab w:val="left" w:pos="1701"/>
              </w:tabs>
            </w:pPr>
            <w:r>
              <w:t>S</w:t>
            </w:r>
            <w:r w:rsidRPr="00540396">
              <w:t>tatssekreterare Daniel Liljeberg</w:t>
            </w:r>
            <w:r w:rsidRPr="007B15BC">
              <w:t>,</w:t>
            </w:r>
            <w:r>
              <w:t xml:space="preserve"> </w:t>
            </w:r>
            <w:r w:rsidRPr="005E2B1F">
              <w:t>redogjorde för regeringens ståndpunkt i enlighet med faktapromemorian:</w:t>
            </w:r>
          </w:p>
          <w:p w14:paraId="60A0482D" w14:textId="7FFDDAA2" w:rsidR="00387176" w:rsidRDefault="00387176" w:rsidP="00387176">
            <w:pPr>
              <w:widowControl w:val="0"/>
              <w:tabs>
                <w:tab w:val="left" w:pos="1701"/>
              </w:tabs>
            </w:pPr>
          </w:p>
          <w:p w14:paraId="3FFEDF30" w14:textId="77777777" w:rsidR="00387176" w:rsidRDefault="00387176" w:rsidP="00387176">
            <w:pPr>
              <w:widowControl w:val="0"/>
              <w:tabs>
                <w:tab w:val="left" w:pos="1701"/>
              </w:tabs>
              <w:ind w:left="574"/>
            </w:pPr>
            <w:r>
              <w:t>Regeringens ståndpunkter avseende övergripande principer för den fleråriga budgetramen och dess storlek, inklusive för enskilda fonder och program, behandlas i faktapromemoria 2025/</w:t>
            </w:r>
            <w:proofErr w:type="gramStart"/>
            <w:r>
              <w:t>26:FPM</w:t>
            </w:r>
            <w:proofErr w:type="gramEnd"/>
            <w:r>
              <w:t xml:space="preserve">3. </w:t>
            </w:r>
          </w:p>
          <w:p w14:paraId="674A4802" w14:textId="38020176" w:rsidR="00387176" w:rsidRDefault="00387176" w:rsidP="00387176">
            <w:pPr>
              <w:widowControl w:val="0"/>
              <w:tabs>
                <w:tab w:val="left" w:pos="1701"/>
              </w:tabs>
              <w:ind w:left="574"/>
            </w:pPr>
            <w:r>
              <w:t xml:space="preserve"> </w:t>
            </w:r>
          </w:p>
          <w:p w14:paraId="27B95948" w14:textId="77777777" w:rsidR="00387176" w:rsidRDefault="00387176" w:rsidP="00387176">
            <w:pPr>
              <w:widowControl w:val="0"/>
              <w:tabs>
                <w:tab w:val="left" w:pos="1701"/>
              </w:tabs>
              <w:ind w:left="574"/>
            </w:pPr>
            <w:r>
              <w:t xml:space="preserve">Regeringens ståndpunkter avseende kommissionens förslag till förordning med grundläggande bestämmelser för en övergripande </w:t>
            </w:r>
          </w:p>
          <w:p w14:paraId="0CA2EFDC" w14:textId="2FC50DAE" w:rsidR="00387176" w:rsidRDefault="00387176" w:rsidP="00387176">
            <w:pPr>
              <w:widowControl w:val="0"/>
              <w:tabs>
                <w:tab w:val="left" w:pos="1701"/>
              </w:tabs>
              <w:ind w:left="574"/>
            </w:pPr>
            <w:r>
              <w:t>EU-fond under delad förvaltning behandlas i faktapromemoria 2025/</w:t>
            </w:r>
            <w:proofErr w:type="gramStart"/>
            <w:r>
              <w:t>26:FPM</w:t>
            </w:r>
            <w:proofErr w:type="gramEnd"/>
            <w:r>
              <w:t xml:space="preserve">10.  </w:t>
            </w:r>
          </w:p>
          <w:p w14:paraId="35AA8C80" w14:textId="77777777" w:rsidR="00387176" w:rsidRDefault="00387176" w:rsidP="00387176">
            <w:pPr>
              <w:widowControl w:val="0"/>
              <w:tabs>
                <w:tab w:val="left" w:pos="1701"/>
              </w:tabs>
              <w:ind w:left="574"/>
            </w:pPr>
          </w:p>
          <w:p w14:paraId="1282C30A" w14:textId="77777777" w:rsidR="00F13BB9" w:rsidRDefault="00387176" w:rsidP="00387176">
            <w:pPr>
              <w:widowControl w:val="0"/>
              <w:tabs>
                <w:tab w:val="left" w:pos="1701"/>
              </w:tabs>
              <w:ind w:left="574"/>
            </w:pPr>
            <w:r>
              <w:t xml:space="preserve">Regeringen anser att det är positivt att ERUF och sammanhållningsfonden föreslås stödja insatser för att minska regionala </w:t>
            </w:r>
          </w:p>
          <w:p w14:paraId="1BC69654" w14:textId="77777777" w:rsidR="00F13BB9" w:rsidRDefault="00387176" w:rsidP="00387176">
            <w:pPr>
              <w:widowControl w:val="0"/>
              <w:tabs>
                <w:tab w:val="left" w:pos="1701"/>
              </w:tabs>
              <w:ind w:left="574"/>
            </w:pPr>
            <w:r>
              <w:t>obalanser i unionen och eftersläpningen i de minst gynnade regionerna och främja europeiskt territoriellt samarbete (</w:t>
            </w:r>
            <w:proofErr w:type="spellStart"/>
            <w:r>
              <w:t>Interreg</w:t>
            </w:r>
            <w:proofErr w:type="spellEnd"/>
            <w:r>
              <w:t xml:space="preserve">). Regeringen anser att den största delen av resurserna bör gå till de minst utvecklade regionerna. Statusen för de glesbefolkade regionerna i anslutningsprotokollet är en viktig prioritet för Sverige. </w:t>
            </w:r>
          </w:p>
          <w:p w14:paraId="61D87016" w14:textId="2C81CBBD" w:rsidR="00387176" w:rsidRDefault="00387176" w:rsidP="00387176">
            <w:pPr>
              <w:widowControl w:val="0"/>
              <w:tabs>
                <w:tab w:val="left" w:pos="1701"/>
              </w:tabs>
              <w:ind w:left="574"/>
            </w:pPr>
            <w:r>
              <w:t xml:space="preserve">Regeringen välkomnar att dessa områden specifikt omnämns i förslaget men är kritisk till att den särskilda budgetposten för de glesbefolkade regionerna inte återfinns i kommissionens förslag. </w:t>
            </w:r>
          </w:p>
          <w:p w14:paraId="3650795E" w14:textId="77777777" w:rsidR="00387176" w:rsidRDefault="00387176" w:rsidP="00387176">
            <w:pPr>
              <w:widowControl w:val="0"/>
              <w:tabs>
                <w:tab w:val="left" w:pos="1701"/>
              </w:tabs>
              <w:ind w:left="574"/>
            </w:pPr>
          </w:p>
          <w:p w14:paraId="4750D96D" w14:textId="484CCCB6" w:rsidR="00387176" w:rsidRDefault="00387176" w:rsidP="00387176">
            <w:pPr>
              <w:widowControl w:val="0"/>
              <w:tabs>
                <w:tab w:val="left" w:pos="1701"/>
              </w:tabs>
              <w:ind w:left="574"/>
            </w:pPr>
            <w:r>
              <w:t xml:space="preserve">Regeringens utgångspunkt är vidare att insatserna bör inriktas mot konkurrenskraft, innovation samt grön och digital omställning för att bidra till ökad tillväxt och sysselsättning och minskade regionala skillnader i EU.  </w:t>
            </w:r>
          </w:p>
          <w:p w14:paraId="4556397C" w14:textId="77777777" w:rsidR="00387176" w:rsidRDefault="00387176" w:rsidP="00387176">
            <w:pPr>
              <w:widowControl w:val="0"/>
              <w:tabs>
                <w:tab w:val="left" w:pos="1701"/>
              </w:tabs>
              <w:ind w:left="574"/>
            </w:pPr>
          </w:p>
          <w:p w14:paraId="03B217D9" w14:textId="17E81BF2" w:rsidR="00387176" w:rsidRDefault="00387176" w:rsidP="00387176">
            <w:pPr>
              <w:widowControl w:val="0"/>
              <w:tabs>
                <w:tab w:val="left" w:pos="1701"/>
              </w:tabs>
              <w:ind w:left="574"/>
            </w:pPr>
            <w:r>
              <w:t xml:space="preserve">Regeringen välkomnar att insatserna enligt ramförordningen i högre utsträckning ska riktas mot utbyggnaden av gränsöverskridande militär mobilitet, kritisk infrastruktur och beredskap.  </w:t>
            </w:r>
          </w:p>
          <w:p w14:paraId="3E84DAD8" w14:textId="77777777" w:rsidR="00387176" w:rsidRDefault="00387176" w:rsidP="00387176">
            <w:pPr>
              <w:widowControl w:val="0"/>
              <w:tabs>
                <w:tab w:val="left" w:pos="1701"/>
              </w:tabs>
              <w:ind w:left="574"/>
            </w:pPr>
          </w:p>
          <w:p w14:paraId="62498CDD" w14:textId="09CC78B3" w:rsidR="00387176" w:rsidRDefault="00387176" w:rsidP="00387176">
            <w:pPr>
              <w:widowControl w:val="0"/>
              <w:tabs>
                <w:tab w:val="left" w:pos="1701"/>
              </w:tabs>
              <w:ind w:left="574"/>
            </w:pPr>
            <w:r>
              <w:t xml:space="preserve">Det är viktigt att regelverket för ERUF och SF främjar innovativa insatser och konkurrenskraft. Exempelvis bör mål och indikatorer vara teknikneutrala. </w:t>
            </w:r>
          </w:p>
          <w:p w14:paraId="043F118B" w14:textId="77777777" w:rsidR="00387176" w:rsidRDefault="00387176" w:rsidP="00387176">
            <w:pPr>
              <w:widowControl w:val="0"/>
              <w:tabs>
                <w:tab w:val="left" w:pos="1701"/>
              </w:tabs>
              <w:ind w:left="574"/>
            </w:pPr>
          </w:p>
          <w:p w14:paraId="076D834F" w14:textId="77777777" w:rsidR="00387176" w:rsidRDefault="00387176" w:rsidP="00387176">
            <w:pPr>
              <w:widowControl w:val="0"/>
              <w:tabs>
                <w:tab w:val="left" w:pos="1701"/>
              </w:tabs>
              <w:ind w:left="574"/>
            </w:pPr>
            <w:r>
              <w:t>Det gränsöverskridande samarbetet (</w:t>
            </w:r>
            <w:proofErr w:type="spellStart"/>
            <w:r>
              <w:t>Interreg</w:t>
            </w:r>
            <w:proofErr w:type="spellEnd"/>
            <w:r>
              <w:t xml:space="preserve">) har enligt regeringen ett genuint europeiskt mervärde genom att möjliggöra gemensamma utvecklingsprojekt över nationsgränserna. Regeringen välkomnar att kommissionens förslaget omfattar samtliga typer av samarbeten (gränsregionalt samarbete inklusive maritima gränsregioner, transnationellt samarbete, interregionalt samarbete och samarbete i de yttersta randområdena). Samarbete i maritima gränsregioner är en viktig prioritet för Sverige som regeringen </w:t>
            </w:r>
            <w:r>
              <w:lastRenderedPageBreak/>
              <w:t xml:space="preserve">kommer bevaka. </w:t>
            </w:r>
          </w:p>
          <w:p w14:paraId="0101C5FC" w14:textId="77777777" w:rsidR="00387176" w:rsidRDefault="00387176" w:rsidP="00387176">
            <w:pPr>
              <w:widowControl w:val="0"/>
              <w:tabs>
                <w:tab w:val="left" w:pos="1701"/>
              </w:tabs>
              <w:ind w:left="574"/>
            </w:pPr>
          </w:p>
          <w:p w14:paraId="4EA3C7D6" w14:textId="77777777" w:rsidR="00F13BB9" w:rsidRDefault="00387176" w:rsidP="00387176">
            <w:pPr>
              <w:widowControl w:val="0"/>
              <w:tabs>
                <w:tab w:val="left" w:pos="1701"/>
              </w:tabs>
              <w:ind w:left="574"/>
            </w:pPr>
            <w:r>
              <w:t xml:space="preserve">Regeringen önskar se förtydliganden från EU-kommissionen om den roll som de makroregionala strategierna väntas spela inom </w:t>
            </w:r>
          </w:p>
          <w:p w14:paraId="06922E14" w14:textId="0A71E67C" w:rsidR="00387176" w:rsidRDefault="00387176" w:rsidP="00387176">
            <w:pPr>
              <w:widowControl w:val="0"/>
              <w:tabs>
                <w:tab w:val="left" w:pos="1701"/>
              </w:tabs>
              <w:ind w:left="574"/>
            </w:pPr>
            <w:r>
              <w:t xml:space="preserve">ramen för </w:t>
            </w:r>
            <w:proofErr w:type="spellStart"/>
            <w:r>
              <w:t>Interreg</w:t>
            </w:r>
            <w:proofErr w:type="spellEnd"/>
            <w:r>
              <w:t>-samarbetet framöver.</w:t>
            </w:r>
          </w:p>
          <w:p w14:paraId="3AA3F64E" w14:textId="0290C2EA" w:rsidR="00387176" w:rsidRDefault="00387176" w:rsidP="00387176">
            <w:pPr>
              <w:widowControl w:val="0"/>
              <w:tabs>
                <w:tab w:val="left" w:pos="1701"/>
              </w:tabs>
              <w:ind w:left="574"/>
            </w:pPr>
            <w:r>
              <w:t xml:space="preserve">  </w:t>
            </w:r>
          </w:p>
          <w:p w14:paraId="48B97575" w14:textId="09464025" w:rsidR="00387176" w:rsidRDefault="00387176" w:rsidP="00387176">
            <w:pPr>
              <w:widowControl w:val="0"/>
              <w:tabs>
                <w:tab w:val="left" w:pos="1701"/>
              </w:tabs>
              <w:ind w:left="574"/>
            </w:pPr>
            <w:r>
              <w:t xml:space="preserve">Regeringen är i princip positiv till en ny genomförandemodell som bygger på prestationsbaserad budgetering. Prestationsbaserad budgetering och genomförande kan ha flera fördelar vad avser fokus på resultat och måluppfyllnad. Det kräver dock att modellen utformas med relevanta mål och ändamålsenliga åtgärder samtidigt som EU:s finansiella intressen skyddas. </w:t>
            </w:r>
          </w:p>
          <w:p w14:paraId="67178103" w14:textId="0BBD4B6D" w:rsidR="00F527EE" w:rsidRDefault="00F527EE" w:rsidP="00387176">
            <w:pPr>
              <w:widowControl w:val="0"/>
              <w:tabs>
                <w:tab w:val="left" w:pos="1701"/>
              </w:tabs>
              <w:ind w:left="574"/>
            </w:pPr>
          </w:p>
          <w:p w14:paraId="4B42D03B" w14:textId="77777777" w:rsidR="00F527EE" w:rsidRDefault="00F527EE" w:rsidP="00F527EE">
            <w:pPr>
              <w:widowControl w:val="0"/>
              <w:tabs>
                <w:tab w:val="left" w:pos="1701"/>
              </w:tabs>
            </w:pPr>
            <w:r>
              <w:t>Ordföranden konstaterade att det fanns stöd för regeringens ståndpunkt.</w:t>
            </w:r>
          </w:p>
          <w:p w14:paraId="78034752" w14:textId="77777777" w:rsidR="00F527EE" w:rsidRDefault="00F527EE" w:rsidP="00F527EE">
            <w:pPr>
              <w:widowControl w:val="0"/>
              <w:tabs>
                <w:tab w:val="left" w:pos="1701"/>
              </w:tabs>
              <w:ind w:left="5"/>
            </w:pPr>
          </w:p>
          <w:p w14:paraId="3C70DC82" w14:textId="16B967F1" w:rsidR="00664B10" w:rsidRDefault="00664B10" w:rsidP="00664B10">
            <w:pPr>
              <w:widowControl w:val="0"/>
              <w:tabs>
                <w:tab w:val="left" w:pos="1701"/>
              </w:tabs>
            </w:pPr>
            <w:r w:rsidRPr="00126CAC">
              <w:t>Under överläggningen närvarade även en tjänsteman från EU-nämndens kansli.</w:t>
            </w:r>
          </w:p>
          <w:p w14:paraId="4D3BEBAA" w14:textId="195610F8" w:rsidR="00C76CA9" w:rsidRPr="00C76CA9" w:rsidRDefault="00C76CA9" w:rsidP="00D75546">
            <w:pPr>
              <w:widowControl w:val="0"/>
              <w:tabs>
                <w:tab w:val="left" w:pos="1701"/>
              </w:tabs>
              <w:rPr>
                <w:b/>
                <w:bCs/>
              </w:rPr>
            </w:pPr>
          </w:p>
        </w:tc>
      </w:tr>
      <w:tr w:rsidR="0099609F" w:rsidRPr="00C76CA9" w14:paraId="36BD1B50" w14:textId="77777777" w:rsidTr="001324AA">
        <w:trPr>
          <w:trHeight w:val="950"/>
        </w:trPr>
        <w:tc>
          <w:tcPr>
            <w:tcW w:w="567" w:type="dxa"/>
          </w:tcPr>
          <w:p w14:paraId="627E6BAC" w14:textId="6089B3E8" w:rsidR="0099609F" w:rsidRDefault="0099609F" w:rsidP="00DC0D46">
            <w:pPr>
              <w:tabs>
                <w:tab w:val="left" w:pos="1701"/>
              </w:tabs>
              <w:rPr>
                <w:b/>
                <w:snapToGrid w:val="0"/>
              </w:rPr>
            </w:pPr>
            <w:r>
              <w:rPr>
                <w:b/>
                <w:snapToGrid w:val="0"/>
              </w:rPr>
              <w:lastRenderedPageBreak/>
              <w:t>§ 4</w:t>
            </w:r>
          </w:p>
        </w:tc>
        <w:tc>
          <w:tcPr>
            <w:tcW w:w="7162" w:type="dxa"/>
          </w:tcPr>
          <w:p w14:paraId="3E574C4C" w14:textId="77777777" w:rsidR="00CA675E" w:rsidRDefault="00CA675E" w:rsidP="00387176">
            <w:pPr>
              <w:widowControl w:val="0"/>
              <w:tabs>
                <w:tab w:val="left" w:pos="1701"/>
              </w:tabs>
              <w:rPr>
                <w:b/>
                <w:bCs/>
              </w:rPr>
            </w:pPr>
            <w:r w:rsidRPr="00F05BA2">
              <w:rPr>
                <w:b/>
                <w:bCs/>
              </w:rPr>
              <w:t>Regelverket för framtidens el- och gasnät</w:t>
            </w:r>
            <w:r>
              <w:rPr>
                <w:b/>
                <w:bCs/>
              </w:rPr>
              <w:t xml:space="preserve"> (NU10)</w:t>
            </w:r>
          </w:p>
          <w:p w14:paraId="60EDE66C" w14:textId="77777777" w:rsidR="0099609F" w:rsidRDefault="00CA675E" w:rsidP="00387176">
            <w:pPr>
              <w:widowControl w:val="0"/>
              <w:tabs>
                <w:tab w:val="left" w:pos="1701"/>
              </w:tabs>
              <w:rPr>
                <w:szCs w:val="23"/>
              </w:rPr>
            </w:pPr>
            <w:r>
              <w:rPr>
                <w:b/>
                <w:bCs/>
              </w:rPr>
              <w:br/>
            </w:r>
            <w:r w:rsidRPr="00CA675E">
              <w:rPr>
                <w:szCs w:val="23"/>
              </w:rPr>
              <w:t xml:space="preserve">Utskottet inledde beredningen av </w:t>
            </w:r>
            <w:r>
              <w:rPr>
                <w:szCs w:val="23"/>
              </w:rPr>
              <w:t>proposition 2025/26:26 och motioner.</w:t>
            </w:r>
          </w:p>
          <w:p w14:paraId="1BA0848B" w14:textId="77777777" w:rsidR="00CA675E" w:rsidRDefault="00CA675E" w:rsidP="00387176">
            <w:pPr>
              <w:widowControl w:val="0"/>
              <w:tabs>
                <w:tab w:val="left" w:pos="1701"/>
              </w:tabs>
              <w:rPr>
                <w:szCs w:val="23"/>
              </w:rPr>
            </w:pPr>
          </w:p>
          <w:p w14:paraId="0CF0D98F" w14:textId="77777777" w:rsidR="00CA675E" w:rsidRDefault="00CA675E" w:rsidP="00387176">
            <w:pPr>
              <w:widowControl w:val="0"/>
              <w:tabs>
                <w:tab w:val="left" w:pos="1701"/>
              </w:tabs>
              <w:rPr>
                <w:szCs w:val="23"/>
              </w:rPr>
            </w:pPr>
            <w:r>
              <w:rPr>
                <w:szCs w:val="23"/>
              </w:rPr>
              <w:t>Ärendet bordlades.</w:t>
            </w:r>
          </w:p>
          <w:p w14:paraId="26F59761" w14:textId="21607839" w:rsidR="00CA675E" w:rsidRPr="00387176" w:rsidRDefault="00CA675E" w:rsidP="00387176">
            <w:pPr>
              <w:widowControl w:val="0"/>
              <w:tabs>
                <w:tab w:val="left" w:pos="1701"/>
              </w:tabs>
              <w:rPr>
                <w:b/>
                <w:bCs/>
              </w:rPr>
            </w:pPr>
          </w:p>
        </w:tc>
      </w:tr>
      <w:tr w:rsidR="0099609F" w:rsidRPr="00C76CA9" w14:paraId="60032CCF" w14:textId="77777777" w:rsidTr="001324AA">
        <w:trPr>
          <w:trHeight w:val="950"/>
        </w:trPr>
        <w:tc>
          <w:tcPr>
            <w:tcW w:w="567" w:type="dxa"/>
          </w:tcPr>
          <w:p w14:paraId="61861087" w14:textId="1D778EBE" w:rsidR="0099609F" w:rsidRDefault="0099609F" w:rsidP="00DC0D46">
            <w:pPr>
              <w:tabs>
                <w:tab w:val="left" w:pos="1701"/>
              </w:tabs>
              <w:rPr>
                <w:b/>
                <w:snapToGrid w:val="0"/>
              </w:rPr>
            </w:pPr>
            <w:r>
              <w:rPr>
                <w:b/>
                <w:snapToGrid w:val="0"/>
              </w:rPr>
              <w:t>§</w:t>
            </w:r>
            <w:r w:rsidR="00CA675E">
              <w:rPr>
                <w:b/>
                <w:snapToGrid w:val="0"/>
              </w:rPr>
              <w:t xml:space="preserve"> </w:t>
            </w:r>
            <w:r>
              <w:rPr>
                <w:b/>
                <w:snapToGrid w:val="0"/>
              </w:rPr>
              <w:t>5</w:t>
            </w:r>
          </w:p>
        </w:tc>
        <w:tc>
          <w:tcPr>
            <w:tcW w:w="7162" w:type="dxa"/>
          </w:tcPr>
          <w:p w14:paraId="5197C76C" w14:textId="5D7256AB" w:rsidR="00CA675E" w:rsidRDefault="00CA675E" w:rsidP="00CA675E">
            <w:pPr>
              <w:widowControl w:val="0"/>
              <w:tabs>
                <w:tab w:val="left" w:pos="1701"/>
              </w:tabs>
              <w:rPr>
                <w:b/>
                <w:bCs/>
              </w:rPr>
            </w:pPr>
            <w:r w:rsidRPr="00CA675E">
              <w:rPr>
                <w:b/>
                <w:bCs/>
              </w:rPr>
              <w:t xml:space="preserve">Kommissionens arbetsprogram 2026 </w:t>
            </w:r>
          </w:p>
          <w:p w14:paraId="080550E0" w14:textId="77777777" w:rsidR="00CA675E" w:rsidRDefault="00CA675E" w:rsidP="00CA675E">
            <w:pPr>
              <w:widowControl w:val="0"/>
              <w:tabs>
                <w:tab w:val="left" w:pos="1701"/>
              </w:tabs>
            </w:pPr>
          </w:p>
          <w:p w14:paraId="54CA8453" w14:textId="3247D00D" w:rsidR="00CA675E" w:rsidRPr="00661051" w:rsidRDefault="00CA675E" w:rsidP="00CA675E">
            <w:pPr>
              <w:widowControl w:val="0"/>
              <w:tabs>
                <w:tab w:val="left" w:pos="1701"/>
              </w:tabs>
            </w:pPr>
            <w:r w:rsidRPr="00661051">
              <w:t>Utskottet behandlade fråga om yttrande till utrikesutskottet över kommissionens arbetsprogram 202</w:t>
            </w:r>
            <w:r>
              <w:t>6</w:t>
            </w:r>
            <w:r w:rsidRPr="00661051">
              <w:t>.</w:t>
            </w:r>
          </w:p>
          <w:p w14:paraId="7843354C" w14:textId="77777777" w:rsidR="00CA675E" w:rsidRPr="00661051" w:rsidRDefault="00CA675E" w:rsidP="00CA675E">
            <w:pPr>
              <w:widowControl w:val="0"/>
              <w:tabs>
                <w:tab w:val="left" w:pos="1701"/>
              </w:tabs>
            </w:pPr>
          </w:p>
          <w:p w14:paraId="67F0B1D7" w14:textId="77777777" w:rsidR="0099609F" w:rsidRDefault="00F13BB9" w:rsidP="00CA675E">
            <w:pPr>
              <w:widowControl w:val="0"/>
              <w:tabs>
                <w:tab w:val="left" w:pos="1701"/>
              </w:tabs>
              <w:rPr>
                <w:iCs/>
                <w:szCs w:val="23"/>
              </w:rPr>
            </w:pPr>
            <w:r w:rsidRPr="001050C1">
              <w:rPr>
                <w:iCs/>
                <w:szCs w:val="23"/>
              </w:rPr>
              <w:t xml:space="preserve">Utskottet beslutade att inte yttra sig. </w:t>
            </w:r>
          </w:p>
          <w:p w14:paraId="6F3504B9" w14:textId="2778FF8E" w:rsidR="00F13BB9" w:rsidRPr="00387176" w:rsidRDefault="00F13BB9" w:rsidP="00CA675E">
            <w:pPr>
              <w:widowControl w:val="0"/>
              <w:tabs>
                <w:tab w:val="left" w:pos="1701"/>
              </w:tabs>
              <w:rPr>
                <w:b/>
                <w:bCs/>
              </w:rPr>
            </w:pPr>
          </w:p>
        </w:tc>
      </w:tr>
      <w:tr w:rsidR="00CA675E" w:rsidRPr="00C76CA9" w14:paraId="0BA9FA75" w14:textId="77777777" w:rsidTr="001324AA">
        <w:trPr>
          <w:trHeight w:val="950"/>
        </w:trPr>
        <w:tc>
          <w:tcPr>
            <w:tcW w:w="567" w:type="dxa"/>
          </w:tcPr>
          <w:p w14:paraId="0C25897B" w14:textId="7EE6E487" w:rsidR="00CA675E" w:rsidRDefault="00CA675E" w:rsidP="00DC0D46">
            <w:pPr>
              <w:tabs>
                <w:tab w:val="left" w:pos="1701"/>
              </w:tabs>
              <w:rPr>
                <w:b/>
                <w:snapToGrid w:val="0"/>
              </w:rPr>
            </w:pPr>
            <w:r>
              <w:rPr>
                <w:b/>
                <w:snapToGrid w:val="0"/>
              </w:rPr>
              <w:t>§ 6</w:t>
            </w:r>
          </w:p>
        </w:tc>
        <w:tc>
          <w:tcPr>
            <w:tcW w:w="7162" w:type="dxa"/>
          </w:tcPr>
          <w:p w14:paraId="185CEEAC" w14:textId="77777777" w:rsidR="00CA675E" w:rsidRDefault="00CA675E" w:rsidP="00CA675E">
            <w:pPr>
              <w:spacing w:after="200" w:line="280" w:lineRule="exact"/>
              <w:rPr>
                <w:b/>
                <w:bCs/>
              </w:rPr>
            </w:pPr>
            <w:r w:rsidRPr="00CA675E">
              <w:rPr>
                <w:b/>
                <w:bCs/>
              </w:rPr>
              <w:t>Anmälan av inkom</w:t>
            </w:r>
            <w:r>
              <w:rPr>
                <w:b/>
                <w:bCs/>
              </w:rPr>
              <w:t>men</w:t>
            </w:r>
            <w:r w:rsidRPr="00CA675E">
              <w:rPr>
                <w:b/>
                <w:bCs/>
              </w:rPr>
              <w:t xml:space="preserve"> skrivelse</w:t>
            </w:r>
          </w:p>
          <w:p w14:paraId="1717EB49" w14:textId="17E37B58" w:rsidR="00CA675E" w:rsidRPr="00F13BB9" w:rsidRDefault="00CA675E" w:rsidP="00F13BB9">
            <w:pPr>
              <w:widowControl w:val="0"/>
              <w:tabs>
                <w:tab w:val="left" w:pos="1701"/>
              </w:tabs>
            </w:pPr>
            <w:r w:rsidRPr="00CA675E">
              <w:t>Inkom</w:t>
            </w:r>
            <w:r>
              <w:t>men</w:t>
            </w:r>
            <w:r w:rsidRPr="00CA675E">
              <w:t xml:space="preserve"> skrivelse anmäldes (dnr </w:t>
            </w:r>
            <w:r>
              <w:t>91</w:t>
            </w:r>
            <w:r w:rsidRPr="00CA675E">
              <w:t>–202</w:t>
            </w:r>
            <w:r>
              <w:t>5</w:t>
            </w:r>
            <w:r w:rsidRPr="00CA675E">
              <w:t>/2</w:t>
            </w:r>
            <w:r>
              <w:t>6).</w:t>
            </w:r>
          </w:p>
        </w:tc>
      </w:tr>
      <w:tr w:rsidR="002E505E" w:rsidRPr="006C0F9A" w14:paraId="33046147" w14:textId="77777777" w:rsidTr="001324AA">
        <w:trPr>
          <w:trHeight w:val="950"/>
        </w:trPr>
        <w:tc>
          <w:tcPr>
            <w:tcW w:w="567" w:type="dxa"/>
          </w:tcPr>
          <w:p w14:paraId="226051D7" w14:textId="47E9D784" w:rsidR="002E505E" w:rsidRPr="006C0F9A" w:rsidRDefault="002E505E" w:rsidP="002E505E">
            <w:pPr>
              <w:tabs>
                <w:tab w:val="left" w:pos="1701"/>
              </w:tabs>
              <w:rPr>
                <w:b/>
                <w:snapToGrid w:val="0"/>
              </w:rPr>
            </w:pPr>
            <w:r w:rsidRPr="006C0F9A">
              <w:rPr>
                <w:b/>
                <w:snapToGrid w:val="0"/>
              </w:rPr>
              <w:t xml:space="preserve">§ </w:t>
            </w:r>
            <w:r w:rsidR="00F13BB9">
              <w:rPr>
                <w:b/>
                <w:snapToGrid w:val="0"/>
              </w:rPr>
              <w:t>7</w:t>
            </w:r>
          </w:p>
        </w:tc>
        <w:tc>
          <w:tcPr>
            <w:tcW w:w="7162" w:type="dxa"/>
          </w:tcPr>
          <w:p w14:paraId="1A717359" w14:textId="22CEF21D" w:rsidR="002E505E" w:rsidRPr="006C0F9A" w:rsidRDefault="002E505E" w:rsidP="002E505E">
            <w:pPr>
              <w:widowControl w:val="0"/>
              <w:tabs>
                <w:tab w:val="left" w:pos="1701"/>
              </w:tabs>
              <w:rPr>
                <w:b/>
              </w:rPr>
            </w:pPr>
            <w:r w:rsidRPr="006C0F9A">
              <w:rPr>
                <w:b/>
              </w:rPr>
              <w:t>Nästa sammanträde</w:t>
            </w:r>
            <w:r>
              <w:rPr>
                <w:b/>
              </w:rPr>
              <w:br/>
            </w:r>
          </w:p>
          <w:p w14:paraId="64307BA5" w14:textId="77A263CE" w:rsidR="002E505E" w:rsidRPr="006C0F9A" w:rsidRDefault="002E505E" w:rsidP="002E505E">
            <w:pPr>
              <w:spacing w:after="200" w:line="280" w:lineRule="exact"/>
              <w:rPr>
                <w:bCs/>
              </w:rPr>
            </w:pPr>
            <w:r w:rsidRPr="000451FD">
              <w:rPr>
                <w:bCs/>
              </w:rPr>
              <w:t xml:space="preserve">Nästa sammanträde äger rum </w:t>
            </w:r>
            <w:r>
              <w:rPr>
                <w:bCs/>
              </w:rPr>
              <w:t>t</w:t>
            </w:r>
            <w:r w:rsidR="00665057">
              <w:rPr>
                <w:bCs/>
              </w:rPr>
              <w:t>ors</w:t>
            </w:r>
            <w:r w:rsidRPr="000451FD">
              <w:rPr>
                <w:bCs/>
              </w:rPr>
              <w:t xml:space="preserve">dagen den </w:t>
            </w:r>
            <w:r w:rsidR="0099609F">
              <w:rPr>
                <w:bCs/>
              </w:rPr>
              <w:t>6 november</w:t>
            </w:r>
            <w:r w:rsidRPr="000451FD">
              <w:rPr>
                <w:bCs/>
              </w:rPr>
              <w:t xml:space="preserve"> 202</w:t>
            </w:r>
            <w:r>
              <w:rPr>
                <w:bCs/>
              </w:rPr>
              <w:t>5</w:t>
            </w:r>
            <w:r w:rsidRPr="000451FD">
              <w:rPr>
                <w:bCs/>
              </w:rPr>
              <w:t xml:space="preserve"> </w:t>
            </w:r>
            <w:r>
              <w:rPr>
                <w:bCs/>
              </w:rPr>
              <w:br/>
            </w:r>
            <w:r w:rsidRPr="000451FD">
              <w:rPr>
                <w:bCs/>
              </w:rPr>
              <w:t>kl. 1</w:t>
            </w:r>
            <w:r w:rsidR="00665057">
              <w:rPr>
                <w:bCs/>
              </w:rPr>
              <w:t>0</w:t>
            </w:r>
            <w:r w:rsidRPr="000451FD">
              <w:rPr>
                <w:bCs/>
              </w:rPr>
              <w:t>.00.</w:t>
            </w:r>
          </w:p>
        </w:tc>
      </w:tr>
      <w:tr w:rsidR="002E505E" w:rsidRPr="006C0F9A" w14:paraId="448A3638" w14:textId="77777777" w:rsidTr="001324AA">
        <w:tc>
          <w:tcPr>
            <w:tcW w:w="7729" w:type="dxa"/>
            <w:gridSpan w:val="2"/>
          </w:tcPr>
          <w:p w14:paraId="1A3C2D8F" w14:textId="77777777" w:rsidR="002E505E" w:rsidRDefault="002E505E" w:rsidP="002E505E">
            <w:pPr>
              <w:tabs>
                <w:tab w:val="left" w:pos="1701"/>
              </w:tabs>
            </w:pPr>
          </w:p>
          <w:p w14:paraId="255F458B" w14:textId="77777777" w:rsidR="002E505E" w:rsidRDefault="002E505E" w:rsidP="002E505E">
            <w:pPr>
              <w:tabs>
                <w:tab w:val="left" w:pos="1701"/>
              </w:tabs>
            </w:pPr>
          </w:p>
          <w:p w14:paraId="194518D7" w14:textId="77777777" w:rsidR="002E505E" w:rsidRDefault="002E505E" w:rsidP="002E505E">
            <w:pPr>
              <w:tabs>
                <w:tab w:val="left" w:pos="1701"/>
              </w:tabs>
            </w:pPr>
          </w:p>
          <w:p w14:paraId="66CFE27D" w14:textId="77777777" w:rsidR="002E505E" w:rsidRDefault="002E505E" w:rsidP="002E505E">
            <w:pPr>
              <w:tabs>
                <w:tab w:val="left" w:pos="1701"/>
              </w:tabs>
            </w:pPr>
          </w:p>
          <w:p w14:paraId="00DBC1D3" w14:textId="233D3CA2" w:rsidR="002E505E" w:rsidRPr="006C0F9A" w:rsidRDefault="002E505E" w:rsidP="002E505E">
            <w:pPr>
              <w:tabs>
                <w:tab w:val="left" w:pos="1701"/>
              </w:tabs>
            </w:pPr>
            <w:r w:rsidRPr="006C0F9A">
              <w:t>Vid protokollet</w:t>
            </w:r>
          </w:p>
          <w:p w14:paraId="09A7756D" w14:textId="77777777" w:rsidR="002E505E" w:rsidRPr="006C0F9A" w:rsidRDefault="002E505E" w:rsidP="002E505E">
            <w:pPr>
              <w:tabs>
                <w:tab w:val="left" w:pos="1701"/>
              </w:tabs>
            </w:pPr>
          </w:p>
          <w:p w14:paraId="78508BCB" w14:textId="77777777" w:rsidR="002E505E" w:rsidRPr="006C0F9A" w:rsidRDefault="002E505E" w:rsidP="002E505E">
            <w:pPr>
              <w:tabs>
                <w:tab w:val="left" w:pos="1701"/>
              </w:tabs>
            </w:pPr>
          </w:p>
          <w:p w14:paraId="450FF51A" w14:textId="77777777" w:rsidR="002E505E" w:rsidRPr="006C0F9A" w:rsidRDefault="002E505E" w:rsidP="002E505E">
            <w:pPr>
              <w:tabs>
                <w:tab w:val="left" w:pos="1701"/>
              </w:tabs>
            </w:pPr>
            <w:r w:rsidRPr="006C0F9A">
              <w:t>Bibi Junttila</w:t>
            </w:r>
          </w:p>
          <w:p w14:paraId="103ABC8B" w14:textId="77777777" w:rsidR="002E505E" w:rsidRPr="006C0F9A" w:rsidRDefault="002E505E" w:rsidP="002E505E">
            <w:pPr>
              <w:tabs>
                <w:tab w:val="left" w:pos="1701"/>
              </w:tabs>
            </w:pPr>
          </w:p>
          <w:p w14:paraId="385FC8A9" w14:textId="77777777" w:rsidR="002E505E" w:rsidRPr="006C0F9A" w:rsidRDefault="002E505E" w:rsidP="002E505E">
            <w:pPr>
              <w:tabs>
                <w:tab w:val="left" w:pos="1701"/>
              </w:tabs>
            </w:pPr>
          </w:p>
          <w:p w14:paraId="4DA1BCA8" w14:textId="1AA7AA8D" w:rsidR="002E505E" w:rsidRPr="006C0F9A" w:rsidRDefault="002E505E" w:rsidP="002E505E">
            <w:pPr>
              <w:tabs>
                <w:tab w:val="left" w:pos="1701"/>
              </w:tabs>
            </w:pPr>
            <w:r w:rsidRPr="006C0F9A">
              <w:t xml:space="preserve">Justeras den </w:t>
            </w:r>
            <w:r w:rsidR="0099609F">
              <w:t>6 november</w:t>
            </w:r>
            <w:r>
              <w:t xml:space="preserve"> </w:t>
            </w:r>
            <w:r w:rsidRPr="006C0F9A">
              <w:t>202</w:t>
            </w:r>
            <w:r>
              <w:t>5</w:t>
            </w:r>
          </w:p>
          <w:p w14:paraId="50CF5AE3" w14:textId="77777777" w:rsidR="002E505E" w:rsidRPr="006C0F9A" w:rsidRDefault="002E505E" w:rsidP="002E505E">
            <w:pPr>
              <w:tabs>
                <w:tab w:val="left" w:pos="1701"/>
              </w:tabs>
            </w:pPr>
          </w:p>
          <w:p w14:paraId="3DDE98D9" w14:textId="77777777" w:rsidR="002E505E" w:rsidRPr="006C0F9A" w:rsidRDefault="002E505E" w:rsidP="002E505E">
            <w:pPr>
              <w:tabs>
                <w:tab w:val="left" w:pos="1701"/>
              </w:tabs>
            </w:pPr>
          </w:p>
          <w:p w14:paraId="540E52C5" w14:textId="4239BDB3" w:rsidR="002E505E" w:rsidRPr="006C0F9A" w:rsidRDefault="002E505E" w:rsidP="002E505E">
            <w:pPr>
              <w:tabs>
                <w:tab w:val="left" w:pos="1701"/>
              </w:tabs>
            </w:pPr>
            <w:r w:rsidRPr="006C0F9A">
              <w:t>Tobias Andersson</w:t>
            </w:r>
            <w:r>
              <w:br/>
            </w:r>
          </w:p>
        </w:tc>
      </w:tr>
    </w:tbl>
    <w:p w14:paraId="57E7BE0A" w14:textId="7353DC9B" w:rsidR="00141DEF" w:rsidRDefault="00255BCF">
      <w:bookmarkStart w:id="0" w:name="_Hlk97030853"/>
      <w:bookmarkStart w:id="1" w:name="_Hlk146185070"/>
      <w:r>
        <w:lastRenderedPageBreak/>
        <w:br/>
      </w:r>
    </w:p>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544"/>
        <w:gridCol w:w="284"/>
        <w:gridCol w:w="425"/>
        <w:gridCol w:w="283"/>
        <w:gridCol w:w="426"/>
        <w:gridCol w:w="425"/>
        <w:gridCol w:w="22"/>
        <w:gridCol w:w="582"/>
        <w:gridCol w:w="388"/>
        <w:gridCol w:w="11"/>
      </w:tblGrid>
      <w:tr w:rsidR="001D165A" w14:paraId="66CEFB4D" w14:textId="77777777" w:rsidTr="007216BA">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253" w:type="dxa"/>
            <w:gridSpan w:val="11"/>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283"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08BC9AF1" w:rsidR="001D165A" w:rsidRDefault="001D165A" w:rsidP="00FD0762">
            <w:pPr>
              <w:tabs>
                <w:tab w:val="left" w:pos="1701"/>
              </w:tabs>
            </w:pPr>
            <w:r>
              <w:rPr>
                <w:sz w:val="20"/>
              </w:rPr>
              <w:t>202</w:t>
            </w:r>
            <w:r w:rsidR="00424C45">
              <w:rPr>
                <w:sz w:val="20"/>
              </w:rPr>
              <w:t>5</w:t>
            </w:r>
            <w:r>
              <w:rPr>
                <w:sz w:val="20"/>
              </w:rPr>
              <w:t>/2</w:t>
            </w:r>
            <w:r w:rsidR="00424C45">
              <w:rPr>
                <w:sz w:val="20"/>
              </w:rPr>
              <w:t>6</w:t>
            </w:r>
            <w:r>
              <w:rPr>
                <w:sz w:val="20"/>
              </w:rPr>
              <w:t>:</w:t>
            </w:r>
            <w:r w:rsidR="0099609F">
              <w:rPr>
                <w:sz w:val="20"/>
              </w:rPr>
              <w:t>7</w:t>
            </w:r>
          </w:p>
        </w:tc>
      </w:tr>
      <w:tr w:rsidR="001D165A" w14:paraId="0DF86746" w14:textId="77777777" w:rsidTr="000051C9">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614E54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B37415">
              <w:rPr>
                <w:sz w:val="22"/>
                <w:szCs w:val="22"/>
              </w:rPr>
              <w:t>–</w:t>
            </w:r>
            <w:r w:rsidR="000051C9">
              <w:rPr>
                <w:sz w:val="22"/>
                <w:szCs w:val="22"/>
              </w:rPr>
              <w:t>3</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735E0E46"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4</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245034C2"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5–7</w:t>
            </w:r>
          </w:p>
        </w:tc>
        <w:tc>
          <w:tcPr>
            <w:tcW w:w="992" w:type="dxa"/>
            <w:gridSpan w:val="2"/>
            <w:tcBorders>
              <w:top w:val="single" w:sz="6" w:space="0" w:color="auto"/>
              <w:left w:val="single" w:sz="6" w:space="0" w:color="auto"/>
              <w:bottom w:val="single" w:sz="6" w:space="0" w:color="auto"/>
              <w:right w:val="single" w:sz="6" w:space="0" w:color="auto"/>
            </w:tcBorders>
          </w:tcPr>
          <w:p w14:paraId="12E63081" w14:textId="03D4B9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137CD33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6" w:space="0" w:color="auto"/>
              <w:left w:val="single" w:sz="6" w:space="0" w:color="auto"/>
              <w:bottom w:val="single" w:sz="6" w:space="0" w:color="auto"/>
              <w:right w:val="single" w:sz="6" w:space="0" w:color="auto"/>
            </w:tcBorders>
          </w:tcPr>
          <w:p w14:paraId="3C0F452F" w14:textId="071699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3E04951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0051C9">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37205ABD"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D7BAB4B" w14:textId="6F45DD4C" w:rsidR="001D165A" w:rsidRDefault="00457CA5"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6" w:type="dxa"/>
            <w:tcBorders>
              <w:top w:val="single" w:sz="6" w:space="0" w:color="auto"/>
              <w:left w:val="single" w:sz="6" w:space="0" w:color="auto"/>
              <w:bottom w:val="single" w:sz="6" w:space="0" w:color="auto"/>
              <w:right w:val="single" w:sz="6" w:space="0" w:color="auto"/>
            </w:tcBorders>
          </w:tcPr>
          <w:p w14:paraId="2C671591" w14:textId="775804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B333CC" w14:textId="3EE1CB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AD6BD9A" w14:textId="473E5F7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6" w:space="0" w:color="auto"/>
              <w:right w:val="single" w:sz="6" w:space="0" w:color="auto"/>
            </w:tcBorders>
          </w:tcPr>
          <w:p w14:paraId="5B348207" w14:textId="5594C4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86D3285" w14:textId="575370E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37C1FA" w14:textId="501BD8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5E67D3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853E96" w14:textId="3BD110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0051C9">
        <w:trPr>
          <w:gridAfter w:val="1"/>
          <w:wAfter w:w="11" w:type="dxa"/>
        </w:trPr>
        <w:tc>
          <w:tcPr>
            <w:tcW w:w="3190" w:type="dxa"/>
            <w:tcBorders>
              <w:top w:val="single" w:sz="6" w:space="0" w:color="auto"/>
              <w:left w:val="single" w:sz="6" w:space="0" w:color="auto"/>
              <w:bottom w:val="single" w:sz="4"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4"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4"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4"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4"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6" w:space="0" w:color="auto"/>
              <w:left w:val="single" w:sz="6" w:space="0" w:color="auto"/>
              <w:bottom w:val="single" w:sz="4"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4"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6" w:space="0" w:color="auto"/>
              <w:left w:val="single" w:sz="6" w:space="0" w:color="auto"/>
              <w:bottom w:val="single" w:sz="4"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4"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4"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4"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4"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4" w:space="0" w:color="auto"/>
              <w:left w:val="single" w:sz="4" w:space="0" w:color="auto"/>
              <w:bottom w:val="single" w:sz="4" w:space="0" w:color="auto"/>
              <w:right w:val="single" w:sz="4" w:space="0" w:color="auto"/>
            </w:tcBorders>
          </w:tcPr>
          <w:p w14:paraId="5F24ACA1" w14:textId="3404B711"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0C436AC" w14:textId="762CC9FB"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9DC392" w14:textId="49499F36"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1C98D9F" w14:textId="347855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4C0846F6" w14:textId="1C51A5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F0562EF" w14:textId="360222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6D42468" w14:textId="0D09C28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1F3F7F" w14:paraId="1D2BC9BA"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4" w:space="0" w:color="auto"/>
              <w:left w:val="single" w:sz="4" w:space="0" w:color="auto"/>
              <w:bottom w:val="single" w:sz="4" w:space="0" w:color="auto"/>
              <w:right w:val="single" w:sz="4" w:space="0" w:color="auto"/>
            </w:tcBorders>
          </w:tcPr>
          <w:p w14:paraId="6D0FCABF" w14:textId="33EFD0AE" w:rsidR="001D165A" w:rsidRPr="005E2B1F"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11E1E08A"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216FCCB3" w14:textId="2F4D986C" w:rsidR="001D165A" w:rsidRPr="005E2B1F"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425" w:type="dxa"/>
            <w:tcBorders>
              <w:top w:val="single" w:sz="4" w:space="0" w:color="auto"/>
              <w:left w:val="single" w:sz="4" w:space="0" w:color="auto"/>
              <w:bottom w:val="single" w:sz="4" w:space="0" w:color="auto"/>
              <w:right w:val="single" w:sz="4" w:space="0" w:color="auto"/>
            </w:tcBorders>
          </w:tcPr>
          <w:p w14:paraId="590CBC3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89CF42D" w14:textId="286DC129" w:rsidR="001D165A" w:rsidRPr="005E2B1F"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14:paraId="185041A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59F3A5AB" w14:textId="6DD448C0"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277094"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4B16C757" w14:textId="1CF0461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3EA2BE6"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7C974C0" w14:textId="76BE1BBA"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09A2E17D" w14:textId="7A272423"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8B11E1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4DDC8CEF" w14:textId="0733F52F"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21177D39" w14:textId="77777777" w:rsidR="001D165A" w:rsidRPr="005E2B1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rsidRPr="0021485D" w14:paraId="2D0DBF34"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366335F" w14:textId="12258452"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4" w:space="0" w:color="auto"/>
              <w:left w:val="single" w:sz="4" w:space="0" w:color="auto"/>
              <w:bottom w:val="single" w:sz="4" w:space="0" w:color="auto"/>
              <w:right w:val="single" w:sz="4"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4" w:space="0" w:color="auto"/>
              <w:left w:val="single" w:sz="4" w:space="0" w:color="auto"/>
              <w:bottom w:val="single" w:sz="4" w:space="0" w:color="auto"/>
              <w:right w:val="single" w:sz="4" w:space="0" w:color="auto"/>
            </w:tcBorders>
          </w:tcPr>
          <w:p w14:paraId="563F8A2D" w14:textId="4EDD32FC"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70B5930A" w14:textId="1597F84C"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4" w:space="0" w:color="auto"/>
              <w:left w:val="single" w:sz="4" w:space="0" w:color="auto"/>
              <w:bottom w:val="single" w:sz="4" w:space="0" w:color="auto"/>
              <w:right w:val="single" w:sz="4"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4" w:space="0" w:color="auto"/>
              <w:left w:val="single" w:sz="4" w:space="0" w:color="auto"/>
              <w:bottom w:val="single" w:sz="4" w:space="0" w:color="auto"/>
              <w:right w:val="single" w:sz="4" w:space="0" w:color="auto"/>
            </w:tcBorders>
          </w:tcPr>
          <w:p w14:paraId="4B2F61DB" w14:textId="7725CD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4" w:type="dxa"/>
            <w:tcBorders>
              <w:top w:val="single" w:sz="4" w:space="0" w:color="auto"/>
              <w:left w:val="single" w:sz="4" w:space="0" w:color="auto"/>
              <w:bottom w:val="single" w:sz="4" w:space="0" w:color="auto"/>
              <w:right w:val="single" w:sz="4"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4" w:space="0" w:color="auto"/>
              <w:left w:val="single" w:sz="4" w:space="0" w:color="auto"/>
              <w:bottom w:val="single" w:sz="4" w:space="0" w:color="auto"/>
              <w:right w:val="single" w:sz="4" w:space="0" w:color="auto"/>
            </w:tcBorders>
          </w:tcPr>
          <w:p w14:paraId="25E2374D" w14:textId="7ED58A0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3" w:type="dxa"/>
            <w:tcBorders>
              <w:top w:val="single" w:sz="4" w:space="0" w:color="auto"/>
              <w:left w:val="single" w:sz="4" w:space="0" w:color="auto"/>
              <w:bottom w:val="single" w:sz="4" w:space="0" w:color="auto"/>
              <w:right w:val="single" w:sz="4" w:space="0" w:color="auto"/>
            </w:tcBorders>
          </w:tcPr>
          <w:p w14:paraId="4CB771FD" w14:textId="5E537B6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4" w:space="0" w:color="auto"/>
              <w:left w:val="single" w:sz="4" w:space="0" w:color="auto"/>
              <w:bottom w:val="single" w:sz="4" w:space="0" w:color="auto"/>
              <w:right w:val="single" w:sz="4" w:space="0" w:color="auto"/>
            </w:tcBorders>
          </w:tcPr>
          <w:p w14:paraId="5A9932C1" w14:textId="606297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4" w:space="0" w:color="auto"/>
              <w:left w:val="single" w:sz="4" w:space="0" w:color="auto"/>
              <w:bottom w:val="single" w:sz="4" w:space="0" w:color="auto"/>
              <w:right w:val="single" w:sz="4"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4" w:space="0" w:color="auto"/>
              <w:left w:val="single" w:sz="4" w:space="0" w:color="auto"/>
              <w:bottom w:val="single" w:sz="4" w:space="0" w:color="auto"/>
              <w:right w:val="single" w:sz="4"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4" w:space="0" w:color="auto"/>
              <w:left w:val="single" w:sz="4" w:space="0" w:color="auto"/>
              <w:bottom w:val="single" w:sz="4" w:space="0" w:color="auto"/>
              <w:right w:val="single" w:sz="4"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6CE6C4" w14:textId="5637CBFF" w:rsidR="001D165A" w:rsidRDefault="000A3B9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A3B99">
              <w:rPr>
                <w:sz w:val="20"/>
              </w:rPr>
              <w:t>Jesper Skalberg Karlsson</w:t>
            </w:r>
            <w:r w:rsidR="00961582">
              <w:rPr>
                <w:sz w:val="20"/>
              </w:rPr>
              <w:t xml:space="preserve"> </w:t>
            </w:r>
            <w:r w:rsidR="001D165A" w:rsidRPr="00D36206">
              <w:rPr>
                <w:sz w:val="20"/>
              </w:rPr>
              <w:t>(M)</w:t>
            </w:r>
          </w:p>
        </w:tc>
        <w:tc>
          <w:tcPr>
            <w:tcW w:w="449" w:type="dxa"/>
            <w:tcBorders>
              <w:top w:val="single" w:sz="4" w:space="0" w:color="auto"/>
              <w:left w:val="single" w:sz="4" w:space="0" w:color="auto"/>
              <w:bottom w:val="single" w:sz="4" w:space="0" w:color="auto"/>
              <w:right w:val="single" w:sz="4" w:space="0" w:color="auto"/>
            </w:tcBorders>
          </w:tcPr>
          <w:p w14:paraId="03DD9B83" w14:textId="445200DA"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0D4FA10A" w14:textId="16F9DFE4"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750724A" w14:textId="021D2A25"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4D34E95" w14:textId="54B730C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973B1CE" w14:textId="4A9075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1850A75" w14:textId="119E87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4" w:space="0" w:color="auto"/>
              <w:left w:val="single" w:sz="4" w:space="0" w:color="auto"/>
              <w:bottom w:val="single" w:sz="4" w:space="0" w:color="auto"/>
              <w:right w:val="single" w:sz="4" w:space="0" w:color="auto"/>
            </w:tcBorders>
          </w:tcPr>
          <w:p w14:paraId="4CE452AC" w14:textId="18F7747A"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073920D" w14:textId="0B0EE85A"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32B0EC" w14:textId="33E67933"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C4657E0" w14:textId="6C4C7C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CB8D627" w14:textId="785FCE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1597CC5" w14:textId="735754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EC7013" w14:textId="5B6D9836" w:rsidR="001D165A" w:rsidRPr="00D36206"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 xml:space="preserve">Josef Fransson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119454CF" w14:textId="6FE4F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72D56A63" w14:textId="01CB50B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416FA42" w14:textId="6F4D3E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7E4E4C8" w14:textId="56BB6C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8EC02F" w14:textId="6D7C37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9888E03" w14:textId="289F8C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154300B" w14:textId="6F2419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4" w:space="0" w:color="auto"/>
              <w:left w:val="single" w:sz="4" w:space="0" w:color="auto"/>
              <w:bottom w:val="single" w:sz="4" w:space="0" w:color="auto"/>
              <w:right w:val="single" w:sz="4" w:space="0" w:color="auto"/>
            </w:tcBorders>
          </w:tcPr>
          <w:p w14:paraId="723B6279" w14:textId="683C3885"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7B0A1F0" w14:textId="55F472DA"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B526917" w14:textId="2BC4765E"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61D12B3F" w14:textId="337581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5813955" w14:textId="30B1BC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558EAAD3" w14:textId="3BF740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CC4ABBD" w14:textId="223DBE2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4" w:space="0" w:color="auto"/>
              <w:left w:val="single" w:sz="4" w:space="0" w:color="auto"/>
              <w:bottom w:val="single" w:sz="4" w:space="0" w:color="auto"/>
              <w:right w:val="single" w:sz="4" w:space="0" w:color="auto"/>
            </w:tcBorders>
          </w:tcPr>
          <w:p w14:paraId="7F2A689D" w14:textId="69513C1A"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27E68A7" w14:textId="1DE6EAD7"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287A17" w14:textId="2AFDC0A7"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390579A9" w14:textId="66BCC0A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37CA9A69" w14:textId="05DB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B9F79CE" w14:textId="3E616B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AD0BC35" w14:textId="0E2B33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4" w:space="0" w:color="auto"/>
              <w:left w:val="single" w:sz="4" w:space="0" w:color="auto"/>
              <w:bottom w:val="single" w:sz="4" w:space="0" w:color="auto"/>
              <w:right w:val="single" w:sz="4" w:space="0" w:color="auto"/>
            </w:tcBorders>
          </w:tcPr>
          <w:p w14:paraId="37DC03D7" w14:textId="6CED98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24ADABE" w14:textId="1CEDE16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7EEBFCC9" w14:textId="31BF1F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27B14CD" w14:textId="3349D0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F4A1DDC" w14:textId="1FF15A1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CBB0262" w14:textId="1455C42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714F27C" w14:textId="401256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D69477D" w14:textId="420D667E" w:rsidR="001D165A" w:rsidRPr="005C4C7B"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F5C23">
              <w:rPr>
                <w:sz w:val="20"/>
              </w:rPr>
              <w:t>Eric Palmqvist</w:t>
            </w:r>
            <w:r>
              <w:rPr>
                <w:sz w:val="20"/>
              </w:rPr>
              <w:t xml:space="preserve"> </w:t>
            </w:r>
            <w:r w:rsidR="001D165A">
              <w:rPr>
                <w:sz w:val="20"/>
              </w:rPr>
              <w:t>(SD)</w:t>
            </w:r>
          </w:p>
        </w:tc>
        <w:tc>
          <w:tcPr>
            <w:tcW w:w="449" w:type="dxa"/>
            <w:tcBorders>
              <w:top w:val="single" w:sz="4" w:space="0" w:color="auto"/>
              <w:left w:val="single" w:sz="4" w:space="0" w:color="auto"/>
              <w:bottom w:val="single" w:sz="4" w:space="0" w:color="auto"/>
              <w:right w:val="single" w:sz="4" w:space="0" w:color="auto"/>
            </w:tcBorders>
          </w:tcPr>
          <w:p w14:paraId="3AE85469" w14:textId="6C7B9FF6"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5A20467" w14:textId="3ECC052F"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7829684" w14:textId="63D48B9A"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876264B" w14:textId="4B647E3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0B5BB87" w14:textId="26E6B4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F09347" w14:textId="74B997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4" w:space="0" w:color="auto"/>
              <w:left w:val="single" w:sz="4" w:space="0" w:color="auto"/>
              <w:bottom w:val="single" w:sz="4" w:space="0" w:color="auto"/>
              <w:right w:val="single" w:sz="4" w:space="0" w:color="auto"/>
            </w:tcBorders>
          </w:tcPr>
          <w:p w14:paraId="6FE2AD41" w14:textId="5DB49D7F"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57AE0EB" w14:textId="33EFB610"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E8CC899" w14:textId="6BFC70FA"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98CC2C8" w14:textId="46E9107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9CFC165" w14:textId="47971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BA65DC0" w14:textId="6FA189F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napToGrid w:val="0"/>
                <w:color w:val="000000"/>
                <w:sz w:val="20"/>
                <w:lang w:val="en-US"/>
              </w:rPr>
              <w:t>Kjell Jansson (M)</w:t>
            </w:r>
          </w:p>
        </w:tc>
        <w:tc>
          <w:tcPr>
            <w:tcW w:w="449" w:type="dxa"/>
            <w:tcBorders>
              <w:top w:val="single" w:sz="4" w:space="0" w:color="auto"/>
              <w:left w:val="single" w:sz="4" w:space="0" w:color="auto"/>
              <w:bottom w:val="single" w:sz="4" w:space="0" w:color="auto"/>
              <w:right w:val="single" w:sz="4" w:space="0" w:color="auto"/>
            </w:tcBorders>
          </w:tcPr>
          <w:p w14:paraId="162330C2" w14:textId="750AF829"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8C8234" w14:textId="0E28636D"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201B1D47" w14:textId="4E872573"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6F1FFF2" w14:textId="5F9A851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62C1D2BC" w14:textId="2F5BAFA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0AC805E2" w14:textId="44FE8C5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2540685" w14:textId="5E8F35A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4" w:space="0" w:color="auto"/>
              <w:left w:val="single" w:sz="4" w:space="0" w:color="auto"/>
              <w:bottom w:val="single" w:sz="4" w:space="0" w:color="auto"/>
              <w:right w:val="single" w:sz="4" w:space="0" w:color="auto"/>
            </w:tcBorders>
          </w:tcPr>
          <w:p w14:paraId="3506A5F9" w14:textId="40DF33BB"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35F66BE" w14:textId="3E7AF762"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53FD303B" w14:textId="31B485B8"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AA41324" w14:textId="32718A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2157091A" w14:textId="2519A23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41E63E39" w14:textId="3822140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4" w:space="0" w:color="auto"/>
              <w:left w:val="single" w:sz="4" w:space="0" w:color="auto"/>
              <w:bottom w:val="single" w:sz="4" w:space="0" w:color="auto"/>
              <w:right w:val="single" w:sz="4" w:space="0" w:color="auto"/>
            </w:tcBorders>
          </w:tcPr>
          <w:p w14:paraId="7F8A02B2" w14:textId="09C5F0D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63146BE0" w14:textId="001A3DE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5CEC422" w14:textId="37D286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7D3EE0D" w14:textId="1F666F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D12931F" w14:textId="4920AA5A" w:rsidR="001D165A" w:rsidRDefault="009F5C23"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lang w:val="en-US"/>
              </w:rPr>
              <w:t>Johnny Svedin</w:t>
            </w:r>
            <w:r w:rsidR="001D165A" w:rsidRPr="00D36206">
              <w:rPr>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7CA30006" w14:textId="4DD06A12"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30306767" w14:textId="0E713994"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31C6FB2" w14:textId="757AAE9F"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1F457081" w14:textId="3668A1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B606DE8" w14:textId="2FAB30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74CA3C7B" w14:textId="2459648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08ED57E7" w14:textId="472C76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3BF86C9" w14:textId="40234327" w:rsidR="001D165A" w:rsidRPr="005C4C7B" w:rsidRDefault="00E9315E"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Katarina Luhr</w:t>
            </w:r>
            <w:r w:rsidR="001F51AE">
              <w:rPr>
                <w:sz w:val="20"/>
              </w:rPr>
              <w:t xml:space="preserve"> </w:t>
            </w:r>
            <w:r w:rsidR="001D165A">
              <w:rPr>
                <w:sz w:val="20"/>
              </w:rPr>
              <w:t>(MP)</w:t>
            </w:r>
          </w:p>
        </w:tc>
        <w:tc>
          <w:tcPr>
            <w:tcW w:w="449" w:type="dxa"/>
            <w:tcBorders>
              <w:top w:val="single" w:sz="4" w:space="0" w:color="auto"/>
              <w:left w:val="single" w:sz="4" w:space="0" w:color="auto"/>
              <w:bottom w:val="single" w:sz="4" w:space="0" w:color="auto"/>
              <w:right w:val="single" w:sz="4" w:space="0" w:color="auto"/>
            </w:tcBorders>
          </w:tcPr>
          <w:p w14:paraId="25A2B47F" w14:textId="4F8205E9"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27ED43B6" w14:textId="28BAA77A"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6B1D0955" w14:textId="7E89EE3D"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04A1001F" w14:textId="1F520F5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55360CA" w14:textId="2A988F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616DF164" w14:textId="60A80C8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78E5A7B" w14:textId="71CC5A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4" w:space="0" w:color="auto"/>
              <w:left w:val="single" w:sz="4" w:space="0" w:color="auto"/>
              <w:bottom w:val="single" w:sz="4" w:space="0" w:color="auto"/>
              <w:right w:val="single" w:sz="4" w:space="0" w:color="auto"/>
            </w:tcBorders>
          </w:tcPr>
          <w:p w14:paraId="25A2BC52" w14:textId="4A299F86"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1EE2E086" w14:textId="1BB7BC74"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4E2448C" w14:textId="0C858A55"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4" w:space="0" w:color="auto"/>
              <w:left w:val="single" w:sz="4" w:space="0" w:color="auto"/>
              <w:bottom w:val="single" w:sz="4" w:space="0" w:color="auto"/>
              <w:right w:val="single" w:sz="4"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47D0EEB4" w14:textId="1799D1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16F94A19" w14:textId="15137A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10ABC95B" w14:textId="685B67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302D780A" w14:textId="4FD639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4" w:space="0" w:color="auto"/>
              <w:left w:val="single" w:sz="4" w:space="0" w:color="auto"/>
              <w:bottom w:val="single" w:sz="4" w:space="0" w:color="auto"/>
              <w:right w:val="single" w:sz="4" w:space="0" w:color="auto"/>
            </w:tcBorders>
          </w:tcPr>
          <w:p w14:paraId="5DAA8E05" w14:textId="46208C1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4" w:space="0" w:color="auto"/>
              <w:left w:val="single" w:sz="4" w:space="0" w:color="auto"/>
              <w:bottom w:val="single" w:sz="4" w:space="0" w:color="auto"/>
              <w:right w:val="single" w:sz="4"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4" w:space="0" w:color="auto"/>
              <w:left w:val="single" w:sz="4" w:space="0" w:color="auto"/>
              <w:bottom w:val="single" w:sz="4" w:space="0" w:color="auto"/>
              <w:right w:val="single" w:sz="4"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4" w:space="0" w:color="auto"/>
              <w:left w:val="single" w:sz="4" w:space="0" w:color="auto"/>
              <w:bottom w:val="single" w:sz="4" w:space="0" w:color="auto"/>
              <w:right w:val="single" w:sz="4"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4" w:type="dxa"/>
            <w:tcBorders>
              <w:top w:val="single" w:sz="4" w:space="0" w:color="auto"/>
              <w:left w:val="single" w:sz="4" w:space="0" w:color="auto"/>
              <w:bottom w:val="single" w:sz="4" w:space="0" w:color="auto"/>
              <w:right w:val="single" w:sz="4"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4" w:space="0" w:color="auto"/>
              <w:left w:val="single" w:sz="4" w:space="0" w:color="auto"/>
              <w:bottom w:val="single" w:sz="4" w:space="0" w:color="auto"/>
              <w:right w:val="single" w:sz="4"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3" w:type="dxa"/>
            <w:tcBorders>
              <w:top w:val="single" w:sz="4" w:space="0" w:color="auto"/>
              <w:left w:val="single" w:sz="4" w:space="0" w:color="auto"/>
              <w:bottom w:val="single" w:sz="4" w:space="0" w:color="auto"/>
              <w:right w:val="single" w:sz="4"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4" w:space="0" w:color="auto"/>
              <w:left w:val="single" w:sz="4" w:space="0" w:color="auto"/>
              <w:bottom w:val="single" w:sz="4" w:space="0" w:color="auto"/>
              <w:right w:val="single" w:sz="4"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4" w:space="0" w:color="auto"/>
              <w:left w:val="single" w:sz="4" w:space="0" w:color="auto"/>
              <w:bottom w:val="single" w:sz="4" w:space="0" w:color="auto"/>
              <w:right w:val="single" w:sz="4"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4" w:space="0" w:color="auto"/>
              <w:left w:val="single" w:sz="4" w:space="0" w:color="auto"/>
              <w:bottom w:val="single" w:sz="4" w:space="0" w:color="auto"/>
              <w:right w:val="single" w:sz="4"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4" w:space="0" w:color="auto"/>
              <w:left w:val="single" w:sz="4" w:space="0" w:color="auto"/>
              <w:bottom w:val="single" w:sz="4" w:space="0" w:color="auto"/>
              <w:right w:val="single" w:sz="4"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3E383F2" w14:textId="3939A496" w:rsidR="001D165A" w:rsidRDefault="000424DB" w:rsidP="00FD0762">
            <w:pPr>
              <w:tabs>
                <w:tab w:val="left" w:pos="1985"/>
              </w:tabs>
              <w:rPr>
                <w:snapToGrid w:val="0"/>
                <w:color w:val="000000"/>
                <w:sz w:val="20"/>
              </w:rPr>
            </w:pPr>
            <w:r w:rsidRPr="000424DB">
              <w:rPr>
                <w:snapToGrid w:val="0"/>
                <w:color w:val="000000"/>
                <w:sz w:val="20"/>
              </w:rPr>
              <w:t>Angelica Lundberg</w:t>
            </w:r>
            <w:r w:rsidR="001D165A">
              <w:rPr>
                <w:snapToGrid w:val="0"/>
                <w:color w:val="000000"/>
                <w:sz w:val="20"/>
              </w:rPr>
              <w:t xml:space="preserve"> (SD)</w:t>
            </w:r>
          </w:p>
        </w:tc>
        <w:tc>
          <w:tcPr>
            <w:tcW w:w="449" w:type="dxa"/>
            <w:tcBorders>
              <w:top w:val="single" w:sz="4" w:space="0" w:color="auto"/>
              <w:left w:val="single" w:sz="4" w:space="0" w:color="auto"/>
              <w:bottom w:val="single" w:sz="4" w:space="0" w:color="auto"/>
              <w:right w:val="single" w:sz="4" w:space="0" w:color="auto"/>
            </w:tcBorders>
          </w:tcPr>
          <w:p w14:paraId="2A49C47D" w14:textId="39D9B664"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AE7D274" w14:textId="72C56C67"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4" w:space="0" w:color="auto"/>
              <w:left w:val="single" w:sz="4" w:space="0" w:color="auto"/>
              <w:bottom w:val="single" w:sz="4" w:space="0" w:color="auto"/>
              <w:right w:val="single" w:sz="4"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ECE12A0" w14:textId="7A188F34"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4" w:space="0" w:color="auto"/>
              <w:left w:val="single" w:sz="4" w:space="0" w:color="auto"/>
              <w:bottom w:val="single" w:sz="4" w:space="0" w:color="auto"/>
              <w:right w:val="single" w:sz="4"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E7F2F79" w14:textId="0410BF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834AEA9" w14:textId="47FA24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4D705" w14:textId="32879A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Aida Birinxhiku (S)</w:t>
            </w:r>
          </w:p>
        </w:tc>
        <w:tc>
          <w:tcPr>
            <w:tcW w:w="449" w:type="dxa"/>
            <w:tcBorders>
              <w:top w:val="single" w:sz="4" w:space="0" w:color="auto"/>
              <w:left w:val="single" w:sz="4" w:space="0" w:color="auto"/>
              <w:bottom w:val="single" w:sz="4" w:space="0" w:color="auto"/>
              <w:right w:val="single" w:sz="4" w:space="0" w:color="auto"/>
            </w:tcBorders>
          </w:tcPr>
          <w:p w14:paraId="202D0A56" w14:textId="3AEB405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C50DBAB" w14:textId="2F285F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E97AAB3" w14:textId="1278A0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BC7F996" w14:textId="6DA5F3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CDD2EF7" w14:textId="459AEB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E54F1CE" w14:textId="4E0177C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0E275A" w14:textId="0C781A9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F527EE" w14:paraId="2A0CF4BE"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Daniel Vencu Velasquez Castro (S)</w:t>
            </w:r>
          </w:p>
        </w:tc>
        <w:tc>
          <w:tcPr>
            <w:tcW w:w="449" w:type="dxa"/>
            <w:tcBorders>
              <w:top w:val="single" w:sz="4" w:space="0" w:color="auto"/>
              <w:left w:val="single" w:sz="4" w:space="0" w:color="auto"/>
              <w:bottom w:val="single" w:sz="4" w:space="0" w:color="auto"/>
              <w:right w:val="single" w:sz="4" w:space="0" w:color="auto"/>
            </w:tcBorders>
          </w:tcPr>
          <w:p w14:paraId="7EF91ABC" w14:textId="5FE6A3BA"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34" w:type="dxa"/>
            <w:gridSpan w:val="2"/>
            <w:tcBorders>
              <w:top w:val="single" w:sz="4" w:space="0" w:color="auto"/>
              <w:left w:val="single" w:sz="4" w:space="0" w:color="auto"/>
              <w:bottom w:val="single" w:sz="4" w:space="0" w:color="auto"/>
              <w:right w:val="single" w:sz="4"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4" w:space="0" w:color="auto"/>
              <w:left w:val="single" w:sz="4" w:space="0" w:color="auto"/>
              <w:bottom w:val="single" w:sz="4" w:space="0" w:color="auto"/>
              <w:right w:val="single" w:sz="4" w:space="0" w:color="auto"/>
            </w:tcBorders>
          </w:tcPr>
          <w:p w14:paraId="16B1D73F" w14:textId="6E0F66C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45EE1583" w14:textId="66178BDE"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4" w:space="0" w:color="auto"/>
              <w:left w:val="single" w:sz="4" w:space="0" w:color="auto"/>
              <w:bottom w:val="single" w:sz="4" w:space="0" w:color="auto"/>
              <w:right w:val="single" w:sz="4" w:space="0" w:color="auto"/>
            </w:tcBorders>
          </w:tcPr>
          <w:p w14:paraId="2092DA06" w14:textId="7D0F42EF"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544" w:type="dxa"/>
            <w:tcBorders>
              <w:top w:val="single" w:sz="4" w:space="0" w:color="auto"/>
              <w:left w:val="single" w:sz="4" w:space="0" w:color="auto"/>
              <w:bottom w:val="single" w:sz="4" w:space="0" w:color="auto"/>
              <w:right w:val="single" w:sz="4"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4" w:type="dxa"/>
            <w:tcBorders>
              <w:top w:val="single" w:sz="4" w:space="0" w:color="auto"/>
              <w:left w:val="single" w:sz="4" w:space="0" w:color="auto"/>
              <w:bottom w:val="single" w:sz="4" w:space="0" w:color="auto"/>
              <w:right w:val="single" w:sz="4" w:space="0" w:color="auto"/>
            </w:tcBorders>
          </w:tcPr>
          <w:p w14:paraId="19D4C925" w14:textId="33A8C7B8"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83" w:type="dxa"/>
            <w:tcBorders>
              <w:top w:val="single" w:sz="4" w:space="0" w:color="auto"/>
              <w:left w:val="single" w:sz="4" w:space="0" w:color="auto"/>
              <w:bottom w:val="single" w:sz="4" w:space="0" w:color="auto"/>
              <w:right w:val="single" w:sz="4" w:space="0" w:color="auto"/>
            </w:tcBorders>
          </w:tcPr>
          <w:p w14:paraId="345E0046" w14:textId="42F60F06"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4" w:space="0" w:color="auto"/>
              <w:left w:val="single" w:sz="4" w:space="0" w:color="auto"/>
              <w:bottom w:val="single" w:sz="4" w:space="0" w:color="auto"/>
              <w:right w:val="single" w:sz="4" w:space="0" w:color="auto"/>
            </w:tcBorders>
          </w:tcPr>
          <w:p w14:paraId="7CF4461E" w14:textId="1A8D938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4" w:space="0" w:color="auto"/>
              <w:left w:val="single" w:sz="4" w:space="0" w:color="auto"/>
              <w:bottom w:val="single" w:sz="4" w:space="0" w:color="auto"/>
              <w:right w:val="single" w:sz="4"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4" w:space="0" w:color="auto"/>
              <w:left w:val="single" w:sz="4" w:space="0" w:color="auto"/>
              <w:bottom w:val="single" w:sz="4" w:space="0" w:color="auto"/>
              <w:right w:val="single" w:sz="4"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4" w:space="0" w:color="auto"/>
              <w:left w:val="single" w:sz="4" w:space="0" w:color="auto"/>
              <w:bottom w:val="single" w:sz="4" w:space="0" w:color="auto"/>
              <w:right w:val="single" w:sz="4"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4" w:space="0" w:color="auto"/>
              <w:left w:val="single" w:sz="4" w:space="0" w:color="auto"/>
              <w:bottom w:val="single" w:sz="4" w:space="0" w:color="auto"/>
              <w:right w:val="single" w:sz="4" w:space="0" w:color="auto"/>
            </w:tcBorders>
          </w:tcPr>
          <w:p w14:paraId="3B253F8A" w14:textId="42CE1D7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DD5EA8A" w14:textId="4FD1E86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4" w:space="0" w:color="auto"/>
              <w:left w:val="single" w:sz="4" w:space="0" w:color="auto"/>
              <w:bottom w:val="single" w:sz="4" w:space="0" w:color="auto"/>
              <w:right w:val="single" w:sz="4" w:space="0" w:color="auto"/>
            </w:tcBorders>
          </w:tcPr>
          <w:p w14:paraId="32A91B1C" w14:textId="784C90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4" w:space="0" w:color="auto"/>
              <w:left w:val="single" w:sz="4" w:space="0" w:color="auto"/>
              <w:bottom w:val="single" w:sz="4" w:space="0" w:color="auto"/>
              <w:right w:val="single" w:sz="4" w:space="0" w:color="auto"/>
            </w:tcBorders>
          </w:tcPr>
          <w:p w14:paraId="0A695F37" w14:textId="19A13C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42557C8" w14:textId="41EF6FC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4" w:space="0" w:color="auto"/>
              <w:left w:val="single" w:sz="4" w:space="0" w:color="auto"/>
              <w:bottom w:val="single" w:sz="4" w:space="0" w:color="auto"/>
              <w:right w:val="single" w:sz="4"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4" w:space="0" w:color="auto"/>
              <w:left w:val="single" w:sz="4" w:space="0" w:color="auto"/>
              <w:bottom w:val="single" w:sz="4" w:space="0" w:color="auto"/>
              <w:right w:val="single" w:sz="4"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4" w:space="0" w:color="auto"/>
              <w:left w:val="single" w:sz="4" w:space="0" w:color="auto"/>
              <w:bottom w:val="single" w:sz="4" w:space="0" w:color="auto"/>
              <w:right w:val="single" w:sz="4" w:space="0" w:color="auto"/>
            </w:tcBorders>
          </w:tcPr>
          <w:p w14:paraId="500DFB3C" w14:textId="7036E494"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r>
              <w:rPr>
                <w:sz w:val="22"/>
                <w:szCs w:val="22"/>
                <w:lang w:val="fi-FI"/>
              </w:rPr>
              <w:t>X</w:t>
            </w:r>
          </w:p>
        </w:tc>
        <w:tc>
          <w:tcPr>
            <w:tcW w:w="434" w:type="dxa"/>
            <w:gridSpan w:val="2"/>
            <w:tcBorders>
              <w:top w:val="single" w:sz="4" w:space="0" w:color="auto"/>
              <w:left w:val="single" w:sz="4" w:space="0" w:color="auto"/>
              <w:bottom w:val="single" w:sz="4" w:space="0" w:color="auto"/>
              <w:right w:val="single" w:sz="4"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22642B98" w14:textId="1ADCA973"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r>
              <w:rPr>
                <w:sz w:val="22"/>
                <w:szCs w:val="22"/>
                <w:lang w:val="fi-FI"/>
              </w:rPr>
              <w:t>X</w:t>
            </w:r>
          </w:p>
        </w:tc>
        <w:tc>
          <w:tcPr>
            <w:tcW w:w="425" w:type="dxa"/>
            <w:tcBorders>
              <w:top w:val="single" w:sz="4" w:space="0" w:color="auto"/>
              <w:left w:val="single" w:sz="4" w:space="0" w:color="auto"/>
              <w:bottom w:val="single" w:sz="4" w:space="0" w:color="auto"/>
              <w:right w:val="single" w:sz="4"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9CCD6D0" w14:textId="1B3AC42A"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r>
              <w:rPr>
                <w:sz w:val="22"/>
                <w:szCs w:val="22"/>
                <w:lang w:val="fi-FI"/>
              </w:rPr>
              <w:t>X</w:t>
            </w:r>
          </w:p>
        </w:tc>
        <w:tc>
          <w:tcPr>
            <w:tcW w:w="425" w:type="dxa"/>
            <w:tcBorders>
              <w:top w:val="single" w:sz="4" w:space="0" w:color="auto"/>
              <w:left w:val="single" w:sz="4" w:space="0" w:color="auto"/>
              <w:bottom w:val="single" w:sz="4" w:space="0" w:color="auto"/>
              <w:right w:val="single" w:sz="4"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4" w:space="0" w:color="auto"/>
              <w:left w:val="single" w:sz="4" w:space="0" w:color="auto"/>
              <w:bottom w:val="single" w:sz="4" w:space="0" w:color="auto"/>
              <w:right w:val="single" w:sz="4"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4" w:space="0" w:color="auto"/>
              <w:left w:val="single" w:sz="4" w:space="0" w:color="auto"/>
              <w:bottom w:val="single" w:sz="4" w:space="0" w:color="auto"/>
              <w:right w:val="single" w:sz="4"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4" w:space="0" w:color="auto"/>
              <w:left w:val="single" w:sz="4" w:space="0" w:color="auto"/>
              <w:bottom w:val="single" w:sz="4" w:space="0" w:color="auto"/>
              <w:right w:val="single" w:sz="4"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4" w:space="0" w:color="auto"/>
              <w:left w:val="single" w:sz="4" w:space="0" w:color="auto"/>
              <w:bottom w:val="single" w:sz="4" w:space="0" w:color="auto"/>
              <w:right w:val="single" w:sz="4"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4" w:type="dxa"/>
            <w:tcBorders>
              <w:top w:val="single" w:sz="4" w:space="0" w:color="auto"/>
              <w:left w:val="single" w:sz="4" w:space="0" w:color="auto"/>
              <w:bottom w:val="single" w:sz="4" w:space="0" w:color="auto"/>
              <w:right w:val="single" w:sz="4"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4" w:space="0" w:color="auto"/>
              <w:left w:val="single" w:sz="4" w:space="0" w:color="auto"/>
              <w:bottom w:val="single" w:sz="4" w:space="0" w:color="auto"/>
              <w:right w:val="single" w:sz="4"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3" w:type="dxa"/>
            <w:tcBorders>
              <w:top w:val="single" w:sz="4" w:space="0" w:color="auto"/>
              <w:left w:val="single" w:sz="4" w:space="0" w:color="auto"/>
              <w:bottom w:val="single" w:sz="4" w:space="0" w:color="auto"/>
              <w:right w:val="single" w:sz="4"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4" w:space="0" w:color="auto"/>
              <w:left w:val="single" w:sz="4" w:space="0" w:color="auto"/>
              <w:bottom w:val="single" w:sz="4" w:space="0" w:color="auto"/>
              <w:right w:val="single" w:sz="4"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4" w:space="0" w:color="auto"/>
              <w:left w:val="single" w:sz="4" w:space="0" w:color="auto"/>
              <w:bottom w:val="single" w:sz="4" w:space="0" w:color="auto"/>
              <w:right w:val="single" w:sz="4"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4" w:space="0" w:color="auto"/>
              <w:left w:val="single" w:sz="4" w:space="0" w:color="auto"/>
              <w:bottom w:val="single" w:sz="4" w:space="0" w:color="auto"/>
              <w:right w:val="single" w:sz="4"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4" w:space="0" w:color="auto"/>
              <w:left w:val="single" w:sz="4" w:space="0" w:color="auto"/>
              <w:bottom w:val="single" w:sz="4" w:space="0" w:color="auto"/>
              <w:right w:val="single" w:sz="4"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48EEBC2" w14:textId="41B650DD" w:rsidR="001D165A" w:rsidRDefault="000C73D0" w:rsidP="00FD0762">
            <w:pPr>
              <w:tabs>
                <w:tab w:val="left" w:pos="1985"/>
              </w:tabs>
              <w:rPr>
                <w:snapToGrid w:val="0"/>
                <w:color w:val="000000"/>
                <w:sz w:val="20"/>
              </w:rPr>
            </w:pPr>
            <w:r>
              <w:rPr>
                <w:snapToGrid w:val="0"/>
                <w:color w:val="000000"/>
                <w:sz w:val="20"/>
              </w:rPr>
              <w:t xml:space="preserve">Håkan </w:t>
            </w:r>
            <w:proofErr w:type="spellStart"/>
            <w:r>
              <w:rPr>
                <w:snapToGrid w:val="0"/>
                <w:color w:val="000000"/>
                <w:sz w:val="20"/>
              </w:rPr>
              <w:t>Svenneling</w:t>
            </w:r>
            <w:proofErr w:type="spellEnd"/>
            <w:r w:rsidR="001D165A" w:rsidRPr="005C4C7B">
              <w:rPr>
                <w:snapToGrid w:val="0"/>
                <w:color w:val="000000"/>
                <w:sz w:val="20"/>
              </w:rPr>
              <w:t xml:space="preserve"> (V)</w:t>
            </w:r>
          </w:p>
        </w:tc>
        <w:tc>
          <w:tcPr>
            <w:tcW w:w="449" w:type="dxa"/>
            <w:tcBorders>
              <w:top w:val="single" w:sz="4" w:space="0" w:color="auto"/>
              <w:left w:val="single" w:sz="4" w:space="0" w:color="auto"/>
              <w:bottom w:val="single" w:sz="4" w:space="0" w:color="auto"/>
              <w:right w:val="single" w:sz="4" w:space="0" w:color="auto"/>
            </w:tcBorders>
          </w:tcPr>
          <w:p w14:paraId="39F75129" w14:textId="4120DEC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B7CBFF1" w14:textId="3A2EBD4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228019C" w14:textId="07EA2E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92BF33" w14:textId="128EB6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4975E8A" w14:textId="6B4D60F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F29F2C3" w14:textId="396322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1E1CA93" w14:textId="0AD472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4" w:space="0" w:color="auto"/>
              <w:left w:val="single" w:sz="4" w:space="0" w:color="auto"/>
              <w:bottom w:val="single" w:sz="4" w:space="0" w:color="auto"/>
              <w:right w:val="single" w:sz="4" w:space="0" w:color="auto"/>
            </w:tcBorders>
          </w:tcPr>
          <w:p w14:paraId="736FB1DE" w14:textId="04EC0232"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7EE0BC0B" w14:textId="1E5D6856"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A7DF282" w14:textId="388445EA"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DE72812" w14:textId="15FED3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E5827E5" w14:textId="5743D4A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C8BB7C" w14:textId="39028A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92D49C3" w14:textId="4DA0E3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4" w:space="0" w:color="auto"/>
              <w:left w:val="single" w:sz="4" w:space="0" w:color="auto"/>
              <w:bottom w:val="single" w:sz="4" w:space="0" w:color="auto"/>
              <w:right w:val="single" w:sz="4" w:space="0" w:color="auto"/>
            </w:tcBorders>
          </w:tcPr>
          <w:p w14:paraId="0CE1085D" w14:textId="6D1CF886"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4" w:space="0" w:color="auto"/>
              <w:left w:val="single" w:sz="4" w:space="0" w:color="auto"/>
              <w:bottom w:val="single" w:sz="4" w:space="0" w:color="auto"/>
              <w:right w:val="single" w:sz="4"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3111289" w14:textId="007870A1"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7B55B5F" w14:textId="457B06DC" w:rsidR="001D165A"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4" w:space="0" w:color="auto"/>
              <w:left w:val="single" w:sz="4" w:space="0" w:color="auto"/>
              <w:bottom w:val="single" w:sz="4" w:space="0" w:color="auto"/>
              <w:right w:val="single" w:sz="4"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4F5E3BF" w14:textId="596056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E71B3D6" w14:textId="4E1A13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Linus Lakso (MP)</w:t>
            </w:r>
          </w:p>
        </w:tc>
        <w:tc>
          <w:tcPr>
            <w:tcW w:w="449" w:type="dxa"/>
            <w:tcBorders>
              <w:top w:val="single" w:sz="4" w:space="0" w:color="auto"/>
              <w:left w:val="single" w:sz="4" w:space="0" w:color="auto"/>
              <w:bottom w:val="single" w:sz="4" w:space="0" w:color="auto"/>
              <w:right w:val="single" w:sz="4" w:space="0" w:color="auto"/>
            </w:tcBorders>
          </w:tcPr>
          <w:p w14:paraId="4D439C68" w14:textId="4C96E50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767DB16" w14:textId="4A5F7E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7606572" w14:textId="5FAD9F2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A5F84DF" w14:textId="466304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75CE760" w14:textId="35F9DA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1691" w14:paraId="238B99FC"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084CD331" w14:textId="0DAF5AF0" w:rsidR="004E1691" w:rsidRDefault="004E1691" w:rsidP="00FD0762">
            <w:pPr>
              <w:tabs>
                <w:tab w:val="left" w:pos="1985"/>
              </w:tabs>
              <w:rPr>
                <w:snapToGrid w:val="0"/>
                <w:color w:val="000000"/>
                <w:sz w:val="20"/>
              </w:rPr>
            </w:pPr>
            <w:r w:rsidRPr="004E1691">
              <w:rPr>
                <w:snapToGrid w:val="0"/>
                <w:color w:val="000000"/>
                <w:sz w:val="20"/>
              </w:rPr>
              <w:t>Anna af Sillén (M)</w:t>
            </w:r>
          </w:p>
        </w:tc>
        <w:tc>
          <w:tcPr>
            <w:tcW w:w="449" w:type="dxa"/>
            <w:tcBorders>
              <w:top w:val="single" w:sz="4" w:space="0" w:color="auto"/>
              <w:left w:val="single" w:sz="4" w:space="0" w:color="auto"/>
              <w:bottom w:val="single" w:sz="4" w:space="0" w:color="auto"/>
              <w:right w:val="single" w:sz="4" w:space="0" w:color="auto"/>
            </w:tcBorders>
          </w:tcPr>
          <w:p w14:paraId="064EAEAF" w14:textId="07FA6721"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39025A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C0216DF" w14:textId="1EFDC1A4"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7342542"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68609F3" w14:textId="5E7659B5"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F38993A"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595B19C4" w14:textId="1A558906"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16F849ED"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38B4C8" w14:textId="7C32FB3C"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07C3285"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7AB1EA9"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AC42D7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10C934"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603B8B6"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7D222BE" w14:textId="77777777" w:rsidR="004E1691" w:rsidRDefault="004E1691"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4" w:space="0" w:color="auto"/>
              <w:left w:val="single" w:sz="4" w:space="0" w:color="auto"/>
              <w:bottom w:val="single" w:sz="4" w:space="0" w:color="auto"/>
              <w:right w:val="single" w:sz="4"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4" w:space="0" w:color="auto"/>
              <w:left w:val="single" w:sz="4" w:space="0" w:color="auto"/>
              <w:bottom w:val="single" w:sz="4" w:space="0" w:color="auto"/>
              <w:right w:val="single" w:sz="4" w:space="0" w:color="auto"/>
            </w:tcBorders>
          </w:tcPr>
          <w:p w14:paraId="061783F3" w14:textId="28808CC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73D0" w14:paraId="4EDA188F"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2FC282DE" w14:textId="4695CE03" w:rsidR="000C73D0" w:rsidRPr="007E2968" w:rsidRDefault="000C73D0" w:rsidP="00FD0762">
            <w:pPr>
              <w:rPr>
                <w:sz w:val="20"/>
              </w:rPr>
            </w:pPr>
            <w:r>
              <w:rPr>
                <w:sz w:val="20"/>
              </w:rPr>
              <w:t xml:space="preserve">Samuel </w:t>
            </w:r>
            <w:r w:rsidRPr="000C73D0">
              <w:rPr>
                <w:sz w:val="20"/>
              </w:rPr>
              <w:t>Gonzalez Westling</w:t>
            </w:r>
            <w:r>
              <w:rPr>
                <w:sz w:val="20"/>
              </w:rPr>
              <w:t xml:space="preserve"> (V)</w:t>
            </w:r>
          </w:p>
        </w:tc>
        <w:tc>
          <w:tcPr>
            <w:tcW w:w="449" w:type="dxa"/>
            <w:tcBorders>
              <w:top w:val="single" w:sz="4" w:space="0" w:color="auto"/>
              <w:left w:val="single" w:sz="4" w:space="0" w:color="auto"/>
              <w:bottom w:val="single" w:sz="4" w:space="0" w:color="auto"/>
              <w:right w:val="single" w:sz="4" w:space="0" w:color="auto"/>
            </w:tcBorders>
          </w:tcPr>
          <w:p w14:paraId="54235CF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BB2FD5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CAD2175"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E96A49"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D9F31C3"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F44C500"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C4695E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AF2619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0F95C18F"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F2F422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30A66C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116B7F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F9D45D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F8E312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CFFDD51"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4" w:space="0" w:color="auto"/>
              <w:left w:val="single" w:sz="4" w:space="0" w:color="auto"/>
              <w:bottom w:val="single" w:sz="4" w:space="0" w:color="auto"/>
              <w:right w:val="single" w:sz="4" w:space="0" w:color="auto"/>
            </w:tcBorders>
          </w:tcPr>
          <w:p w14:paraId="29DC2FBA" w14:textId="1298876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2114866" w14:textId="333BA7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4" w:space="0" w:color="auto"/>
              <w:left w:val="single" w:sz="4" w:space="0" w:color="auto"/>
              <w:bottom w:val="single" w:sz="4" w:space="0" w:color="auto"/>
              <w:right w:val="single" w:sz="4"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4" w:space="0" w:color="auto"/>
              <w:left w:val="single" w:sz="4" w:space="0" w:color="auto"/>
              <w:bottom w:val="single" w:sz="4" w:space="0" w:color="auto"/>
              <w:right w:val="single" w:sz="4" w:space="0" w:color="auto"/>
            </w:tcBorders>
          </w:tcPr>
          <w:p w14:paraId="32CA92AC" w14:textId="3078EC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4" w:space="0" w:color="auto"/>
              <w:left w:val="single" w:sz="4" w:space="0" w:color="auto"/>
              <w:bottom w:val="single" w:sz="4" w:space="0" w:color="auto"/>
              <w:right w:val="single" w:sz="4" w:space="0" w:color="auto"/>
            </w:tcBorders>
          </w:tcPr>
          <w:p w14:paraId="7F5E226C" w14:textId="5C47764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3ED451E6" w14:textId="6E0A43E2" w:rsidR="001D165A" w:rsidRPr="007E2968" w:rsidRDefault="00D75546" w:rsidP="00FD0762">
            <w:pPr>
              <w:rPr>
                <w:sz w:val="20"/>
              </w:rPr>
            </w:pPr>
            <w:r w:rsidRPr="00D75546">
              <w:rPr>
                <w:sz w:val="20"/>
              </w:rPr>
              <w:t>Amanda Palmstierna</w:t>
            </w:r>
            <w:r>
              <w:rPr>
                <w:sz w:val="20"/>
              </w:rPr>
              <w:t xml:space="preserve"> </w:t>
            </w:r>
            <w:r w:rsidR="001D165A" w:rsidRPr="007E2968">
              <w:rPr>
                <w:sz w:val="20"/>
              </w:rPr>
              <w:t>(MP)</w:t>
            </w:r>
          </w:p>
        </w:tc>
        <w:tc>
          <w:tcPr>
            <w:tcW w:w="449" w:type="dxa"/>
            <w:tcBorders>
              <w:top w:val="single" w:sz="4" w:space="0" w:color="auto"/>
              <w:left w:val="single" w:sz="4" w:space="0" w:color="auto"/>
              <w:bottom w:val="single" w:sz="4" w:space="0" w:color="auto"/>
              <w:right w:val="single" w:sz="4" w:space="0" w:color="auto"/>
            </w:tcBorders>
          </w:tcPr>
          <w:p w14:paraId="7256C0A4" w14:textId="1C373E7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614923E9" w14:textId="51FB5353" w:rsidR="001D165A" w:rsidRPr="007E2968" w:rsidRDefault="00C47A22" w:rsidP="00FD0762">
            <w:pPr>
              <w:rPr>
                <w:sz w:val="20"/>
              </w:rPr>
            </w:pPr>
            <w:r>
              <w:rPr>
                <w:sz w:val="20"/>
              </w:rPr>
              <w:t>Cecilia Rönn</w:t>
            </w:r>
            <w:r w:rsidR="001D165A" w:rsidRPr="007E2968">
              <w:rPr>
                <w:sz w:val="20"/>
              </w:rPr>
              <w:t xml:space="preserve"> (L)</w:t>
            </w:r>
          </w:p>
        </w:tc>
        <w:tc>
          <w:tcPr>
            <w:tcW w:w="449" w:type="dxa"/>
            <w:tcBorders>
              <w:top w:val="single" w:sz="4" w:space="0" w:color="auto"/>
              <w:left w:val="single" w:sz="4" w:space="0" w:color="auto"/>
              <w:bottom w:val="single" w:sz="4" w:space="0" w:color="auto"/>
              <w:right w:val="single" w:sz="4" w:space="0" w:color="auto"/>
            </w:tcBorders>
          </w:tcPr>
          <w:p w14:paraId="4DF384C6" w14:textId="467EBC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426D8B8D" w14:textId="31715DB1" w:rsidR="001D165A" w:rsidRPr="007E2968" w:rsidRDefault="00246B5F" w:rsidP="00FD0762">
            <w:pPr>
              <w:rPr>
                <w:sz w:val="20"/>
              </w:rPr>
            </w:pPr>
            <w:r>
              <w:rPr>
                <w:sz w:val="20"/>
              </w:rPr>
              <w:t>Mats Persson (L)</w:t>
            </w:r>
          </w:p>
        </w:tc>
        <w:tc>
          <w:tcPr>
            <w:tcW w:w="449" w:type="dxa"/>
            <w:tcBorders>
              <w:top w:val="single" w:sz="4" w:space="0" w:color="auto"/>
              <w:left w:val="single" w:sz="4" w:space="0" w:color="auto"/>
              <w:bottom w:val="single" w:sz="4" w:space="0" w:color="auto"/>
              <w:right w:val="single" w:sz="4"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4" w:space="0" w:color="auto"/>
              <w:left w:val="single" w:sz="4" w:space="0" w:color="auto"/>
              <w:bottom w:val="single" w:sz="4" w:space="0" w:color="auto"/>
              <w:right w:val="single" w:sz="4" w:space="0" w:color="auto"/>
            </w:tcBorders>
          </w:tcPr>
          <w:p w14:paraId="23BEBE75" w14:textId="604819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4" w:space="0" w:color="auto"/>
              <w:left w:val="single" w:sz="4" w:space="0" w:color="auto"/>
              <w:bottom w:val="single" w:sz="4" w:space="0" w:color="auto"/>
              <w:right w:val="single" w:sz="4"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C73D0" w14:paraId="6BE77BFF" w14:textId="77777777" w:rsidTr="000051C9">
        <w:trPr>
          <w:gridAfter w:val="1"/>
          <w:wAfter w:w="11" w:type="dxa"/>
        </w:trPr>
        <w:tc>
          <w:tcPr>
            <w:tcW w:w="3190" w:type="dxa"/>
            <w:tcBorders>
              <w:top w:val="single" w:sz="4" w:space="0" w:color="auto"/>
              <w:left w:val="single" w:sz="4" w:space="0" w:color="auto"/>
              <w:bottom w:val="single" w:sz="4" w:space="0" w:color="auto"/>
              <w:right w:val="single" w:sz="4" w:space="0" w:color="auto"/>
            </w:tcBorders>
          </w:tcPr>
          <w:p w14:paraId="7B1F06D4" w14:textId="1DAA0829" w:rsidR="000C73D0" w:rsidRDefault="000C73D0" w:rsidP="00FD0762">
            <w:pPr>
              <w:rPr>
                <w:sz w:val="20"/>
              </w:rPr>
            </w:pPr>
            <w:r>
              <w:rPr>
                <w:sz w:val="20"/>
              </w:rPr>
              <w:t xml:space="preserve">Anette </w:t>
            </w:r>
            <w:proofErr w:type="spellStart"/>
            <w:r>
              <w:rPr>
                <w:sz w:val="20"/>
              </w:rPr>
              <w:t>Rangdag</w:t>
            </w:r>
            <w:proofErr w:type="spellEnd"/>
            <w:r>
              <w:rPr>
                <w:sz w:val="20"/>
              </w:rPr>
              <w:t xml:space="preserve"> (SD)</w:t>
            </w:r>
          </w:p>
        </w:tc>
        <w:tc>
          <w:tcPr>
            <w:tcW w:w="449" w:type="dxa"/>
            <w:tcBorders>
              <w:top w:val="single" w:sz="4" w:space="0" w:color="auto"/>
              <w:left w:val="single" w:sz="4" w:space="0" w:color="auto"/>
              <w:bottom w:val="single" w:sz="4" w:space="0" w:color="auto"/>
              <w:right w:val="single" w:sz="4" w:space="0" w:color="auto"/>
            </w:tcBorders>
          </w:tcPr>
          <w:p w14:paraId="7055FA09" w14:textId="0B772E02" w:rsidR="000C73D0"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4" w:space="0" w:color="auto"/>
              <w:left w:val="single" w:sz="4" w:space="0" w:color="auto"/>
              <w:bottom w:val="single" w:sz="4" w:space="0" w:color="auto"/>
              <w:right w:val="single" w:sz="4" w:space="0" w:color="auto"/>
            </w:tcBorders>
          </w:tcPr>
          <w:p w14:paraId="2D661FA2"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4" w:space="0" w:color="auto"/>
              <w:left w:val="single" w:sz="4" w:space="0" w:color="auto"/>
              <w:bottom w:val="single" w:sz="4" w:space="0" w:color="auto"/>
              <w:right w:val="single" w:sz="4" w:space="0" w:color="auto"/>
            </w:tcBorders>
          </w:tcPr>
          <w:p w14:paraId="41D86723" w14:textId="27858B9C" w:rsidR="000C73D0"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25F98907"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710A86D0" w14:textId="1BC3127F" w:rsidR="000C73D0" w:rsidRDefault="000051C9"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4" w:space="0" w:color="auto"/>
              <w:left w:val="single" w:sz="4" w:space="0" w:color="auto"/>
              <w:bottom w:val="single" w:sz="4" w:space="0" w:color="auto"/>
              <w:right w:val="single" w:sz="4" w:space="0" w:color="auto"/>
            </w:tcBorders>
          </w:tcPr>
          <w:p w14:paraId="3BE2DF63"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4" w:space="0" w:color="auto"/>
              <w:left w:val="single" w:sz="4" w:space="0" w:color="auto"/>
              <w:bottom w:val="single" w:sz="4" w:space="0" w:color="auto"/>
              <w:right w:val="single" w:sz="4" w:space="0" w:color="auto"/>
            </w:tcBorders>
          </w:tcPr>
          <w:p w14:paraId="09A09C54"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4" w:type="dxa"/>
            <w:tcBorders>
              <w:top w:val="single" w:sz="4" w:space="0" w:color="auto"/>
              <w:left w:val="single" w:sz="4" w:space="0" w:color="auto"/>
              <w:bottom w:val="single" w:sz="4" w:space="0" w:color="auto"/>
              <w:right w:val="single" w:sz="4" w:space="0" w:color="auto"/>
            </w:tcBorders>
          </w:tcPr>
          <w:p w14:paraId="719A014E"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4" w:space="0" w:color="auto"/>
              <w:left w:val="single" w:sz="4" w:space="0" w:color="auto"/>
              <w:bottom w:val="single" w:sz="4" w:space="0" w:color="auto"/>
              <w:right w:val="single" w:sz="4" w:space="0" w:color="auto"/>
            </w:tcBorders>
          </w:tcPr>
          <w:p w14:paraId="3C30EF6B"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3C5DACDE"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3" w:type="dxa"/>
            <w:tcBorders>
              <w:top w:val="single" w:sz="4" w:space="0" w:color="auto"/>
              <w:left w:val="single" w:sz="4" w:space="0" w:color="auto"/>
              <w:bottom w:val="single" w:sz="4" w:space="0" w:color="auto"/>
              <w:right w:val="single" w:sz="4" w:space="0" w:color="auto"/>
            </w:tcBorders>
          </w:tcPr>
          <w:p w14:paraId="70BDA80C"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4" w:space="0" w:color="auto"/>
              <w:left w:val="single" w:sz="4" w:space="0" w:color="auto"/>
              <w:bottom w:val="single" w:sz="4" w:space="0" w:color="auto"/>
              <w:right w:val="single" w:sz="4" w:space="0" w:color="auto"/>
            </w:tcBorders>
          </w:tcPr>
          <w:p w14:paraId="36E4C7A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4" w:space="0" w:color="auto"/>
              <w:left w:val="single" w:sz="4" w:space="0" w:color="auto"/>
              <w:bottom w:val="single" w:sz="4" w:space="0" w:color="auto"/>
              <w:right w:val="single" w:sz="4" w:space="0" w:color="auto"/>
            </w:tcBorders>
          </w:tcPr>
          <w:p w14:paraId="01CD004F"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4" w:space="0" w:color="auto"/>
              <w:left w:val="single" w:sz="4" w:space="0" w:color="auto"/>
              <w:bottom w:val="single" w:sz="4" w:space="0" w:color="auto"/>
              <w:right w:val="single" w:sz="4" w:space="0" w:color="auto"/>
            </w:tcBorders>
          </w:tcPr>
          <w:p w14:paraId="30917C9D"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4" w:space="0" w:color="auto"/>
              <w:left w:val="single" w:sz="4" w:space="0" w:color="auto"/>
              <w:bottom w:val="single" w:sz="4" w:space="0" w:color="auto"/>
              <w:right w:val="single" w:sz="4" w:space="0" w:color="auto"/>
            </w:tcBorders>
          </w:tcPr>
          <w:p w14:paraId="5866696E" w14:textId="77777777" w:rsidR="000C73D0" w:rsidRDefault="000C73D0"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6"/>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0"/>
      <w:bookmarkEnd w:id="1"/>
    </w:tbl>
    <w:p w14:paraId="4174E854" w14:textId="790B2574" w:rsidR="00655DB0" w:rsidRDefault="00655DB0" w:rsidP="00F736F1"/>
    <w:sectPr w:rsidR="00655DB0"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80A66" w14:textId="77777777" w:rsidR="00563EFF" w:rsidRDefault="00563EFF" w:rsidP="002130F1">
      <w:r>
        <w:separator/>
      </w:r>
    </w:p>
  </w:endnote>
  <w:endnote w:type="continuationSeparator" w:id="0">
    <w:p w14:paraId="34DF50A8" w14:textId="77777777" w:rsidR="00563EFF" w:rsidRDefault="00563EFF"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88F65" w14:textId="77777777" w:rsidR="00563EFF" w:rsidRDefault="00563EFF" w:rsidP="002130F1">
      <w:r>
        <w:separator/>
      </w:r>
    </w:p>
  </w:footnote>
  <w:footnote w:type="continuationSeparator" w:id="0">
    <w:p w14:paraId="2A03EE2C" w14:textId="77777777" w:rsidR="00563EFF" w:rsidRDefault="00563EFF"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1E1B08"/>
    <w:multiLevelType w:val="hybridMultilevel"/>
    <w:tmpl w:val="909A102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9BE1064"/>
    <w:multiLevelType w:val="hybridMultilevel"/>
    <w:tmpl w:val="2BBC0F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2814868"/>
    <w:multiLevelType w:val="hybridMultilevel"/>
    <w:tmpl w:val="FDD8092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5995AD7"/>
    <w:multiLevelType w:val="hybridMultilevel"/>
    <w:tmpl w:val="182E163C"/>
    <w:lvl w:ilvl="0" w:tplc="9F74BD34">
      <w:start w:val="1"/>
      <w:numFmt w:val="lowerLetter"/>
      <w:lvlText w:val="%1)"/>
      <w:lvlJc w:val="left"/>
      <w:pPr>
        <w:ind w:left="720" w:hanging="360"/>
      </w:pPr>
      <w:rPr>
        <w:rFonts w:hint="default"/>
        <w:color w:val="1B1B1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85C70A1"/>
    <w:multiLevelType w:val="hybridMultilevel"/>
    <w:tmpl w:val="AD1CBF8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8EC021A"/>
    <w:multiLevelType w:val="hybridMultilevel"/>
    <w:tmpl w:val="E0628DF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6FB4036"/>
    <w:multiLevelType w:val="hybridMultilevel"/>
    <w:tmpl w:val="A684B9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3"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14" w15:restartNumberingAfterBreak="0">
    <w:nsid w:val="5ABA5C5C"/>
    <w:multiLevelType w:val="hybridMultilevel"/>
    <w:tmpl w:val="DC7E81B0"/>
    <w:lvl w:ilvl="0" w:tplc="041D0017">
      <w:start w:val="1"/>
      <w:numFmt w:val="lowerLetter"/>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D46180F"/>
    <w:multiLevelType w:val="hybridMultilevel"/>
    <w:tmpl w:val="DFE02A1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EC91B4E"/>
    <w:multiLevelType w:val="hybridMultilevel"/>
    <w:tmpl w:val="57DE690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60802B3"/>
    <w:multiLevelType w:val="hybridMultilevel"/>
    <w:tmpl w:val="0922D5A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6F434A0"/>
    <w:multiLevelType w:val="hybridMultilevel"/>
    <w:tmpl w:val="B758260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2"/>
  </w:num>
  <w:num w:numId="3">
    <w:abstractNumId w:val="10"/>
  </w:num>
  <w:num w:numId="4">
    <w:abstractNumId w:val="13"/>
  </w:num>
  <w:num w:numId="5">
    <w:abstractNumId w:val="3"/>
  </w:num>
  <w:num w:numId="6">
    <w:abstractNumId w:val="5"/>
  </w:num>
  <w:num w:numId="7">
    <w:abstractNumId w:val="1"/>
  </w:num>
  <w:num w:numId="8">
    <w:abstractNumId w:val="18"/>
  </w:num>
  <w:num w:numId="9">
    <w:abstractNumId w:val="20"/>
  </w:num>
  <w:num w:numId="10">
    <w:abstractNumId w:val="15"/>
  </w:num>
  <w:num w:numId="11">
    <w:abstractNumId w:val="11"/>
  </w:num>
  <w:num w:numId="12">
    <w:abstractNumId w:val="6"/>
  </w:num>
  <w:num w:numId="13">
    <w:abstractNumId w:val="16"/>
  </w:num>
  <w:num w:numId="14">
    <w:abstractNumId w:val="7"/>
  </w:num>
  <w:num w:numId="15">
    <w:abstractNumId w:val="8"/>
  </w:num>
  <w:num w:numId="16">
    <w:abstractNumId w:val="17"/>
  </w:num>
  <w:num w:numId="17">
    <w:abstractNumId w:val="14"/>
  </w:num>
  <w:num w:numId="18">
    <w:abstractNumId w:val="2"/>
  </w:num>
  <w:num w:numId="19">
    <w:abstractNumId w:val="4"/>
  </w:num>
  <w:num w:numId="20">
    <w:abstractNumId w:val="19"/>
  </w:num>
  <w:num w:numId="21">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1C9"/>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0E9F"/>
    <w:rsid w:val="0002124A"/>
    <w:rsid w:val="00023C91"/>
    <w:rsid w:val="00023D44"/>
    <w:rsid w:val="0002438C"/>
    <w:rsid w:val="0002508C"/>
    <w:rsid w:val="000253C1"/>
    <w:rsid w:val="000255B5"/>
    <w:rsid w:val="0002654B"/>
    <w:rsid w:val="00026615"/>
    <w:rsid w:val="00026DBB"/>
    <w:rsid w:val="0002763F"/>
    <w:rsid w:val="00030425"/>
    <w:rsid w:val="00030510"/>
    <w:rsid w:val="000305E7"/>
    <w:rsid w:val="00030B7F"/>
    <w:rsid w:val="00031133"/>
    <w:rsid w:val="000319C2"/>
    <w:rsid w:val="00032D19"/>
    <w:rsid w:val="0003355B"/>
    <w:rsid w:val="0003414D"/>
    <w:rsid w:val="0003427E"/>
    <w:rsid w:val="00035407"/>
    <w:rsid w:val="00036024"/>
    <w:rsid w:val="0003709C"/>
    <w:rsid w:val="000401E7"/>
    <w:rsid w:val="00040301"/>
    <w:rsid w:val="00041F79"/>
    <w:rsid w:val="00042475"/>
    <w:rsid w:val="000424DB"/>
    <w:rsid w:val="000427D7"/>
    <w:rsid w:val="00043B99"/>
    <w:rsid w:val="00043F21"/>
    <w:rsid w:val="000442DA"/>
    <w:rsid w:val="00044E80"/>
    <w:rsid w:val="00044F5A"/>
    <w:rsid w:val="000451FD"/>
    <w:rsid w:val="00045281"/>
    <w:rsid w:val="00045A8A"/>
    <w:rsid w:val="00050A20"/>
    <w:rsid w:val="00052598"/>
    <w:rsid w:val="00052937"/>
    <w:rsid w:val="00053421"/>
    <w:rsid w:val="000536D9"/>
    <w:rsid w:val="00053BE5"/>
    <w:rsid w:val="0005439B"/>
    <w:rsid w:val="00054831"/>
    <w:rsid w:val="0005545D"/>
    <w:rsid w:val="0005582F"/>
    <w:rsid w:val="000564A8"/>
    <w:rsid w:val="000569AB"/>
    <w:rsid w:val="00056A67"/>
    <w:rsid w:val="00060380"/>
    <w:rsid w:val="00061C55"/>
    <w:rsid w:val="0006202F"/>
    <w:rsid w:val="0006613C"/>
    <w:rsid w:val="00067059"/>
    <w:rsid w:val="00067448"/>
    <w:rsid w:val="0006776E"/>
    <w:rsid w:val="00067A33"/>
    <w:rsid w:val="000715BD"/>
    <w:rsid w:val="00071EB9"/>
    <w:rsid w:val="000726F3"/>
    <w:rsid w:val="00072C99"/>
    <w:rsid w:val="00073238"/>
    <w:rsid w:val="00073624"/>
    <w:rsid w:val="00075E21"/>
    <w:rsid w:val="00075E59"/>
    <w:rsid w:val="00076756"/>
    <w:rsid w:val="00080A73"/>
    <w:rsid w:val="00080E7B"/>
    <w:rsid w:val="000816C5"/>
    <w:rsid w:val="00081A05"/>
    <w:rsid w:val="00083B5C"/>
    <w:rsid w:val="00084198"/>
    <w:rsid w:val="00084B36"/>
    <w:rsid w:val="00085A2B"/>
    <w:rsid w:val="000861A8"/>
    <w:rsid w:val="0008637D"/>
    <w:rsid w:val="00087E93"/>
    <w:rsid w:val="000915AB"/>
    <w:rsid w:val="00092337"/>
    <w:rsid w:val="00093F5C"/>
    <w:rsid w:val="000941E8"/>
    <w:rsid w:val="0009483B"/>
    <w:rsid w:val="00094A63"/>
    <w:rsid w:val="00096F01"/>
    <w:rsid w:val="000A052E"/>
    <w:rsid w:val="000A094B"/>
    <w:rsid w:val="000A129A"/>
    <w:rsid w:val="000A13C3"/>
    <w:rsid w:val="000A200A"/>
    <w:rsid w:val="000A2CE1"/>
    <w:rsid w:val="000A3B99"/>
    <w:rsid w:val="000A41FA"/>
    <w:rsid w:val="000A4EB1"/>
    <w:rsid w:val="000A5556"/>
    <w:rsid w:val="000A5ADC"/>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20E"/>
    <w:rsid w:val="000C3B08"/>
    <w:rsid w:val="000C6059"/>
    <w:rsid w:val="000C711E"/>
    <w:rsid w:val="000C73D0"/>
    <w:rsid w:val="000D056D"/>
    <w:rsid w:val="000D0B7A"/>
    <w:rsid w:val="000D2228"/>
    <w:rsid w:val="000D2552"/>
    <w:rsid w:val="000D2A40"/>
    <w:rsid w:val="000D2E98"/>
    <w:rsid w:val="000D3377"/>
    <w:rsid w:val="000D40B2"/>
    <w:rsid w:val="000D4BDB"/>
    <w:rsid w:val="000D6392"/>
    <w:rsid w:val="000D783C"/>
    <w:rsid w:val="000E0864"/>
    <w:rsid w:val="000E0EAC"/>
    <w:rsid w:val="000E0FE8"/>
    <w:rsid w:val="000E11B6"/>
    <w:rsid w:val="000E121E"/>
    <w:rsid w:val="000E22F1"/>
    <w:rsid w:val="000E3D3D"/>
    <w:rsid w:val="000E680A"/>
    <w:rsid w:val="000E723A"/>
    <w:rsid w:val="000F159A"/>
    <w:rsid w:val="000F2706"/>
    <w:rsid w:val="000F2962"/>
    <w:rsid w:val="000F381A"/>
    <w:rsid w:val="000F4271"/>
    <w:rsid w:val="000F49A4"/>
    <w:rsid w:val="000F5289"/>
    <w:rsid w:val="000F537F"/>
    <w:rsid w:val="000F5CD2"/>
    <w:rsid w:val="000F5E38"/>
    <w:rsid w:val="000F62A2"/>
    <w:rsid w:val="000F692D"/>
    <w:rsid w:val="000F714D"/>
    <w:rsid w:val="000F7307"/>
    <w:rsid w:val="0010025E"/>
    <w:rsid w:val="00100761"/>
    <w:rsid w:val="00100BB1"/>
    <w:rsid w:val="001012C4"/>
    <w:rsid w:val="00102850"/>
    <w:rsid w:val="00103B78"/>
    <w:rsid w:val="00103FCA"/>
    <w:rsid w:val="0010468C"/>
    <w:rsid w:val="00104B70"/>
    <w:rsid w:val="001050C1"/>
    <w:rsid w:val="00105441"/>
    <w:rsid w:val="00105706"/>
    <w:rsid w:val="001060D0"/>
    <w:rsid w:val="0010618F"/>
    <w:rsid w:val="00106202"/>
    <w:rsid w:val="001063FC"/>
    <w:rsid w:val="00107BCC"/>
    <w:rsid w:val="00107FF8"/>
    <w:rsid w:val="001103C7"/>
    <w:rsid w:val="00110897"/>
    <w:rsid w:val="00110B0C"/>
    <w:rsid w:val="001118AC"/>
    <w:rsid w:val="001119A1"/>
    <w:rsid w:val="00113C2E"/>
    <w:rsid w:val="00113EA6"/>
    <w:rsid w:val="00114FC3"/>
    <w:rsid w:val="00115492"/>
    <w:rsid w:val="00115E59"/>
    <w:rsid w:val="00116397"/>
    <w:rsid w:val="00116963"/>
    <w:rsid w:val="00116F15"/>
    <w:rsid w:val="00117C67"/>
    <w:rsid w:val="00120819"/>
    <w:rsid w:val="001210A1"/>
    <w:rsid w:val="00121B0A"/>
    <w:rsid w:val="00121F34"/>
    <w:rsid w:val="00122AA3"/>
    <w:rsid w:val="001231EB"/>
    <w:rsid w:val="001235FB"/>
    <w:rsid w:val="00123673"/>
    <w:rsid w:val="00123797"/>
    <w:rsid w:val="00123D07"/>
    <w:rsid w:val="00125439"/>
    <w:rsid w:val="0012669A"/>
    <w:rsid w:val="00126738"/>
    <w:rsid w:val="00126CAC"/>
    <w:rsid w:val="0012748D"/>
    <w:rsid w:val="00127707"/>
    <w:rsid w:val="00127A75"/>
    <w:rsid w:val="00127B08"/>
    <w:rsid w:val="0013080B"/>
    <w:rsid w:val="001312B5"/>
    <w:rsid w:val="0013203F"/>
    <w:rsid w:val="001324AA"/>
    <w:rsid w:val="00133616"/>
    <w:rsid w:val="00133A31"/>
    <w:rsid w:val="00133A8B"/>
    <w:rsid w:val="00134171"/>
    <w:rsid w:val="00134D73"/>
    <w:rsid w:val="001351D5"/>
    <w:rsid w:val="00136ADC"/>
    <w:rsid w:val="0013727F"/>
    <w:rsid w:val="00137616"/>
    <w:rsid w:val="001377FD"/>
    <w:rsid w:val="00137A4C"/>
    <w:rsid w:val="00140798"/>
    <w:rsid w:val="00140C4F"/>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239"/>
    <w:rsid w:val="00151D22"/>
    <w:rsid w:val="0015234D"/>
    <w:rsid w:val="00152451"/>
    <w:rsid w:val="001527D1"/>
    <w:rsid w:val="00152FAE"/>
    <w:rsid w:val="001544CD"/>
    <w:rsid w:val="00154751"/>
    <w:rsid w:val="00155095"/>
    <w:rsid w:val="00155ADC"/>
    <w:rsid w:val="00156311"/>
    <w:rsid w:val="001567BC"/>
    <w:rsid w:val="0015720C"/>
    <w:rsid w:val="00157329"/>
    <w:rsid w:val="00157791"/>
    <w:rsid w:val="001577E4"/>
    <w:rsid w:val="001603B4"/>
    <w:rsid w:val="00160BF4"/>
    <w:rsid w:val="00161C62"/>
    <w:rsid w:val="00161CC2"/>
    <w:rsid w:val="00163E80"/>
    <w:rsid w:val="00164742"/>
    <w:rsid w:val="00164FB6"/>
    <w:rsid w:val="001655C7"/>
    <w:rsid w:val="00165662"/>
    <w:rsid w:val="001662E4"/>
    <w:rsid w:val="001673BD"/>
    <w:rsid w:val="00170C7E"/>
    <w:rsid w:val="001710C0"/>
    <w:rsid w:val="00171EA9"/>
    <w:rsid w:val="00173E37"/>
    <w:rsid w:val="0017416D"/>
    <w:rsid w:val="00174597"/>
    <w:rsid w:val="00175E5F"/>
    <w:rsid w:val="00176050"/>
    <w:rsid w:val="0017737F"/>
    <w:rsid w:val="0018013C"/>
    <w:rsid w:val="00185858"/>
    <w:rsid w:val="001861E1"/>
    <w:rsid w:val="0018740A"/>
    <w:rsid w:val="0018780F"/>
    <w:rsid w:val="00187936"/>
    <w:rsid w:val="00187C01"/>
    <w:rsid w:val="00187D30"/>
    <w:rsid w:val="00187F17"/>
    <w:rsid w:val="0019256F"/>
    <w:rsid w:val="001925F5"/>
    <w:rsid w:val="001927AE"/>
    <w:rsid w:val="00192F1B"/>
    <w:rsid w:val="001933CF"/>
    <w:rsid w:val="00193522"/>
    <w:rsid w:val="00193A4A"/>
    <w:rsid w:val="00193D38"/>
    <w:rsid w:val="00195DE9"/>
    <w:rsid w:val="00196B2D"/>
    <w:rsid w:val="00196CFE"/>
    <w:rsid w:val="00196E22"/>
    <w:rsid w:val="00196F9A"/>
    <w:rsid w:val="001971BF"/>
    <w:rsid w:val="00197761"/>
    <w:rsid w:val="00197781"/>
    <w:rsid w:val="001A1512"/>
    <w:rsid w:val="001A1867"/>
    <w:rsid w:val="001A19D4"/>
    <w:rsid w:val="001A2B87"/>
    <w:rsid w:val="001A3165"/>
    <w:rsid w:val="001A3257"/>
    <w:rsid w:val="001A4184"/>
    <w:rsid w:val="001A4B24"/>
    <w:rsid w:val="001A5515"/>
    <w:rsid w:val="001A7140"/>
    <w:rsid w:val="001B04DF"/>
    <w:rsid w:val="001B0AEF"/>
    <w:rsid w:val="001B0F3C"/>
    <w:rsid w:val="001B1A28"/>
    <w:rsid w:val="001B2054"/>
    <w:rsid w:val="001B209A"/>
    <w:rsid w:val="001B264C"/>
    <w:rsid w:val="001B2BF4"/>
    <w:rsid w:val="001B3B27"/>
    <w:rsid w:val="001B4298"/>
    <w:rsid w:val="001B43F9"/>
    <w:rsid w:val="001B4700"/>
    <w:rsid w:val="001B5342"/>
    <w:rsid w:val="001B5FB6"/>
    <w:rsid w:val="001B61B8"/>
    <w:rsid w:val="001B6579"/>
    <w:rsid w:val="001B679D"/>
    <w:rsid w:val="001B6A85"/>
    <w:rsid w:val="001B6CAE"/>
    <w:rsid w:val="001C0623"/>
    <w:rsid w:val="001C1261"/>
    <w:rsid w:val="001C2B7B"/>
    <w:rsid w:val="001C3257"/>
    <w:rsid w:val="001C33DC"/>
    <w:rsid w:val="001C4419"/>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421B"/>
    <w:rsid w:val="001D58E6"/>
    <w:rsid w:val="001D5957"/>
    <w:rsid w:val="001D627A"/>
    <w:rsid w:val="001D6526"/>
    <w:rsid w:val="001E047E"/>
    <w:rsid w:val="001E0BA2"/>
    <w:rsid w:val="001E10D7"/>
    <w:rsid w:val="001E1147"/>
    <w:rsid w:val="001E191C"/>
    <w:rsid w:val="001E1CC3"/>
    <w:rsid w:val="001E5BAB"/>
    <w:rsid w:val="001E625D"/>
    <w:rsid w:val="001E682F"/>
    <w:rsid w:val="001E6EE5"/>
    <w:rsid w:val="001F0CF0"/>
    <w:rsid w:val="001F11CE"/>
    <w:rsid w:val="001F23DE"/>
    <w:rsid w:val="001F24AF"/>
    <w:rsid w:val="001F294A"/>
    <w:rsid w:val="001F38DE"/>
    <w:rsid w:val="001F3C7B"/>
    <w:rsid w:val="001F3F7F"/>
    <w:rsid w:val="001F4A9E"/>
    <w:rsid w:val="001F51AE"/>
    <w:rsid w:val="001F5EA6"/>
    <w:rsid w:val="001F61FD"/>
    <w:rsid w:val="001F6A18"/>
    <w:rsid w:val="001F6AC9"/>
    <w:rsid w:val="001F7E84"/>
    <w:rsid w:val="002006D8"/>
    <w:rsid w:val="00201383"/>
    <w:rsid w:val="00201442"/>
    <w:rsid w:val="00201E75"/>
    <w:rsid w:val="002029F3"/>
    <w:rsid w:val="0020368B"/>
    <w:rsid w:val="0020387B"/>
    <w:rsid w:val="00203984"/>
    <w:rsid w:val="00204401"/>
    <w:rsid w:val="002054AD"/>
    <w:rsid w:val="002056F1"/>
    <w:rsid w:val="00206555"/>
    <w:rsid w:val="002073AB"/>
    <w:rsid w:val="00207671"/>
    <w:rsid w:val="00210C6F"/>
    <w:rsid w:val="00210FD3"/>
    <w:rsid w:val="00211F78"/>
    <w:rsid w:val="00212993"/>
    <w:rsid w:val="00212ECE"/>
    <w:rsid w:val="002130F1"/>
    <w:rsid w:val="00213831"/>
    <w:rsid w:val="0021394E"/>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574B"/>
    <w:rsid w:val="00226607"/>
    <w:rsid w:val="0022664E"/>
    <w:rsid w:val="00227526"/>
    <w:rsid w:val="002314D5"/>
    <w:rsid w:val="00231D5D"/>
    <w:rsid w:val="0023263C"/>
    <w:rsid w:val="002327AE"/>
    <w:rsid w:val="00234344"/>
    <w:rsid w:val="002347C7"/>
    <w:rsid w:val="00234A48"/>
    <w:rsid w:val="0023595D"/>
    <w:rsid w:val="00235FA3"/>
    <w:rsid w:val="0023601A"/>
    <w:rsid w:val="00236769"/>
    <w:rsid w:val="00240FFE"/>
    <w:rsid w:val="00241084"/>
    <w:rsid w:val="00241781"/>
    <w:rsid w:val="00241FF0"/>
    <w:rsid w:val="0024203D"/>
    <w:rsid w:val="00242D8C"/>
    <w:rsid w:val="00243F79"/>
    <w:rsid w:val="002441F5"/>
    <w:rsid w:val="002443EF"/>
    <w:rsid w:val="00245505"/>
    <w:rsid w:val="00246B5F"/>
    <w:rsid w:val="00247064"/>
    <w:rsid w:val="002474FB"/>
    <w:rsid w:val="00247BF2"/>
    <w:rsid w:val="0025002F"/>
    <w:rsid w:val="002516C7"/>
    <w:rsid w:val="0025174A"/>
    <w:rsid w:val="002528F8"/>
    <w:rsid w:val="00253354"/>
    <w:rsid w:val="00253858"/>
    <w:rsid w:val="00253AD1"/>
    <w:rsid w:val="00255734"/>
    <w:rsid w:val="00255BCF"/>
    <w:rsid w:val="002569D3"/>
    <w:rsid w:val="00256C9C"/>
    <w:rsid w:val="00257715"/>
    <w:rsid w:val="00257D2B"/>
    <w:rsid w:val="0026023A"/>
    <w:rsid w:val="00261CB9"/>
    <w:rsid w:val="00263B38"/>
    <w:rsid w:val="002644D4"/>
    <w:rsid w:val="00265027"/>
    <w:rsid w:val="00266857"/>
    <w:rsid w:val="0026702E"/>
    <w:rsid w:val="00267CE1"/>
    <w:rsid w:val="00267EB1"/>
    <w:rsid w:val="00270F56"/>
    <w:rsid w:val="00271E64"/>
    <w:rsid w:val="0027247F"/>
    <w:rsid w:val="0027291D"/>
    <w:rsid w:val="002731AF"/>
    <w:rsid w:val="00273580"/>
    <w:rsid w:val="00274EC7"/>
    <w:rsid w:val="00276EED"/>
    <w:rsid w:val="002770CB"/>
    <w:rsid w:val="00277214"/>
    <w:rsid w:val="002779BC"/>
    <w:rsid w:val="00280FBF"/>
    <w:rsid w:val="0028147A"/>
    <w:rsid w:val="00284178"/>
    <w:rsid w:val="0028509B"/>
    <w:rsid w:val="0028572B"/>
    <w:rsid w:val="0028679C"/>
    <w:rsid w:val="00287BE1"/>
    <w:rsid w:val="00291D94"/>
    <w:rsid w:val="0029208A"/>
    <w:rsid w:val="00292B8E"/>
    <w:rsid w:val="0029304D"/>
    <w:rsid w:val="002937DC"/>
    <w:rsid w:val="00294F5B"/>
    <w:rsid w:val="002951C3"/>
    <w:rsid w:val="002959B7"/>
    <w:rsid w:val="00297258"/>
    <w:rsid w:val="00297761"/>
    <w:rsid w:val="00297ABD"/>
    <w:rsid w:val="00297EA2"/>
    <w:rsid w:val="002A02E7"/>
    <w:rsid w:val="002A057E"/>
    <w:rsid w:val="002A1912"/>
    <w:rsid w:val="002A2024"/>
    <w:rsid w:val="002A20D3"/>
    <w:rsid w:val="002A294F"/>
    <w:rsid w:val="002A3009"/>
    <w:rsid w:val="002A4104"/>
    <w:rsid w:val="002A4ED9"/>
    <w:rsid w:val="002A61C3"/>
    <w:rsid w:val="002A6687"/>
    <w:rsid w:val="002A6E1A"/>
    <w:rsid w:val="002A6F34"/>
    <w:rsid w:val="002A7439"/>
    <w:rsid w:val="002A7966"/>
    <w:rsid w:val="002B00B4"/>
    <w:rsid w:val="002B0571"/>
    <w:rsid w:val="002B0AE2"/>
    <w:rsid w:val="002B226F"/>
    <w:rsid w:val="002B2BDC"/>
    <w:rsid w:val="002B3098"/>
    <w:rsid w:val="002B3794"/>
    <w:rsid w:val="002B4785"/>
    <w:rsid w:val="002B50FE"/>
    <w:rsid w:val="002B6776"/>
    <w:rsid w:val="002B779D"/>
    <w:rsid w:val="002C0577"/>
    <w:rsid w:val="002C1501"/>
    <w:rsid w:val="002C444F"/>
    <w:rsid w:val="002C45C4"/>
    <w:rsid w:val="002C496D"/>
    <w:rsid w:val="002C4A3B"/>
    <w:rsid w:val="002C4C1E"/>
    <w:rsid w:val="002C52F8"/>
    <w:rsid w:val="002C57F9"/>
    <w:rsid w:val="002C5A9C"/>
    <w:rsid w:val="002C5B13"/>
    <w:rsid w:val="002C5E8D"/>
    <w:rsid w:val="002C6713"/>
    <w:rsid w:val="002C69DE"/>
    <w:rsid w:val="002C76F2"/>
    <w:rsid w:val="002C7948"/>
    <w:rsid w:val="002C7F50"/>
    <w:rsid w:val="002D0CCA"/>
    <w:rsid w:val="002D0FA3"/>
    <w:rsid w:val="002D1551"/>
    <w:rsid w:val="002D1DB8"/>
    <w:rsid w:val="002D3C34"/>
    <w:rsid w:val="002D3D49"/>
    <w:rsid w:val="002D4C87"/>
    <w:rsid w:val="002D522B"/>
    <w:rsid w:val="002D5288"/>
    <w:rsid w:val="002D58EB"/>
    <w:rsid w:val="002D6A7D"/>
    <w:rsid w:val="002D7754"/>
    <w:rsid w:val="002D7DA8"/>
    <w:rsid w:val="002E0319"/>
    <w:rsid w:val="002E095F"/>
    <w:rsid w:val="002E1159"/>
    <w:rsid w:val="002E12E4"/>
    <w:rsid w:val="002E1E0F"/>
    <w:rsid w:val="002E23EC"/>
    <w:rsid w:val="002E24EE"/>
    <w:rsid w:val="002E2BF0"/>
    <w:rsid w:val="002E489D"/>
    <w:rsid w:val="002E505E"/>
    <w:rsid w:val="002E70A1"/>
    <w:rsid w:val="002E7359"/>
    <w:rsid w:val="002E766A"/>
    <w:rsid w:val="002E7D83"/>
    <w:rsid w:val="002F053B"/>
    <w:rsid w:val="002F211F"/>
    <w:rsid w:val="002F2740"/>
    <w:rsid w:val="002F72BA"/>
    <w:rsid w:val="00300673"/>
    <w:rsid w:val="00300D60"/>
    <w:rsid w:val="003012A5"/>
    <w:rsid w:val="0030234C"/>
    <w:rsid w:val="00302C89"/>
    <w:rsid w:val="00302CA0"/>
    <w:rsid w:val="00303925"/>
    <w:rsid w:val="0030397E"/>
    <w:rsid w:val="00304F56"/>
    <w:rsid w:val="003054F6"/>
    <w:rsid w:val="00305BEC"/>
    <w:rsid w:val="00305ED2"/>
    <w:rsid w:val="00306668"/>
    <w:rsid w:val="00306680"/>
    <w:rsid w:val="00307413"/>
    <w:rsid w:val="00307E10"/>
    <w:rsid w:val="00310EFE"/>
    <w:rsid w:val="00311C95"/>
    <w:rsid w:val="00312470"/>
    <w:rsid w:val="00312AA0"/>
    <w:rsid w:val="00313162"/>
    <w:rsid w:val="00313C01"/>
    <w:rsid w:val="003146D5"/>
    <w:rsid w:val="00316738"/>
    <w:rsid w:val="00317369"/>
    <w:rsid w:val="00317A58"/>
    <w:rsid w:val="00320856"/>
    <w:rsid w:val="0032171A"/>
    <w:rsid w:val="0032221D"/>
    <w:rsid w:val="0032255F"/>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3D8"/>
    <w:rsid w:val="003334A3"/>
    <w:rsid w:val="003336A9"/>
    <w:rsid w:val="00333F6D"/>
    <w:rsid w:val="00334ACF"/>
    <w:rsid w:val="003365A2"/>
    <w:rsid w:val="0033706E"/>
    <w:rsid w:val="00337531"/>
    <w:rsid w:val="003409E3"/>
    <w:rsid w:val="00341ECB"/>
    <w:rsid w:val="00342684"/>
    <w:rsid w:val="0034326C"/>
    <w:rsid w:val="00345826"/>
    <w:rsid w:val="00345871"/>
    <w:rsid w:val="0034605A"/>
    <w:rsid w:val="003469A0"/>
    <w:rsid w:val="00347C08"/>
    <w:rsid w:val="003504FF"/>
    <w:rsid w:val="0035111E"/>
    <w:rsid w:val="00351127"/>
    <w:rsid w:val="00351535"/>
    <w:rsid w:val="0035178B"/>
    <w:rsid w:val="00351ADA"/>
    <w:rsid w:val="00351EE5"/>
    <w:rsid w:val="0035203C"/>
    <w:rsid w:val="0035223E"/>
    <w:rsid w:val="0035348E"/>
    <w:rsid w:val="00353DB2"/>
    <w:rsid w:val="00353DE9"/>
    <w:rsid w:val="003545BA"/>
    <w:rsid w:val="00354753"/>
    <w:rsid w:val="00354848"/>
    <w:rsid w:val="00355D1B"/>
    <w:rsid w:val="003569EB"/>
    <w:rsid w:val="00360156"/>
    <w:rsid w:val="00360512"/>
    <w:rsid w:val="003608A3"/>
    <w:rsid w:val="00360F8A"/>
    <w:rsid w:val="00361296"/>
    <w:rsid w:val="00361D62"/>
    <w:rsid w:val="00361F93"/>
    <w:rsid w:val="00362063"/>
    <w:rsid w:val="003624EB"/>
    <w:rsid w:val="00362DC0"/>
    <w:rsid w:val="0036361C"/>
    <w:rsid w:val="00364210"/>
    <w:rsid w:val="00365A3F"/>
    <w:rsid w:val="00365DFA"/>
    <w:rsid w:val="00367B20"/>
    <w:rsid w:val="00370585"/>
    <w:rsid w:val="00370A13"/>
    <w:rsid w:val="00371796"/>
    <w:rsid w:val="00372AE4"/>
    <w:rsid w:val="00372C94"/>
    <w:rsid w:val="00372E60"/>
    <w:rsid w:val="00372E9D"/>
    <w:rsid w:val="00372F6A"/>
    <w:rsid w:val="003731B4"/>
    <w:rsid w:val="0037329D"/>
    <w:rsid w:val="003735A8"/>
    <w:rsid w:val="00373988"/>
    <w:rsid w:val="00373C98"/>
    <w:rsid w:val="00373CDE"/>
    <w:rsid w:val="0037439C"/>
    <w:rsid w:val="003747EA"/>
    <w:rsid w:val="00375A41"/>
    <w:rsid w:val="00376908"/>
    <w:rsid w:val="00381B13"/>
    <w:rsid w:val="00383280"/>
    <w:rsid w:val="00384E0C"/>
    <w:rsid w:val="00386485"/>
    <w:rsid w:val="00387176"/>
    <w:rsid w:val="0038796E"/>
    <w:rsid w:val="00390520"/>
    <w:rsid w:val="003908D2"/>
    <w:rsid w:val="00391552"/>
    <w:rsid w:val="0039167F"/>
    <w:rsid w:val="00392F9B"/>
    <w:rsid w:val="00393315"/>
    <w:rsid w:val="003937B2"/>
    <w:rsid w:val="00393C41"/>
    <w:rsid w:val="003955DB"/>
    <w:rsid w:val="00395611"/>
    <w:rsid w:val="00395D3B"/>
    <w:rsid w:val="003977B2"/>
    <w:rsid w:val="00397E10"/>
    <w:rsid w:val="003A0707"/>
    <w:rsid w:val="003A09E2"/>
    <w:rsid w:val="003A0C53"/>
    <w:rsid w:val="003A0E86"/>
    <w:rsid w:val="003A0ECC"/>
    <w:rsid w:val="003A0F50"/>
    <w:rsid w:val="003A0FDF"/>
    <w:rsid w:val="003A19F2"/>
    <w:rsid w:val="003A2CAF"/>
    <w:rsid w:val="003A33A5"/>
    <w:rsid w:val="003A4229"/>
    <w:rsid w:val="003A5140"/>
    <w:rsid w:val="003A54BB"/>
    <w:rsid w:val="003A5D52"/>
    <w:rsid w:val="003A5E05"/>
    <w:rsid w:val="003A769B"/>
    <w:rsid w:val="003B2611"/>
    <w:rsid w:val="003B2E37"/>
    <w:rsid w:val="003B2E56"/>
    <w:rsid w:val="003B3B53"/>
    <w:rsid w:val="003B434C"/>
    <w:rsid w:val="003B4690"/>
    <w:rsid w:val="003B489B"/>
    <w:rsid w:val="003B4F9D"/>
    <w:rsid w:val="003B64D6"/>
    <w:rsid w:val="003B6520"/>
    <w:rsid w:val="003B6A6B"/>
    <w:rsid w:val="003B72FF"/>
    <w:rsid w:val="003B792B"/>
    <w:rsid w:val="003B7F4F"/>
    <w:rsid w:val="003C01E4"/>
    <w:rsid w:val="003C04E4"/>
    <w:rsid w:val="003C0AB7"/>
    <w:rsid w:val="003C0D5F"/>
    <w:rsid w:val="003C0E91"/>
    <w:rsid w:val="003C1056"/>
    <w:rsid w:val="003C1199"/>
    <w:rsid w:val="003C23FC"/>
    <w:rsid w:val="003C24C9"/>
    <w:rsid w:val="003C275D"/>
    <w:rsid w:val="003C2D14"/>
    <w:rsid w:val="003C2E20"/>
    <w:rsid w:val="003C3197"/>
    <w:rsid w:val="003C3B92"/>
    <w:rsid w:val="003C46EE"/>
    <w:rsid w:val="003C5CB9"/>
    <w:rsid w:val="003C60F8"/>
    <w:rsid w:val="003C620C"/>
    <w:rsid w:val="003C6535"/>
    <w:rsid w:val="003C76D7"/>
    <w:rsid w:val="003D065A"/>
    <w:rsid w:val="003D1A99"/>
    <w:rsid w:val="003D1F8B"/>
    <w:rsid w:val="003D2018"/>
    <w:rsid w:val="003D2815"/>
    <w:rsid w:val="003D2D24"/>
    <w:rsid w:val="003D32DA"/>
    <w:rsid w:val="003D39CC"/>
    <w:rsid w:val="003D5258"/>
    <w:rsid w:val="003D581F"/>
    <w:rsid w:val="003D676C"/>
    <w:rsid w:val="003D7AE3"/>
    <w:rsid w:val="003D7D53"/>
    <w:rsid w:val="003E001A"/>
    <w:rsid w:val="003E2BEE"/>
    <w:rsid w:val="003E2D25"/>
    <w:rsid w:val="003E30C7"/>
    <w:rsid w:val="003E3B62"/>
    <w:rsid w:val="003E49D2"/>
    <w:rsid w:val="003E4F9A"/>
    <w:rsid w:val="003E5390"/>
    <w:rsid w:val="003E6CAA"/>
    <w:rsid w:val="003F2AF0"/>
    <w:rsid w:val="003F2C61"/>
    <w:rsid w:val="003F2EE8"/>
    <w:rsid w:val="003F36F6"/>
    <w:rsid w:val="003F46CF"/>
    <w:rsid w:val="003F4CCA"/>
    <w:rsid w:val="003F6142"/>
    <w:rsid w:val="003F7880"/>
    <w:rsid w:val="00400D3D"/>
    <w:rsid w:val="00403845"/>
    <w:rsid w:val="0040476C"/>
    <w:rsid w:val="00405A90"/>
    <w:rsid w:val="00405D42"/>
    <w:rsid w:val="00407018"/>
    <w:rsid w:val="00410E09"/>
    <w:rsid w:val="004110BF"/>
    <w:rsid w:val="004123D7"/>
    <w:rsid w:val="00413329"/>
    <w:rsid w:val="00413802"/>
    <w:rsid w:val="00413E7B"/>
    <w:rsid w:val="004148DA"/>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4C45"/>
    <w:rsid w:val="00425098"/>
    <w:rsid w:val="004250D2"/>
    <w:rsid w:val="004252B7"/>
    <w:rsid w:val="004259BF"/>
    <w:rsid w:val="00426377"/>
    <w:rsid w:val="00426A43"/>
    <w:rsid w:val="00427039"/>
    <w:rsid w:val="0042756E"/>
    <w:rsid w:val="004277B3"/>
    <w:rsid w:val="0042782B"/>
    <w:rsid w:val="00427FFB"/>
    <w:rsid w:val="00430A64"/>
    <w:rsid w:val="00431175"/>
    <w:rsid w:val="00431427"/>
    <w:rsid w:val="004316D5"/>
    <w:rsid w:val="00433281"/>
    <w:rsid w:val="004337A4"/>
    <w:rsid w:val="00435318"/>
    <w:rsid w:val="00435433"/>
    <w:rsid w:val="0043545F"/>
    <w:rsid w:val="004361D1"/>
    <w:rsid w:val="00436A68"/>
    <w:rsid w:val="00437F79"/>
    <w:rsid w:val="00440513"/>
    <w:rsid w:val="00440A71"/>
    <w:rsid w:val="00441C92"/>
    <w:rsid w:val="00441F92"/>
    <w:rsid w:val="00443033"/>
    <w:rsid w:val="004431F3"/>
    <w:rsid w:val="0044326A"/>
    <w:rsid w:val="00443A3C"/>
    <w:rsid w:val="004446A8"/>
    <w:rsid w:val="00444C32"/>
    <w:rsid w:val="0044542E"/>
    <w:rsid w:val="004461F0"/>
    <w:rsid w:val="0044751B"/>
    <w:rsid w:val="0044770B"/>
    <w:rsid w:val="004531D2"/>
    <w:rsid w:val="00453A1B"/>
    <w:rsid w:val="004541EF"/>
    <w:rsid w:val="00454AB8"/>
    <w:rsid w:val="00454B1A"/>
    <w:rsid w:val="00455DB2"/>
    <w:rsid w:val="00456104"/>
    <w:rsid w:val="0045639F"/>
    <w:rsid w:val="00456895"/>
    <w:rsid w:val="00457CA5"/>
    <w:rsid w:val="00457D11"/>
    <w:rsid w:val="004606D5"/>
    <w:rsid w:val="00461F9F"/>
    <w:rsid w:val="00462710"/>
    <w:rsid w:val="00463253"/>
    <w:rsid w:val="00463722"/>
    <w:rsid w:val="00466D16"/>
    <w:rsid w:val="00466FE2"/>
    <w:rsid w:val="0046732C"/>
    <w:rsid w:val="00467CD3"/>
    <w:rsid w:val="00470E15"/>
    <w:rsid w:val="00471B89"/>
    <w:rsid w:val="004724D5"/>
    <w:rsid w:val="00472EF8"/>
    <w:rsid w:val="00473648"/>
    <w:rsid w:val="0047437F"/>
    <w:rsid w:val="00474B88"/>
    <w:rsid w:val="00474FBA"/>
    <w:rsid w:val="004752EA"/>
    <w:rsid w:val="004758C0"/>
    <w:rsid w:val="00475D00"/>
    <w:rsid w:val="004765C9"/>
    <w:rsid w:val="00477B37"/>
    <w:rsid w:val="0048011F"/>
    <w:rsid w:val="00481097"/>
    <w:rsid w:val="0048197A"/>
    <w:rsid w:val="00482258"/>
    <w:rsid w:val="00484394"/>
    <w:rsid w:val="004844E7"/>
    <w:rsid w:val="0048614E"/>
    <w:rsid w:val="00486ECA"/>
    <w:rsid w:val="0048740A"/>
    <w:rsid w:val="0048758D"/>
    <w:rsid w:val="00487CEC"/>
    <w:rsid w:val="00491DBB"/>
    <w:rsid w:val="00492095"/>
    <w:rsid w:val="0049238F"/>
    <w:rsid w:val="00492AC9"/>
    <w:rsid w:val="004930B5"/>
    <w:rsid w:val="00493BD5"/>
    <w:rsid w:val="004940A0"/>
    <w:rsid w:val="004940EE"/>
    <w:rsid w:val="004949A9"/>
    <w:rsid w:val="00494D85"/>
    <w:rsid w:val="00495FB2"/>
    <w:rsid w:val="0049640C"/>
    <w:rsid w:val="0049687D"/>
    <w:rsid w:val="00496A50"/>
    <w:rsid w:val="00496CE2"/>
    <w:rsid w:val="004A0737"/>
    <w:rsid w:val="004A0ADD"/>
    <w:rsid w:val="004A1272"/>
    <w:rsid w:val="004A12B4"/>
    <w:rsid w:val="004A14CD"/>
    <w:rsid w:val="004A2EE1"/>
    <w:rsid w:val="004A2FC3"/>
    <w:rsid w:val="004A30E8"/>
    <w:rsid w:val="004A3552"/>
    <w:rsid w:val="004A3967"/>
    <w:rsid w:val="004A3DBC"/>
    <w:rsid w:val="004A706E"/>
    <w:rsid w:val="004A7C13"/>
    <w:rsid w:val="004B09AE"/>
    <w:rsid w:val="004B0DDC"/>
    <w:rsid w:val="004B12B6"/>
    <w:rsid w:val="004B12C1"/>
    <w:rsid w:val="004B1C51"/>
    <w:rsid w:val="004B215F"/>
    <w:rsid w:val="004B260F"/>
    <w:rsid w:val="004B333D"/>
    <w:rsid w:val="004B6A61"/>
    <w:rsid w:val="004B7D90"/>
    <w:rsid w:val="004C0612"/>
    <w:rsid w:val="004C16AC"/>
    <w:rsid w:val="004C18A9"/>
    <w:rsid w:val="004C2215"/>
    <w:rsid w:val="004C280A"/>
    <w:rsid w:val="004C2BE4"/>
    <w:rsid w:val="004C5367"/>
    <w:rsid w:val="004C5BE5"/>
    <w:rsid w:val="004C73F9"/>
    <w:rsid w:val="004D0256"/>
    <w:rsid w:val="004D057E"/>
    <w:rsid w:val="004D078A"/>
    <w:rsid w:val="004D0817"/>
    <w:rsid w:val="004D09A0"/>
    <w:rsid w:val="004D13A9"/>
    <w:rsid w:val="004D15DF"/>
    <w:rsid w:val="004D18B4"/>
    <w:rsid w:val="004D211B"/>
    <w:rsid w:val="004D24D5"/>
    <w:rsid w:val="004D27C8"/>
    <w:rsid w:val="004D2A50"/>
    <w:rsid w:val="004D2EA0"/>
    <w:rsid w:val="004D2EFE"/>
    <w:rsid w:val="004D3EA0"/>
    <w:rsid w:val="004D48A7"/>
    <w:rsid w:val="004D4F86"/>
    <w:rsid w:val="004D53E8"/>
    <w:rsid w:val="004D6235"/>
    <w:rsid w:val="004D71D6"/>
    <w:rsid w:val="004D7B37"/>
    <w:rsid w:val="004D7E3A"/>
    <w:rsid w:val="004E08C8"/>
    <w:rsid w:val="004E0E9F"/>
    <w:rsid w:val="004E0FA4"/>
    <w:rsid w:val="004E1691"/>
    <w:rsid w:val="004E1DB6"/>
    <w:rsid w:val="004E2370"/>
    <w:rsid w:val="004E23F2"/>
    <w:rsid w:val="004E25C1"/>
    <w:rsid w:val="004E2A17"/>
    <w:rsid w:val="004E3123"/>
    <w:rsid w:val="004E3196"/>
    <w:rsid w:val="004E3212"/>
    <w:rsid w:val="004E3CA8"/>
    <w:rsid w:val="004E3CC2"/>
    <w:rsid w:val="004E462D"/>
    <w:rsid w:val="004E4B8A"/>
    <w:rsid w:val="004E7F67"/>
    <w:rsid w:val="004F2EE1"/>
    <w:rsid w:val="004F2F92"/>
    <w:rsid w:val="004F43CB"/>
    <w:rsid w:val="004F4AC8"/>
    <w:rsid w:val="004F5D52"/>
    <w:rsid w:val="004F6070"/>
    <w:rsid w:val="004F7183"/>
    <w:rsid w:val="0050042C"/>
    <w:rsid w:val="00500B6A"/>
    <w:rsid w:val="00500D6F"/>
    <w:rsid w:val="005012DB"/>
    <w:rsid w:val="00501C3F"/>
    <w:rsid w:val="00502380"/>
    <w:rsid w:val="0050267B"/>
    <w:rsid w:val="00502903"/>
    <w:rsid w:val="00503730"/>
    <w:rsid w:val="0050457F"/>
    <w:rsid w:val="00504A31"/>
    <w:rsid w:val="005055F5"/>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4DC"/>
    <w:rsid w:val="0051579C"/>
    <w:rsid w:val="00515A76"/>
    <w:rsid w:val="00516300"/>
    <w:rsid w:val="00516584"/>
    <w:rsid w:val="00516FF9"/>
    <w:rsid w:val="005201F5"/>
    <w:rsid w:val="005204D0"/>
    <w:rsid w:val="00520D18"/>
    <w:rsid w:val="005216BE"/>
    <w:rsid w:val="00522BDD"/>
    <w:rsid w:val="00523B38"/>
    <w:rsid w:val="00523CB0"/>
    <w:rsid w:val="005242EE"/>
    <w:rsid w:val="00524421"/>
    <w:rsid w:val="00525094"/>
    <w:rsid w:val="00525C18"/>
    <w:rsid w:val="00525DC6"/>
    <w:rsid w:val="00527783"/>
    <w:rsid w:val="00527FE0"/>
    <w:rsid w:val="00532E4C"/>
    <w:rsid w:val="00533167"/>
    <w:rsid w:val="005332C9"/>
    <w:rsid w:val="0053358C"/>
    <w:rsid w:val="0053369E"/>
    <w:rsid w:val="00533EE5"/>
    <w:rsid w:val="00534A8F"/>
    <w:rsid w:val="00534B36"/>
    <w:rsid w:val="0053512C"/>
    <w:rsid w:val="0053589E"/>
    <w:rsid w:val="00536378"/>
    <w:rsid w:val="0053677A"/>
    <w:rsid w:val="00536E3E"/>
    <w:rsid w:val="005372A7"/>
    <w:rsid w:val="00540396"/>
    <w:rsid w:val="00540C42"/>
    <w:rsid w:val="0054319F"/>
    <w:rsid w:val="00544729"/>
    <w:rsid w:val="00544E5D"/>
    <w:rsid w:val="00544ED2"/>
    <w:rsid w:val="0054546C"/>
    <w:rsid w:val="00545D9F"/>
    <w:rsid w:val="0054639F"/>
    <w:rsid w:val="0054689B"/>
    <w:rsid w:val="0054697F"/>
    <w:rsid w:val="00546FD2"/>
    <w:rsid w:val="00552D94"/>
    <w:rsid w:val="005530FA"/>
    <w:rsid w:val="00553952"/>
    <w:rsid w:val="00553D8C"/>
    <w:rsid w:val="005545F9"/>
    <w:rsid w:val="005562F4"/>
    <w:rsid w:val="00556956"/>
    <w:rsid w:val="005606BF"/>
    <w:rsid w:val="00560A6B"/>
    <w:rsid w:val="0056221F"/>
    <w:rsid w:val="0056244F"/>
    <w:rsid w:val="0056325B"/>
    <w:rsid w:val="00563720"/>
    <w:rsid w:val="00563EFF"/>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C98"/>
    <w:rsid w:val="00583DEF"/>
    <w:rsid w:val="00584A73"/>
    <w:rsid w:val="00584D50"/>
    <w:rsid w:val="00587C15"/>
    <w:rsid w:val="00587C38"/>
    <w:rsid w:val="0059057B"/>
    <w:rsid w:val="00590786"/>
    <w:rsid w:val="00591D06"/>
    <w:rsid w:val="00592B67"/>
    <w:rsid w:val="00592C11"/>
    <w:rsid w:val="00592E14"/>
    <w:rsid w:val="00593E7E"/>
    <w:rsid w:val="00594389"/>
    <w:rsid w:val="00594C5F"/>
    <w:rsid w:val="005950DE"/>
    <w:rsid w:val="00595B59"/>
    <w:rsid w:val="0059689F"/>
    <w:rsid w:val="00597A95"/>
    <w:rsid w:val="005A083F"/>
    <w:rsid w:val="005A0B16"/>
    <w:rsid w:val="005A0CF3"/>
    <w:rsid w:val="005A17C9"/>
    <w:rsid w:val="005A1A51"/>
    <w:rsid w:val="005A1B58"/>
    <w:rsid w:val="005A1EC1"/>
    <w:rsid w:val="005A213B"/>
    <w:rsid w:val="005A2D95"/>
    <w:rsid w:val="005A437A"/>
    <w:rsid w:val="005A4515"/>
    <w:rsid w:val="005A483C"/>
    <w:rsid w:val="005A48E6"/>
    <w:rsid w:val="005A5CBA"/>
    <w:rsid w:val="005A6173"/>
    <w:rsid w:val="005A6F68"/>
    <w:rsid w:val="005A7765"/>
    <w:rsid w:val="005A7BA9"/>
    <w:rsid w:val="005B08BA"/>
    <w:rsid w:val="005B12F1"/>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05F"/>
    <w:rsid w:val="005C593E"/>
    <w:rsid w:val="005C5F17"/>
    <w:rsid w:val="005C73CC"/>
    <w:rsid w:val="005D012B"/>
    <w:rsid w:val="005D01ED"/>
    <w:rsid w:val="005D03C6"/>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1C9E"/>
    <w:rsid w:val="005E27B2"/>
    <w:rsid w:val="005E2AF0"/>
    <w:rsid w:val="005E2B1F"/>
    <w:rsid w:val="005E4341"/>
    <w:rsid w:val="005E5B0E"/>
    <w:rsid w:val="005E5BAB"/>
    <w:rsid w:val="005E5DFA"/>
    <w:rsid w:val="005E6024"/>
    <w:rsid w:val="005E631B"/>
    <w:rsid w:val="005E6C08"/>
    <w:rsid w:val="005E7551"/>
    <w:rsid w:val="005F072E"/>
    <w:rsid w:val="005F09E0"/>
    <w:rsid w:val="005F1DA3"/>
    <w:rsid w:val="005F2094"/>
    <w:rsid w:val="005F28AA"/>
    <w:rsid w:val="005F3B06"/>
    <w:rsid w:val="005F43EF"/>
    <w:rsid w:val="005F4489"/>
    <w:rsid w:val="005F45B9"/>
    <w:rsid w:val="005F47A3"/>
    <w:rsid w:val="005F4AF3"/>
    <w:rsid w:val="005F596C"/>
    <w:rsid w:val="005F6248"/>
    <w:rsid w:val="005F7B96"/>
    <w:rsid w:val="00600A62"/>
    <w:rsid w:val="00600C88"/>
    <w:rsid w:val="006013C7"/>
    <w:rsid w:val="006026B4"/>
    <w:rsid w:val="00604293"/>
    <w:rsid w:val="00604400"/>
    <w:rsid w:val="0060455C"/>
    <w:rsid w:val="00604852"/>
    <w:rsid w:val="00605232"/>
    <w:rsid w:val="006055E9"/>
    <w:rsid w:val="0060686F"/>
    <w:rsid w:val="0060694D"/>
    <w:rsid w:val="00607A80"/>
    <w:rsid w:val="00607C3C"/>
    <w:rsid w:val="00611A84"/>
    <w:rsid w:val="00611EC2"/>
    <w:rsid w:val="00612E31"/>
    <w:rsid w:val="00613548"/>
    <w:rsid w:val="006144E3"/>
    <w:rsid w:val="00614FC8"/>
    <w:rsid w:val="0061673D"/>
    <w:rsid w:val="00616D73"/>
    <w:rsid w:val="00617056"/>
    <w:rsid w:val="006174C3"/>
    <w:rsid w:val="00617B70"/>
    <w:rsid w:val="00617E5F"/>
    <w:rsid w:val="00617E79"/>
    <w:rsid w:val="00620408"/>
    <w:rsid w:val="0062054A"/>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58E"/>
    <w:rsid w:val="00634EDF"/>
    <w:rsid w:val="00635C4B"/>
    <w:rsid w:val="006375C2"/>
    <w:rsid w:val="00640471"/>
    <w:rsid w:val="00640953"/>
    <w:rsid w:val="006416E2"/>
    <w:rsid w:val="0064175B"/>
    <w:rsid w:val="00641F49"/>
    <w:rsid w:val="0064286F"/>
    <w:rsid w:val="00642E1E"/>
    <w:rsid w:val="0064466B"/>
    <w:rsid w:val="006454AD"/>
    <w:rsid w:val="00645A5D"/>
    <w:rsid w:val="00645A75"/>
    <w:rsid w:val="00646158"/>
    <w:rsid w:val="00646363"/>
    <w:rsid w:val="0064647F"/>
    <w:rsid w:val="0064667C"/>
    <w:rsid w:val="0064768C"/>
    <w:rsid w:val="00651534"/>
    <w:rsid w:val="00651C34"/>
    <w:rsid w:val="00651CF1"/>
    <w:rsid w:val="00652F3E"/>
    <w:rsid w:val="0065416A"/>
    <w:rsid w:val="006542F9"/>
    <w:rsid w:val="0065461F"/>
    <w:rsid w:val="006547A0"/>
    <w:rsid w:val="0065582E"/>
    <w:rsid w:val="00655DB0"/>
    <w:rsid w:val="00655ED3"/>
    <w:rsid w:val="006569DD"/>
    <w:rsid w:val="006570E7"/>
    <w:rsid w:val="0065759A"/>
    <w:rsid w:val="00657CD5"/>
    <w:rsid w:val="00657D80"/>
    <w:rsid w:val="0066092E"/>
    <w:rsid w:val="00660B4D"/>
    <w:rsid w:val="00660D81"/>
    <w:rsid w:val="00661051"/>
    <w:rsid w:val="00662303"/>
    <w:rsid w:val="00664B10"/>
    <w:rsid w:val="00665057"/>
    <w:rsid w:val="0066516C"/>
    <w:rsid w:val="00665F4E"/>
    <w:rsid w:val="00666BF5"/>
    <w:rsid w:val="00667AE0"/>
    <w:rsid w:val="00667D71"/>
    <w:rsid w:val="0067110F"/>
    <w:rsid w:val="006712DB"/>
    <w:rsid w:val="006712DF"/>
    <w:rsid w:val="00671B72"/>
    <w:rsid w:val="00671BAC"/>
    <w:rsid w:val="00672115"/>
    <w:rsid w:val="00672AA5"/>
    <w:rsid w:val="00673716"/>
    <w:rsid w:val="0067437C"/>
    <w:rsid w:val="00674E2D"/>
    <w:rsid w:val="0067504F"/>
    <w:rsid w:val="0067511B"/>
    <w:rsid w:val="006758D6"/>
    <w:rsid w:val="00675C7C"/>
    <w:rsid w:val="00675DE4"/>
    <w:rsid w:val="00676B07"/>
    <w:rsid w:val="00677699"/>
    <w:rsid w:val="00677B0A"/>
    <w:rsid w:val="00677C11"/>
    <w:rsid w:val="006804F1"/>
    <w:rsid w:val="00682A02"/>
    <w:rsid w:val="00682C95"/>
    <w:rsid w:val="00683FA8"/>
    <w:rsid w:val="00684611"/>
    <w:rsid w:val="00684658"/>
    <w:rsid w:val="00684C45"/>
    <w:rsid w:val="00684CF7"/>
    <w:rsid w:val="00684E3F"/>
    <w:rsid w:val="00684FF3"/>
    <w:rsid w:val="00685425"/>
    <w:rsid w:val="00685546"/>
    <w:rsid w:val="006855A0"/>
    <w:rsid w:val="00690237"/>
    <w:rsid w:val="006902CA"/>
    <w:rsid w:val="0069055B"/>
    <w:rsid w:val="00690981"/>
    <w:rsid w:val="0069208E"/>
    <w:rsid w:val="0069335E"/>
    <w:rsid w:val="00693929"/>
    <w:rsid w:val="00693DC7"/>
    <w:rsid w:val="00695816"/>
    <w:rsid w:val="00695D22"/>
    <w:rsid w:val="006960D4"/>
    <w:rsid w:val="00696210"/>
    <w:rsid w:val="00696516"/>
    <w:rsid w:val="00696F59"/>
    <w:rsid w:val="0069776B"/>
    <w:rsid w:val="006A0110"/>
    <w:rsid w:val="006A01ED"/>
    <w:rsid w:val="006A0435"/>
    <w:rsid w:val="006A09BE"/>
    <w:rsid w:val="006A2402"/>
    <w:rsid w:val="006A30F1"/>
    <w:rsid w:val="006A3D2D"/>
    <w:rsid w:val="006A445E"/>
    <w:rsid w:val="006A4C76"/>
    <w:rsid w:val="006A4CE1"/>
    <w:rsid w:val="006A5185"/>
    <w:rsid w:val="006A582F"/>
    <w:rsid w:val="006A6FFC"/>
    <w:rsid w:val="006A7E23"/>
    <w:rsid w:val="006B08BA"/>
    <w:rsid w:val="006B0BC3"/>
    <w:rsid w:val="006B0C02"/>
    <w:rsid w:val="006B1090"/>
    <w:rsid w:val="006B19ED"/>
    <w:rsid w:val="006B1FA1"/>
    <w:rsid w:val="006B3962"/>
    <w:rsid w:val="006B5D9E"/>
    <w:rsid w:val="006B5E16"/>
    <w:rsid w:val="006B691A"/>
    <w:rsid w:val="006B77E1"/>
    <w:rsid w:val="006C0F9A"/>
    <w:rsid w:val="006C1585"/>
    <w:rsid w:val="006C17F9"/>
    <w:rsid w:val="006C1CD3"/>
    <w:rsid w:val="006C1E61"/>
    <w:rsid w:val="006C1F0D"/>
    <w:rsid w:val="006C3067"/>
    <w:rsid w:val="006C3ADA"/>
    <w:rsid w:val="006C471A"/>
    <w:rsid w:val="006C4B9F"/>
    <w:rsid w:val="006C5854"/>
    <w:rsid w:val="006C68DD"/>
    <w:rsid w:val="006C7B6B"/>
    <w:rsid w:val="006D05D3"/>
    <w:rsid w:val="006D14D3"/>
    <w:rsid w:val="006D15A0"/>
    <w:rsid w:val="006D214C"/>
    <w:rsid w:val="006D3CF4"/>
    <w:rsid w:val="006D4AF7"/>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E7CEC"/>
    <w:rsid w:val="006F051E"/>
    <w:rsid w:val="006F0526"/>
    <w:rsid w:val="006F0B70"/>
    <w:rsid w:val="006F1859"/>
    <w:rsid w:val="006F1914"/>
    <w:rsid w:val="006F1EF9"/>
    <w:rsid w:val="006F2692"/>
    <w:rsid w:val="006F2F2C"/>
    <w:rsid w:val="006F3398"/>
    <w:rsid w:val="006F423C"/>
    <w:rsid w:val="006F432A"/>
    <w:rsid w:val="006F49DB"/>
    <w:rsid w:val="006F4F00"/>
    <w:rsid w:val="006F6DF2"/>
    <w:rsid w:val="006F7B9C"/>
    <w:rsid w:val="0070143E"/>
    <w:rsid w:val="00702446"/>
    <w:rsid w:val="00702AC4"/>
    <w:rsid w:val="007030D7"/>
    <w:rsid w:val="007040E7"/>
    <w:rsid w:val="0070503A"/>
    <w:rsid w:val="007056D6"/>
    <w:rsid w:val="00705D76"/>
    <w:rsid w:val="00706EDE"/>
    <w:rsid w:val="0070729C"/>
    <w:rsid w:val="007077FA"/>
    <w:rsid w:val="00710069"/>
    <w:rsid w:val="00710C0F"/>
    <w:rsid w:val="00710D63"/>
    <w:rsid w:val="00710E1A"/>
    <w:rsid w:val="007112B7"/>
    <w:rsid w:val="007114CA"/>
    <w:rsid w:val="007119C9"/>
    <w:rsid w:val="00711CCB"/>
    <w:rsid w:val="007120CC"/>
    <w:rsid w:val="007122FA"/>
    <w:rsid w:val="00712720"/>
    <w:rsid w:val="00712B19"/>
    <w:rsid w:val="0071542B"/>
    <w:rsid w:val="0071591F"/>
    <w:rsid w:val="00716AAE"/>
    <w:rsid w:val="007171A5"/>
    <w:rsid w:val="00720924"/>
    <w:rsid w:val="0072119B"/>
    <w:rsid w:val="007216BA"/>
    <w:rsid w:val="00721D54"/>
    <w:rsid w:val="0072255C"/>
    <w:rsid w:val="007229F0"/>
    <w:rsid w:val="00722AE3"/>
    <w:rsid w:val="00723B37"/>
    <w:rsid w:val="00723D2E"/>
    <w:rsid w:val="007242CC"/>
    <w:rsid w:val="00725833"/>
    <w:rsid w:val="00725D72"/>
    <w:rsid w:val="0072640B"/>
    <w:rsid w:val="00726CFA"/>
    <w:rsid w:val="007276F4"/>
    <w:rsid w:val="007278D7"/>
    <w:rsid w:val="00727AF8"/>
    <w:rsid w:val="007315BE"/>
    <w:rsid w:val="0073165B"/>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24A9"/>
    <w:rsid w:val="00743F94"/>
    <w:rsid w:val="00744133"/>
    <w:rsid w:val="0074420B"/>
    <w:rsid w:val="007442B4"/>
    <w:rsid w:val="00744776"/>
    <w:rsid w:val="007447FC"/>
    <w:rsid w:val="007448DC"/>
    <w:rsid w:val="00746222"/>
    <w:rsid w:val="007468D4"/>
    <w:rsid w:val="007469A2"/>
    <w:rsid w:val="007501F8"/>
    <w:rsid w:val="00750C3F"/>
    <w:rsid w:val="007518A3"/>
    <w:rsid w:val="00751E0C"/>
    <w:rsid w:val="00752E7E"/>
    <w:rsid w:val="00754001"/>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5AB0"/>
    <w:rsid w:val="00775D7C"/>
    <w:rsid w:val="00775EB8"/>
    <w:rsid w:val="007763E9"/>
    <w:rsid w:val="00776992"/>
    <w:rsid w:val="00777079"/>
    <w:rsid w:val="0077731E"/>
    <w:rsid w:val="00777DA7"/>
    <w:rsid w:val="007801E1"/>
    <w:rsid w:val="00780281"/>
    <w:rsid w:val="0078029A"/>
    <w:rsid w:val="00780B55"/>
    <w:rsid w:val="00782516"/>
    <w:rsid w:val="00782A18"/>
    <w:rsid w:val="00782D0A"/>
    <w:rsid w:val="007834AB"/>
    <w:rsid w:val="00784F5E"/>
    <w:rsid w:val="00784FBB"/>
    <w:rsid w:val="0078539E"/>
    <w:rsid w:val="007859A4"/>
    <w:rsid w:val="00790096"/>
    <w:rsid w:val="00791BF8"/>
    <w:rsid w:val="00792435"/>
    <w:rsid w:val="007938E4"/>
    <w:rsid w:val="00793991"/>
    <w:rsid w:val="00793A57"/>
    <w:rsid w:val="00793CE5"/>
    <w:rsid w:val="00794374"/>
    <w:rsid w:val="00794D20"/>
    <w:rsid w:val="00794D68"/>
    <w:rsid w:val="00795292"/>
    <w:rsid w:val="0079547F"/>
    <w:rsid w:val="00796C67"/>
    <w:rsid w:val="00797658"/>
    <w:rsid w:val="00797841"/>
    <w:rsid w:val="00797FA4"/>
    <w:rsid w:val="007A011E"/>
    <w:rsid w:val="007A02E4"/>
    <w:rsid w:val="007A261B"/>
    <w:rsid w:val="007A3B0F"/>
    <w:rsid w:val="007A4419"/>
    <w:rsid w:val="007A441D"/>
    <w:rsid w:val="007A51F9"/>
    <w:rsid w:val="007A5E81"/>
    <w:rsid w:val="007A5F1A"/>
    <w:rsid w:val="007A77E4"/>
    <w:rsid w:val="007A7A4A"/>
    <w:rsid w:val="007A7B0C"/>
    <w:rsid w:val="007B050E"/>
    <w:rsid w:val="007B0643"/>
    <w:rsid w:val="007B07CB"/>
    <w:rsid w:val="007B0B98"/>
    <w:rsid w:val="007B0E2D"/>
    <w:rsid w:val="007B15BC"/>
    <w:rsid w:val="007B1677"/>
    <w:rsid w:val="007B1A0D"/>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76B"/>
    <w:rsid w:val="007C5B19"/>
    <w:rsid w:val="007C74B4"/>
    <w:rsid w:val="007C750D"/>
    <w:rsid w:val="007D12E5"/>
    <w:rsid w:val="007D2AD8"/>
    <w:rsid w:val="007D3424"/>
    <w:rsid w:val="007D34ED"/>
    <w:rsid w:val="007D3A7D"/>
    <w:rsid w:val="007D3AB0"/>
    <w:rsid w:val="007D3ACA"/>
    <w:rsid w:val="007D3F1C"/>
    <w:rsid w:val="007D3F4E"/>
    <w:rsid w:val="007D4C86"/>
    <w:rsid w:val="007D4D49"/>
    <w:rsid w:val="007D5598"/>
    <w:rsid w:val="007D5D8E"/>
    <w:rsid w:val="007D776A"/>
    <w:rsid w:val="007D7C70"/>
    <w:rsid w:val="007D7F7D"/>
    <w:rsid w:val="007E01FD"/>
    <w:rsid w:val="007E1600"/>
    <w:rsid w:val="007E1650"/>
    <w:rsid w:val="007E1B92"/>
    <w:rsid w:val="007E2A55"/>
    <w:rsid w:val="007E3CE5"/>
    <w:rsid w:val="007E4560"/>
    <w:rsid w:val="007E45E6"/>
    <w:rsid w:val="007E54B7"/>
    <w:rsid w:val="007E576E"/>
    <w:rsid w:val="007E5E7C"/>
    <w:rsid w:val="007E64EB"/>
    <w:rsid w:val="007E6A87"/>
    <w:rsid w:val="007E7823"/>
    <w:rsid w:val="007F1893"/>
    <w:rsid w:val="007F1B8A"/>
    <w:rsid w:val="007F2B4F"/>
    <w:rsid w:val="007F375B"/>
    <w:rsid w:val="007F3CB9"/>
    <w:rsid w:val="007F3EBF"/>
    <w:rsid w:val="007F3FE4"/>
    <w:rsid w:val="007F406C"/>
    <w:rsid w:val="007F43FE"/>
    <w:rsid w:val="007F45B2"/>
    <w:rsid w:val="007F4BBB"/>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4A23"/>
    <w:rsid w:val="00805281"/>
    <w:rsid w:val="008069B0"/>
    <w:rsid w:val="00806C05"/>
    <w:rsid w:val="00806C28"/>
    <w:rsid w:val="00806EC1"/>
    <w:rsid w:val="008076AA"/>
    <w:rsid w:val="008078B4"/>
    <w:rsid w:val="0081030A"/>
    <w:rsid w:val="00810891"/>
    <w:rsid w:val="008111BD"/>
    <w:rsid w:val="0081157E"/>
    <w:rsid w:val="008142A7"/>
    <w:rsid w:val="0081456F"/>
    <w:rsid w:val="008145C4"/>
    <w:rsid w:val="00814CD5"/>
    <w:rsid w:val="008153DC"/>
    <w:rsid w:val="008224FD"/>
    <w:rsid w:val="00823636"/>
    <w:rsid w:val="00823A06"/>
    <w:rsid w:val="00823B30"/>
    <w:rsid w:val="008248B5"/>
    <w:rsid w:val="00824BBE"/>
    <w:rsid w:val="008250FA"/>
    <w:rsid w:val="00825DB9"/>
    <w:rsid w:val="008268A4"/>
    <w:rsid w:val="00827662"/>
    <w:rsid w:val="008304CE"/>
    <w:rsid w:val="00831F2D"/>
    <w:rsid w:val="00832DD8"/>
    <w:rsid w:val="00832DE5"/>
    <w:rsid w:val="008353E6"/>
    <w:rsid w:val="00835D99"/>
    <w:rsid w:val="00836598"/>
    <w:rsid w:val="008370D8"/>
    <w:rsid w:val="00837950"/>
    <w:rsid w:val="008408F1"/>
    <w:rsid w:val="00840EC6"/>
    <w:rsid w:val="00841D45"/>
    <w:rsid w:val="008422A2"/>
    <w:rsid w:val="008434BB"/>
    <w:rsid w:val="00843719"/>
    <w:rsid w:val="00843F06"/>
    <w:rsid w:val="00844333"/>
    <w:rsid w:val="008445B7"/>
    <w:rsid w:val="00844725"/>
    <w:rsid w:val="00844A7A"/>
    <w:rsid w:val="00844CD4"/>
    <w:rsid w:val="00845241"/>
    <w:rsid w:val="0084769B"/>
    <w:rsid w:val="008479CA"/>
    <w:rsid w:val="00847A6A"/>
    <w:rsid w:val="00847F94"/>
    <w:rsid w:val="0085004A"/>
    <w:rsid w:val="008510F6"/>
    <w:rsid w:val="00852168"/>
    <w:rsid w:val="00852EB8"/>
    <w:rsid w:val="00853693"/>
    <w:rsid w:val="008536B0"/>
    <w:rsid w:val="00853825"/>
    <w:rsid w:val="00853B12"/>
    <w:rsid w:val="00853E8B"/>
    <w:rsid w:val="00854314"/>
    <w:rsid w:val="00854A24"/>
    <w:rsid w:val="0085608A"/>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28"/>
    <w:rsid w:val="00865C87"/>
    <w:rsid w:val="00866781"/>
    <w:rsid w:val="00866D4A"/>
    <w:rsid w:val="00870234"/>
    <w:rsid w:val="00870848"/>
    <w:rsid w:val="008716F1"/>
    <w:rsid w:val="00871EA3"/>
    <w:rsid w:val="00871F68"/>
    <w:rsid w:val="008727AB"/>
    <w:rsid w:val="00872886"/>
    <w:rsid w:val="00872D3C"/>
    <w:rsid w:val="00872DC2"/>
    <w:rsid w:val="00872E06"/>
    <w:rsid w:val="008733C2"/>
    <w:rsid w:val="0087424B"/>
    <w:rsid w:val="0087455C"/>
    <w:rsid w:val="00874E53"/>
    <w:rsid w:val="00875307"/>
    <w:rsid w:val="008755DD"/>
    <w:rsid w:val="00875A96"/>
    <w:rsid w:val="00876492"/>
    <w:rsid w:val="00876913"/>
    <w:rsid w:val="00876D3E"/>
    <w:rsid w:val="0088023D"/>
    <w:rsid w:val="00880882"/>
    <w:rsid w:val="00880DF6"/>
    <w:rsid w:val="00880F61"/>
    <w:rsid w:val="00881EA5"/>
    <w:rsid w:val="008822B7"/>
    <w:rsid w:val="008823ED"/>
    <w:rsid w:val="008825AF"/>
    <w:rsid w:val="00882DFC"/>
    <w:rsid w:val="00882F65"/>
    <w:rsid w:val="00883F1F"/>
    <w:rsid w:val="0088453D"/>
    <w:rsid w:val="00884750"/>
    <w:rsid w:val="008849EA"/>
    <w:rsid w:val="00885502"/>
    <w:rsid w:val="00885FE2"/>
    <w:rsid w:val="00886F64"/>
    <w:rsid w:val="0088727B"/>
    <w:rsid w:val="008876F0"/>
    <w:rsid w:val="00890B4F"/>
    <w:rsid w:val="00890ED8"/>
    <w:rsid w:val="00890F9C"/>
    <w:rsid w:val="0089142E"/>
    <w:rsid w:val="008916AA"/>
    <w:rsid w:val="00893C2D"/>
    <w:rsid w:val="008951B1"/>
    <w:rsid w:val="008966EA"/>
    <w:rsid w:val="00897380"/>
    <w:rsid w:val="008A03E0"/>
    <w:rsid w:val="008A0508"/>
    <w:rsid w:val="008A114A"/>
    <w:rsid w:val="008A1800"/>
    <w:rsid w:val="008A278E"/>
    <w:rsid w:val="008A2C3F"/>
    <w:rsid w:val="008A32BA"/>
    <w:rsid w:val="008A33B3"/>
    <w:rsid w:val="008A3A72"/>
    <w:rsid w:val="008A3B81"/>
    <w:rsid w:val="008A3BD7"/>
    <w:rsid w:val="008A4611"/>
    <w:rsid w:val="008A67DD"/>
    <w:rsid w:val="008A7C86"/>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922"/>
    <w:rsid w:val="008C1D6D"/>
    <w:rsid w:val="008C355D"/>
    <w:rsid w:val="008C37A6"/>
    <w:rsid w:val="008C4947"/>
    <w:rsid w:val="008C4999"/>
    <w:rsid w:val="008C4FD1"/>
    <w:rsid w:val="008C5385"/>
    <w:rsid w:val="008C57B9"/>
    <w:rsid w:val="008C59A1"/>
    <w:rsid w:val="008C607E"/>
    <w:rsid w:val="008C68A5"/>
    <w:rsid w:val="008C6CC5"/>
    <w:rsid w:val="008C7B5F"/>
    <w:rsid w:val="008C7DC4"/>
    <w:rsid w:val="008D0376"/>
    <w:rsid w:val="008D058C"/>
    <w:rsid w:val="008D1AA3"/>
    <w:rsid w:val="008D1B1B"/>
    <w:rsid w:val="008D1BD7"/>
    <w:rsid w:val="008D2343"/>
    <w:rsid w:val="008D2698"/>
    <w:rsid w:val="008D3FB5"/>
    <w:rsid w:val="008D419B"/>
    <w:rsid w:val="008D4335"/>
    <w:rsid w:val="008D52DA"/>
    <w:rsid w:val="008D5685"/>
    <w:rsid w:val="008D5B98"/>
    <w:rsid w:val="008D649E"/>
    <w:rsid w:val="008D6FE2"/>
    <w:rsid w:val="008D717C"/>
    <w:rsid w:val="008D7422"/>
    <w:rsid w:val="008D7A19"/>
    <w:rsid w:val="008E1FB2"/>
    <w:rsid w:val="008E2536"/>
    <w:rsid w:val="008E2702"/>
    <w:rsid w:val="008E2F4C"/>
    <w:rsid w:val="008E3BA3"/>
    <w:rsid w:val="008E4900"/>
    <w:rsid w:val="008E6577"/>
    <w:rsid w:val="008E6CAF"/>
    <w:rsid w:val="008E77C4"/>
    <w:rsid w:val="008F0507"/>
    <w:rsid w:val="008F0875"/>
    <w:rsid w:val="008F0C2C"/>
    <w:rsid w:val="008F0C8C"/>
    <w:rsid w:val="008F0F47"/>
    <w:rsid w:val="008F1145"/>
    <w:rsid w:val="008F1797"/>
    <w:rsid w:val="008F27CA"/>
    <w:rsid w:val="008F3027"/>
    <w:rsid w:val="008F3A08"/>
    <w:rsid w:val="008F41E3"/>
    <w:rsid w:val="008F65C3"/>
    <w:rsid w:val="008F6A10"/>
    <w:rsid w:val="008F6BFD"/>
    <w:rsid w:val="008F6C57"/>
    <w:rsid w:val="008F6F00"/>
    <w:rsid w:val="008F7F3A"/>
    <w:rsid w:val="009019F0"/>
    <w:rsid w:val="00901C5F"/>
    <w:rsid w:val="009029D3"/>
    <w:rsid w:val="00902BAF"/>
    <w:rsid w:val="00902E0C"/>
    <w:rsid w:val="00903064"/>
    <w:rsid w:val="00903CAF"/>
    <w:rsid w:val="00904357"/>
    <w:rsid w:val="0090492E"/>
    <w:rsid w:val="009051C7"/>
    <w:rsid w:val="0090542D"/>
    <w:rsid w:val="009068AD"/>
    <w:rsid w:val="00906DD7"/>
    <w:rsid w:val="0090760E"/>
    <w:rsid w:val="009102CD"/>
    <w:rsid w:val="009106E1"/>
    <w:rsid w:val="00910F3B"/>
    <w:rsid w:val="0091164A"/>
    <w:rsid w:val="00911655"/>
    <w:rsid w:val="00912018"/>
    <w:rsid w:val="00913178"/>
    <w:rsid w:val="0091401F"/>
    <w:rsid w:val="00914B0A"/>
    <w:rsid w:val="00915006"/>
    <w:rsid w:val="00915DA2"/>
    <w:rsid w:val="009160DB"/>
    <w:rsid w:val="00916459"/>
    <w:rsid w:val="0091742B"/>
    <w:rsid w:val="00920FCA"/>
    <w:rsid w:val="00922B60"/>
    <w:rsid w:val="00922D50"/>
    <w:rsid w:val="00923350"/>
    <w:rsid w:val="009233D0"/>
    <w:rsid w:val="009246A6"/>
    <w:rsid w:val="00924F52"/>
    <w:rsid w:val="00925294"/>
    <w:rsid w:val="00925DF9"/>
    <w:rsid w:val="00926022"/>
    <w:rsid w:val="00930083"/>
    <w:rsid w:val="00930144"/>
    <w:rsid w:val="0093041C"/>
    <w:rsid w:val="0093107A"/>
    <w:rsid w:val="00931266"/>
    <w:rsid w:val="00933792"/>
    <w:rsid w:val="009338DF"/>
    <w:rsid w:val="00933CC5"/>
    <w:rsid w:val="00934E8C"/>
    <w:rsid w:val="009351B3"/>
    <w:rsid w:val="00935D95"/>
    <w:rsid w:val="00935FB1"/>
    <w:rsid w:val="00937719"/>
    <w:rsid w:val="009379EF"/>
    <w:rsid w:val="009401AB"/>
    <w:rsid w:val="00940910"/>
    <w:rsid w:val="009425AD"/>
    <w:rsid w:val="00942D90"/>
    <w:rsid w:val="009435A4"/>
    <w:rsid w:val="009441D7"/>
    <w:rsid w:val="00944EFE"/>
    <w:rsid w:val="00945F30"/>
    <w:rsid w:val="00945FAF"/>
    <w:rsid w:val="0095027E"/>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56D"/>
    <w:rsid w:val="00961582"/>
    <w:rsid w:val="009619BA"/>
    <w:rsid w:val="009639F9"/>
    <w:rsid w:val="00964A2A"/>
    <w:rsid w:val="00964FE8"/>
    <w:rsid w:val="00965288"/>
    <w:rsid w:val="00965875"/>
    <w:rsid w:val="00965A84"/>
    <w:rsid w:val="00965B7A"/>
    <w:rsid w:val="00965E43"/>
    <w:rsid w:val="00966DFD"/>
    <w:rsid w:val="009678A0"/>
    <w:rsid w:val="00970071"/>
    <w:rsid w:val="009706AF"/>
    <w:rsid w:val="009718BB"/>
    <w:rsid w:val="00972FB0"/>
    <w:rsid w:val="009738D1"/>
    <w:rsid w:val="00973A7E"/>
    <w:rsid w:val="0097401D"/>
    <w:rsid w:val="00975BA0"/>
    <w:rsid w:val="0097618B"/>
    <w:rsid w:val="00976F60"/>
    <w:rsid w:val="0097727B"/>
    <w:rsid w:val="0098056C"/>
    <w:rsid w:val="00980FC3"/>
    <w:rsid w:val="009811E8"/>
    <w:rsid w:val="00982EC7"/>
    <w:rsid w:val="009831AB"/>
    <w:rsid w:val="00983205"/>
    <w:rsid w:val="009837EC"/>
    <w:rsid w:val="009846AA"/>
    <w:rsid w:val="00984C93"/>
    <w:rsid w:val="00984DA5"/>
    <w:rsid w:val="00986202"/>
    <w:rsid w:val="00986A35"/>
    <w:rsid w:val="009906F2"/>
    <w:rsid w:val="00993231"/>
    <w:rsid w:val="00993873"/>
    <w:rsid w:val="009940A2"/>
    <w:rsid w:val="009940E9"/>
    <w:rsid w:val="00994329"/>
    <w:rsid w:val="00994AA3"/>
    <w:rsid w:val="00994ECE"/>
    <w:rsid w:val="0099609F"/>
    <w:rsid w:val="009966D6"/>
    <w:rsid w:val="00997BC8"/>
    <w:rsid w:val="009A1763"/>
    <w:rsid w:val="009A1A9C"/>
    <w:rsid w:val="009A1BFD"/>
    <w:rsid w:val="009A26AA"/>
    <w:rsid w:val="009A5B64"/>
    <w:rsid w:val="009A60B5"/>
    <w:rsid w:val="009A62F0"/>
    <w:rsid w:val="009A62F8"/>
    <w:rsid w:val="009A70F0"/>
    <w:rsid w:val="009A714D"/>
    <w:rsid w:val="009B0293"/>
    <w:rsid w:val="009B0587"/>
    <w:rsid w:val="009B23C1"/>
    <w:rsid w:val="009B27B8"/>
    <w:rsid w:val="009B3D3D"/>
    <w:rsid w:val="009B4288"/>
    <w:rsid w:val="009B51F2"/>
    <w:rsid w:val="009B53E2"/>
    <w:rsid w:val="009B631B"/>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6ED1"/>
    <w:rsid w:val="009C74DB"/>
    <w:rsid w:val="009C7D7C"/>
    <w:rsid w:val="009D023A"/>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6169"/>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5BC"/>
    <w:rsid w:val="009E7E71"/>
    <w:rsid w:val="009F0252"/>
    <w:rsid w:val="009F0412"/>
    <w:rsid w:val="009F07E6"/>
    <w:rsid w:val="009F0E95"/>
    <w:rsid w:val="009F1808"/>
    <w:rsid w:val="009F1843"/>
    <w:rsid w:val="009F2C18"/>
    <w:rsid w:val="009F3914"/>
    <w:rsid w:val="009F42DE"/>
    <w:rsid w:val="009F42FA"/>
    <w:rsid w:val="009F450C"/>
    <w:rsid w:val="009F4948"/>
    <w:rsid w:val="009F50B8"/>
    <w:rsid w:val="009F52C7"/>
    <w:rsid w:val="009F592C"/>
    <w:rsid w:val="009F5C23"/>
    <w:rsid w:val="009F5EF8"/>
    <w:rsid w:val="009F5F90"/>
    <w:rsid w:val="009F62E0"/>
    <w:rsid w:val="009F6836"/>
    <w:rsid w:val="009F7472"/>
    <w:rsid w:val="009F74F7"/>
    <w:rsid w:val="009F7E39"/>
    <w:rsid w:val="009F7E47"/>
    <w:rsid w:val="00A00009"/>
    <w:rsid w:val="00A02494"/>
    <w:rsid w:val="00A02AD1"/>
    <w:rsid w:val="00A03524"/>
    <w:rsid w:val="00A03A03"/>
    <w:rsid w:val="00A06186"/>
    <w:rsid w:val="00A06DDC"/>
    <w:rsid w:val="00A06F10"/>
    <w:rsid w:val="00A07620"/>
    <w:rsid w:val="00A112C2"/>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0D05"/>
    <w:rsid w:val="00A21E8C"/>
    <w:rsid w:val="00A236E3"/>
    <w:rsid w:val="00A239E4"/>
    <w:rsid w:val="00A23CF7"/>
    <w:rsid w:val="00A24521"/>
    <w:rsid w:val="00A25DBE"/>
    <w:rsid w:val="00A26186"/>
    <w:rsid w:val="00A26479"/>
    <w:rsid w:val="00A26F01"/>
    <w:rsid w:val="00A27057"/>
    <w:rsid w:val="00A30B74"/>
    <w:rsid w:val="00A311F5"/>
    <w:rsid w:val="00A3322D"/>
    <w:rsid w:val="00A33717"/>
    <w:rsid w:val="00A342BD"/>
    <w:rsid w:val="00A34330"/>
    <w:rsid w:val="00A3477C"/>
    <w:rsid w:val="00A3598F"/>
    <w:rsid w:val="00A35E86"/>
    <w:rsid w:val="00A376B8"/>
    <w:rsid w:val="00A37A2E"/>
    <w:rsid w:val="00A40614"/>
    <w:rsid w:val="00A40931"/>
    <w:rsid w:val="00A40DFB"/>
    <w:rsid w:val="00A43801"/>
    <w:rsid w:val="00A44399"/>
    <w:rsid w:val="00A453B3"/>
    <w:rsid w:val="00A468CD"/>
    <w:rsid w:val="00A46EA5"/>
    <w:rsid w:val="00A471CD"/>
    <w:rsid w:val="00A50E10"/>
    <w:rsid w:val="00A51A3A"/>
    <w:rsid w:val="00A52529"/>
    <w:rsid w:val="00A52BF0"/>
    <w:rsid w:val="00A52DB0"/>
    <w:rsid w:val="00A5384D"/>
    <w:rsid w:val="00A539EF"/>
    <w:rsid w:val="00A555BC"/>
    <w:rsid w:val="00A56776"/>
    <w:rsid w:val="00A56C8C"/>
    <w:rsid w:val="00A57E03"/>
    <w:rsid w:val="00A606D7"/>
    <w:rsid w:val="00A619DC"/>
    <w:rsid w:val="00A627A6"/>
    <w:rsid w:val="00A62E0E"/>
    <w:rsid w:val="00A6311B"/>
    <w:rsid w:val="00A6384C"/>
    <w:rsid w:val="00A63874"/>
    <w:rsid w:val="00A64150"/>
    <w:rsid w:val="00A642E5"/>
    <w:rsid w:val="00A64789"/>
    <w:rsid w:val="00A6563E"/>
    <w:rsid w:val="00A65DD2"/>
    <w:rsid w:val="00A65DD7"/>
    <w:rsid w:val="00A662C1"/>
    <w:rsid w:val="00A6636F"/>
    <w:rsid w:val="00A6686A"/>
    <w:rsid w:val="00A66964"/>
    <w:rsid w:val="00A66C14"/>
    <w:rsid w:val="00A67558"/>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413"/>
    <w:rsid w:val="00A769E6"/>
    <w:rsid w:val="00A76AD4"/>
    <w:rsid w:val="00A77CDC"/>
    <w:rsid w:val="00A81062"/>
    <w:rsid w:val="00A8106F"/>
    <w:rsid w:val="00A81205"/>
    <w:rsid w:val="00A835DD"/>
    <w:rsid w:val="00A83CAF"/>
    <w:rsid w:val="00A8463C"/>
    <w:rsid w:val="00A8693F"/>
    <w:rsid w:val="00A87973"/>
    <w:rsid w:val="00A90278"/>
    <w:rsid w:val="00A903B6"/>
    <w:rsid w:val="00A90913"/>
    <w:rsid w:val="00A91108"/>
    <w:rsid w:val="00A91B64"/>
    <w:rsid w:val="00A9209F"/>
    <w:rsid w:val="00A923D9"/>
    <w:rsid w:val="00A92639"/>
    <w:rsid w:val="00A92DA8"/>
    <w:rsid w:val="00A9433A"/>
    <w:rsid w:val="00A9447B"/>
    <w:rsid w:val="00A94CB0"/>
    <w:rsid w:val="00A967CE"/>
    <w:rsid w:val="00A96B80"/>
    <w:rsid w:val="00AA04ED"/>
    <w:rsid w:val="00AA10DC"/>
    <w:rsid w:val="00AA1CCE"/>
    <w:rsid w:val="00AA21BD"/>
    <w:rsid w:val="00AA2DEF"/>
    <w:rsid w:val="00AA2E44"/>
    <w:rsid w:val="00AA2F04"/>
    <w:rsid w:val="00AA3C4B"/>
    <w:rsid w:val="00AA4B18"/>
    <w:rsid w:val="00AA4FB8"/>
    <w:rsid w:val="00AA5602"/>
    <w:rsid w:val="00AA5C5C"/>
    <w:rsid w:val="00AA63F9"/>
    <w:rsid w:val="00AB00A9"/>
    <w:rsid w:val="00AB01D0"/>
    <w:rsid w:val="00AB0726"/>
    <w:rsid w:val="00AB2394"/>
    <w:rsid w:val="00AB3A55"/>
    <w:rsid w:val="00AB3B3E"/>
    <w:rsid w:val="00AB46EA"/>
    <w:rsid w:val="00AB49A4"/>
    <w:rsid w:val="00AB5F34"/>
    <w:rsid w:val="00AB6205"/>
    <w:rsid w:val="00AB62EF"/>
    <w:rsid w:val="00AB63D6"/>
    <w:rsid w:val="00AB677E"/>
    <w:rsid w:val="00AB6859"/>
    <w:rsid w:val="00AB6F1B"/>
    <w:rsid w:val="00AB7252"/>
    <w:rsid w:val="00AB7256"/>
    <w:rsid w:val="00AB75D0"/>
    <w:rsid w:val="00AB7E86"/>
    <w:rsid w:val="00AC07FD"/>
    <w:rsid w:val="00AC138C"/>
    <w:rsid w:val="00AC2E3E"/>
    <w:rsid w:val="00AC3144"/>
    <w:rsid w:val="00AC3762"/>
    <w:rsid w:val="00AC457D"/>
    <w:rsid w:val="00AC4696"/>
    <w:rsid w:val="00AC4736"/>
    <w:rsid w:val="00AC4877"/>
    <w:rsid w:val="00AC5B01"/>
    <w:rsid w:val="00AC70CA"/>
    <w:rsid w:val="00AC75E3"/>
    <w:rsid w:val="00AC76E0"/>
    <w:rsid w:val="00AC7B3A"/>
    <w:rsid w:val="00AC7F49"/>
    <w:rsid w:val="00AD0048"/>
    <w:rsid w:val="00AD05B4"/>
    <w:rsid w:val="00AD07C9"/>
    <w:rsid w:val="00AD2C28"/>
    <w:rsid w:val="00AD2C9F"/>
    <w:rsid w:val="00AD355C"/>
    <w:rsid w:val="00AD3CEF"/>
    <w:rsid w:val="00AD431B"/>
    <w:rsid w:val="00AD4CC4"/>
    <w:rsid w:val="00AD5CC2"/>
    <w:rsid w:val="00AD5E3D"/>
    <w:rsid w:val="00AD5FE5"/>
    <w:rsid w:val="00AE0881"/>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27D4"/>
    <w:rsid w:val="00AF48C2"/>
    <w:rsid w:val="00AF4967"/>
    <w:rsid w:val="00B0112B"/>
    <w:rsid w:val="00B01F49"/>
    <w:rsid w:val="00B02C69"/>
    <w:rsid w:val="00B02F60"/>
    <w:rsid w:val="00B03DB2"/>
    <w:rsid w:val="00B0455B"/>
    <w:rsid w:val="00B048E9"/>
    <w:rsid w:val="00B049F9"/>
    <w:rsid w:val="00B04D07"/>
    <w:rsid w:val="00B05427"/>
    <w:rsid w:val="00B059B8"/>
    <w:rsid w:val="00B05A85"/>
    <w:rsid w:val="00B06022"/>
    <w:rsid w:val="00B07E00"/>
    <w:rsid w:val="00B1048D"/>
    <w:rsid w:val="00B10617"/>
    <w:rsid w:val="00B1092E"/>
    <w:rsid w:val="00B10A71"/>
    <w:rsid w:val="00B114B6"/>
    <w:rsid w:val="00B119E9"/>
    <w:rsid w:val="00B12B3F"/>
    <w:rsid w:val="00B12F54"/>
    <w:rsid w:val="00B1376F"/>
    <w:rsid w:val="00B14D10"/>
    <w:rsid w:val="00B16276"/>
    <w:rsid w:val="00B17478"/>
    <w:rsid w:val="00B2137D"/>
    <w:rsid w:val="00B21709"/>
    <w:rsid w:val="00B21979"/>
    <w:rsid w:val="00B21BF5"/>
    <w:rsid w:val="00B21FC2"/>
    <w:rsid w:val="00B224A5"/>
    <w:rsid w:val="00B225AE"/>
    <w:rsid w:val="00B22878"/>
    <w:rsid w:val="00B229B4"/>
    <w:rsid w:val="00B23050"/>
    <w:rsid w:val="00B23884"/>
    <w:rsid w:val="00B2547A"/>
    <w:rsid w:val="00B25D09"/>
    <w:rsid w:val="00B26A1C"/>
    <w:rsid w:val="00B26C1F"/>
    <w:rsid w:val="00B276E4"/>
    <w:rsid w:val="00B27CED"/>
    <w:rsid w:val="00B27F79"/>
    <w:rsid w:val="00B303F1"/>
    <w:rsid w:val="00B308E5"/>
    <w:rsid w:val="00B30D75"/>
    <w:rsid w:val="00B33138"/>
    <w:rsid w:val="00B3356F"/>
    <w:rsid w:val="00B338B9"/>
    <w:rsid w:val="00B35D99"/>
    <w:rsid w:val="00B371CD"/>
    <w:rsid w:val="00B37289"/>
    <w:rsid w:val="00B37318"/>
    <w:rsid w:val="00B37415"/>
    <w:rsid w:val="00B3779E"/>
    <w:rsid w:val="00B403C6"/>
    <w:rsid w:val="00B40E6A"/>
    <w:rsid w:val="00B42703"/>
    <w:rsid w:val="00B4288F"/>
    <w:rsid w:val="00B4307E"/>
    <w:rsid w:val="00B43157"/>
    <w:rsid w:val="00B432F7"/>
    <w:rsid w:val="00B434D3"/>
    <w:rsid w:val="00B44051"/>
    <w:rsid w:val="00B441EB"/>
    <w:rsid w:val="00B44C74"/>
    <w:rsid w:val="00B44F8A"/>
    <w:rsid w:val="00B46BAB"/>
    <w:rsid w:val="00B51109"/>
    <w:rsid w:val="00B52324"/>
    <w:rsid w:val="00B523FA"/>
    <w:rsid w:val="00B52791"/>
    <w:rsid w:val="00B530D2"/>
    <w:rsid w:val="00B532E0"/>
    <w:rsid w:val="00B543EA"/>
    <w:rsid w:val="00B545F6"/>
    <w:rsid w:val="00B54CA9"/>
    <w:rsid w:val="00B54D33"/>
    <w:rsid w:val="00B55952"/>
    <w:rsid w:val="00B559D8"/>
    <w:rsid w:val="00B55D3F"/>
    <w:rsid w:val="00B55D49"/>
    <w:rsid w:val="00B564FF"/>
    <w:rsid w:val="00B56E86"/>
    <w:rsid w:val="00B61274"/>
    <w:rsid w:val="00B6171E"/>
    <w:rsid w:val="00B62FE1"/>
    <w:rsid w:val="00B641A3"/>
    <w:rsid w:val="00B6555F"/>
    <w:rsid w:val="00B65826"/>
    <w:rsid w:val="00B66664"/>
    <w:rsid w:val="00B66723"/>
    <w:rsid w:val="00B670B4"/>
    <w:rsid w:val="00B67165"/>
    <w:rsid w:val="00B7168F"/>
    <w:rsid w:val="00B7186A"/>
    <w:rsid w:val="00B72482"/>
    <w:rsid w:val="00B72A8E"/>
    <w:rsid w:val="00B72DB6"/>
    <w:rsid w:val="00B7332F"/>
    <w:rsid w:val="00B7455D"/>
    <w:rsid w:val="00B7497B"/>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2DCD"/>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0D23"/>
    <w:rsid w:val="00BA2B17"/>
    <w:rsid w:val="00BA2F1A"/>
    <w:rsid w:val="00BA4196"/>
    <w:rsid w:val="00BA4321"/>
    <w:rsid w:val="00BA5094"/>
    <w:rsid w:val="00BA594F"/>
    <w:rsid w:val="00BA6207"/>
    <w:rsid w:val="00BA67CE"/>
    <w:rsid w:val="00BA67EF"/>
    <w:rsid w:val="00BA6FB9"/>
    <w:rsid w:val="00BA7441"/>
    <w:rsid w:val="00BB0239"/>
    <w:rsid w:val="00BB1538"/>
    <w:rsid w:val="00BB1DE8"/>
    <w:rsid w:val="00BB21D1"/>
    <w:rsid w:val="00BB2742"/>
    <w:rsid w:val="00BB48B9"/>
    <w:rsid w:val="00BB6279"/>
    <w:rsid w:val="00BB6D9F"/>
    <w:rsid w:val="00BB70C5"/>
    <w:rsid w:val="00BB7A0A"/>
    <w:rsid w:val="00BC014F"/>
    <w:rsid w:val="00BC09DE"/>
    <w:rsid w:val="00BC0BCC"/>
    <w:rsid w:val="00BC137A"/>
    <w:rsid w:val="00BC1695"/>
    <w:rsid w:val="00BC1D7A"/>
    <w:rsid w:val="00BC1EE9"/>
    <w:rsid w:val="00BC1F7A"/>
    <w:rsid w:val="00BC2E5A"/>
    <w:rsid w:val="00BC2E9F"/>
    <w:rsid w:val="00BC34CA"/>
    <w:rsid w:val="00BC3A1D"/>
    <w:rsid w:val="00BC3FCB"/>
    <w:rsid w:val="00BC4517"/>
    <w:rsid w:val="00BC6C1A"/>
    <w:rsid w:val="00BC771A"/>
    <w:rsid w:val="00BC7BCC"/>
    <w:rsid w:val="00BC7D45"/>
    <w:rsid w:val="00BD04EA"/>
    <w:rsid w:val="00BD061A"/>
    <w:rsid w:val="00BD0FEC"/>
    <w:rsid w:val="00BD11C8"/>
    <w:rsid w:val="00BD1AC2"/>
    <w:rsid w:val="00BD24CA"/>
    <w:rsid w:val="00BD2613"/>
    <w:rsid w:val="00BD2704"/>
    <w:rsid w:val="00BD28ED"/>
    <w:rsid w:val="00BD2D33"/>
    <w:rsid w:val="00BD352C"/>
    <w:rsid w:val="00BD3923"/>
    <w:rsid w:val="00BD3EED"/>
    <w:rsid w:val="00BD4358"/>
    <w:rsid w:val="00BD5712"/>
    <w:rsid w:val="00BD6D34"/>
    <w:rsid w:val="00BD7885"/>
    <w:rsid w:val="00BE0F75"/>
    <w:rsid w:val="00BE2142"/>
    <w:rsid w:val="00BE22A1"/>
    <w:rsid w:val="00BE2377"/>
    <w:rsid w:val="00BE2DF5"/>
    <w:rsid w:val="00BE3F54"/>
    <w:rsid w:val="00BE4161"/>
    <w:rsid w:val="00BE5C45"/>
    <w:rsid w:val="00BE61AF"/>
    <w:rsid w:val="00BE6536"/>
    <w:rsid w:val="00BE78C9"/>
    <w:rsid w:val="00BE7CB3"/>
    <w:rsid w:val="00BE7D42"/>
    <w:rsid w:val="00BE7F46"/>
    <w:rsid w:val="00BF1D1C"/>
    <w:rsid w:val="00BF2842"/>
    <w:rsid w:val="00BF2EB3"/>
    <w:rsid w:val="00BF2FAE"/>
    <w:rsid w:val="00BF3282"/>
    <w:rsid w:val="00BF3421"/>
    <w:rsid w:val="00BF4A20"/>
    <w:rsid w:val="00C00831"/>
    <w:rsid w:val="00C00C6D"/>
    <w:rsid w:val="00C00E97"/>
    <w:rsid w:val="00C01F32"/>
    <w:rsid w:val="00C028F3"/>
    <w:rsid w:val="00C02B6B"/>
    <w:rsid w:val="00C02F5A"/>
    <w:rsid w:val="00C04269"/>
    <w:rsid w:val="00C04759"/>
    <w:rsid w:val="00C04875"/>
    <w:rsid w:val="00C0488A"/>
    <w:rsid w:val="00C054A4"/>
    <w:rsid w:val="00C058C5"/>
    <w:rsid w:val="00C05B27"/>
    <w:rsid w:val="00C06330"/>
    <w:rsid w:val="00C06CD1"/>
    <w:rsid w:val="00C06F92"/>
    <w:rsid w:val="00C10C6A"/>
    <w:rsid w:val="00C10D58"/>
    <w:rsid w:val="00C139B5"/>
    <w:rsid w:val="00C159ED"/>
    <w:rsid w:val="00C16B0B"/>
    <w:rsid w:val="00C17912"/>
    <w:rsid w:val="00C20634"/>
    <w:rsid w:val="00C21071"/>
    <w:rsid w:val="00C21FEC"/>
    <w:rsid w:val="00C2207E"/>
    <w:rsid w:val="00C22964"/>
    <w:rsid w:val="00C22CBA"/>
    <w:rsid w:val="00C22E32"/>
    <w:rsid w:val="00C2307C"/>
    <w:rsid w:val="00C23F65"/>
    <w:rsid w:val="00C24532"/>
    <w:rsid w:val="00C2465B"/>
    <w:rsid w:val="00C24AF7"/>
    <w:rsid w:val="00C26001"/>
    <w:rsid w:val="00C2771E"/>
    <w:rsid w:val="00C27C8C"/>
    <w:rsid w:val="00C30047"/>
    <w:rsid w:val="00C3083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47A22"/>
    <w:rsid w:val="00C47C63"/>
    <w:rsid w:val="00C50B34"/>
    <w:rsid w:val="00C5144C"/>
    <w:rsid w:val="00C51B38"/>
    <w:rsid w:val="00C51E52"/>
    <w:rsid w:val="00C51F14"/>
    <w:rsid w:val="00C52FC8"/>
    <w:rsid w:val="00C53816"/>
    <w:rsid w:val="00C53C6F"/>
    <w:rsid w:val="00C55010"/>
    <w:rsid w:val="00C565ED"/>
    <w:rsid w:val="00C569E6"/>
    <w:rsid w:val="00C56F1D"/>
    <w:rsid w:val="00C57AE2"/>
    <w:rsid w:val="00C57FB5"/>
    <w:rsid w:val="00C60D45"/>
    <w:rsid w:val="00C60E34"/>
    <w:rsid w:val="00C6145E"/>
    <w:rsid w:val="00C6215E"/>
    <w:rsid w:val="00C630C1"/>
    <w:rsid w:val="00C63928"/>
    <w:rsid w:val="00C65886"/>
    <w:rsid w:val="00C66D10"/>
    <w:rsid w:val="00C705A5"/>
    <w:rsid w:val="00C705CD"/>
    <w:rsid w:val="00C7110C"/>
    <w:rsid w:val="00C71F02"/>
    <w:rsid w:val="00C73EBF"/>
    <w:rsid w:val="00C74A2D"/>
    <w:rsid w:val="00C75056"/>
    <w:rsid w:val="00C7540A"/>
    <w:rsid w:val="00C75BD7"/>
    <w:rsid w:val="00C75ECE"/>
    <w:rsid w:val="00C76190"/>
    <w:rsid w:val="00C76CA9"/>
    <w:rsid w:val="00C77557"/>
    <w:rsid w:val="00C776FC"/>
    <w:rsid w:val="00C7776A"/>
    <w:rsid w:val="00C8032C"/>
    <w:rsid w:val="00C80F07"/>
    <w:rsid w:val="00C8161B"/>
    <w:rsid w:val="00C824B8"/>
    <w:rsid w:val="00C82878"/>
    <w:rsid w:val="00C83BA0"/>
    <w:rsid w:val="00C856BA"/>
    <w:rsid w:val="00C861F4"/>
    <w:rsid w:val="00C869FA"/>
    <w:rsid w:val="00C87801"/>
    <w:rsid w:val="00C87922"/>
    <w:rsid w:val="00C87EC7"/>
    <w:rsid w:val="00C9305C"/>
    <w:rsid w:val="00C94F91"/>
    <w:rsid w:val="00C9538D"/>
    <w:rsid w:val="00C96555"/>
    <w:rsid w:val="00C97083"/>
    <w:rsid w:val="00C97189"/>
    <w:rsid w:val="00CA1CCB"/>
    <w:rsid w:val="00CA3C45"/>
    <w:rsid w:val="00CA41CC"/>
    <w:rsid w:val="00CA4A64"/>
    <w:rsid w:val="00CA4B8D"/>
    <w:rsid w:val="00CA4BBA"/>
    <w:rsid w:val="00CA5AB1"/>
    <w:rsid w:val="00CA5B50"/>
    <w:rsid w:val="00CA627F"/>
    <w:rsid w:val="00CA6365"/>
    <w:rsid w:val="00CA675E"/>
    <w:rsid w:val="00CA6B81"/>
    <w:rsid w:val="00CA764E"/>
    <w:rsid w:val="00CA7AC2"/>
    <w:rsid w:val="00CB0696"/>
    <w:rsid w:val="00CB189F"/>
    <w:rsid w:val="00CB1CC1"/>
    <w:rsid w:val="00CB27C4"/>
    <w:rsid w:val="00CB310B"/>
    <w:rsid w:val="00CB3317"/>
    <w:rsid w:val="00CB379C"/>
    <w:rsid w:val="00CB3DD7"/>
    <w:rsid w:val="00CB3FFE"/>
    <w:rsid w:val="00CB494F"/>
    <w:rsid w:val="00CB554E"/>
    <w:rsid w:val="00CB56DF"/>
    <w:rsid w:val="00CB7122"/>
    <w:rsid w:val="00CC0155"/>
    <w:rsid w:val="00CC02FD"/>
    <w:rsid w:val="00CC0470"/>
    <w:rsid w:val="00CC0668"/>
    <w:rsid w:val="00CC2D19"/>
    <w:rsid w:val="00CC38FF"/>
    <w:rsid w:val="00CC3C32"/>
    <w:rsid w:val="00CC3D8D"/>
    <w:rsid w:val="00CC3E19"/>
    <w:rsid w:val="00CC4461"/>
    <w:rsid w:val="00CC44F9"/>
    <w:rsid w:val="00CC4712"/>
    <w:rsid w:val="00CC50DE"/>
    <w:rsid w:val="00CC543C"/>
    <w:rsid w:val="00CC54AC"/>
    <w:rsid w:val="00CC59E6"/>
    <w:rsid w:val="00CC6F1E"/>
    <w:rsid w:val="00CC7BF8"/>
    <w:rsid w:val="00CD067F"/>
    <w:rsid w:val="00CD0DB2"/>
    <w:rsid w:val="00CD10C2"/>
    <w:rsid w:val="00CD11E2"/>
    <w:rsid w:val="00CD1219"/>
    <w:rsid w:val="00CD1393"/>
    <w:rsid w:val="00CD70F2"/>
    <w:rsid w:val="00CD777A"/>
    <w:rsid w:val="00CD79A1"/>
    <w:rsid w:val="00CE0DCC"/>
    <w:rsid w:val="00CE1A34"/>
    <w:rsid w:val="00CE1D31"/>
    <w:rsid w:val="00CE2965"/>
    <w:rsid w:val="00CE3C3B"/>
    <w:rsid w:val="00CE4CBA"/>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2147"/>
    <w:rsid w:val="00D035C5"/>
    <w:rsid w:val="00D03DDC"/>
    <w:rsid w:val="00D04011"/>
    <w:rsid w:val="00D04756"/>
    <w:rsid w:val="00D04CE6"/>
    <w:rsid w:val="00D05D47"/>
    <w:rsid w:val="00D061BA"/>
    <w:rsid w:val="00D06AE1"/>
    <w:rsid w:val="00D078E7"/>
    <w:rsid w:val="00D10A59"/>
    <w:rsid w:val="00D1166C"/>
    <w:rsid w:val="00D122C4"/>
    <w:rsid w:val="00D1483F"/>
    <w:rsid w:val="00D1487E"/>
    <w:rsid w:val="00D14A56"/>
    <w:rsid w:val="00D14CF1"/>
    <w:rsid w:val="00D14D98"/>
    <w:rsid w:val="00D15646"/>
    <w:rsid w:val="00D1635B"/>
    <w:rsid w:val="00D165A9"/>
    <w:rsid w:val="00D1675A"/>
    <w:rsid w:val="00D16D31"/>
    <w:rsid w:val="00D17389"/>
    <w:rsid w:val="00D20968"/>
    <w:rsid w:val="00D2140E"/>
    <w:rsid w:val="00D24D96"/>
    <w:rsid w:val="00D250BC"/>
    <w:rsid w:val="00D25315"/>
    <w:rsid w:val="00D255F7"/>
    <w:rsid w:val="00D25687"/>
    <w:rsid w:val="00D266CC"/>
    <w:rsid w:val="00D26829"/>
    <w:rsid w:val="00D269F1"/>
    <w:rsid w:val="00D26D90"/>
    <w:rsid w:val="00D273B9"/>
    <w:rsid w:val="00D27745"/>
    <w:rsid w:val="00D30B3B"/>
    <w:rsid w:val="00D31BB3"/>
    <w:rsid w:val="00D31C7E"/>
    <w:rsid w:val="00D32006"/>
    <w:rsid w:val="00D329FA"/>
    <w:rsid w:val="00D33744"/>
    <w:rsid w:val="00D3400D"/>
    <w:rsid w:val="00D34ADC"/>
    <w:rsid w:val="00D357C1"/>
    <w:rsid w:val="00D36206"/>
    <w:rsid w:val="00D366B8"/>
    <w:rsid w:val="00D36D3D"/>
    <w:rsid w:val="00D4082E"/>
    <w:rsid w:val="00D40900"/>
    <w:rsid w:val="00D40DDD"/>
    <w:rsid w:val="00D424B1"/>
    <w:rsid w:val="00D43659"/>
    <w:rsid w:val="00D44061"/>
    <w:rsid w:val="00D4469E"/>
    <w:rsid w:val="00D4529D"/>
    <w:rsid w:val="00D4691C"/>
    <w:rsid w:val="00D46F51"/>
    <w:rsid w:val="00D476BB"/>
    <w:rsid w:val="00D47C3B"/>
    <w:rsid w:val="00D47F33"/>
    <w:rsid w:val="00D47FF3"/>
    <w:rsid w:val="00D5019A"/>
    <w:rsid w:val="00D50BF1"/>
    <w:rsid w:val="00D51ACC"/>
    <w:rsid w:val="00D52365"/>
    <w:rsid w:val="00D526D8"/>
    <w:rsid w:val="00D536F5"/>
    <w:rsid w:val="00D55234"/>
    <w:rsid w:val="00D554B4"/>
    <w:rsid w:val="00D5643D"/>
    <w:rsid w:val="00D5740C"/>
    <w:rsid w:val="00D57A98"/>
    <w:rsid w:val="00D60610"/>
    <w:rsid w:val="00D60778"/>
    <w:rsid w:val="00D60CCC"/>
    <w:rsid w:val="00D612C8"/>
    <w:rsid w:val="00D61342"/>
    <w:rsid w:val="00D61427"/>
    <w:rsid w:val="00D617AF"/>
    <w:rsid w:val="00D623B0"/>
    <w:rsid w:val="00D63DDB"/>
    <w:rsid w:val="00D63FF7"/>
    <w:rsid w:val="00D645C2"/>
    <w:rsid w:val="00D668A9"/>
    <w:rsid w:val="00D6691D"/>
    <w:rsid w:val="00D67018"/>
    <w:rsid w:val="00D6765B"/>
    <w:rsid w:val="00D678EB"/>
    <w:rsid w:val="00D71021"/>
    <w:rsid w:val="00D7181F"/>
    <w:rsid w:val="00D71A8B"/>
    <w:rsid w:val="00D72982"/>
    <w:rsid w:val="00D73977"/>
    <w:rsid w:val="00D741CB"/>
    <w:rsid w:val="00D7441E"/>
    <w:rsid w:val="00D74CD3"/>
    <w:rsid w:val="00D75471"/>
    <w:rsid w:val="00D75546"/>
    <w:rsid w:val="00D75C25"/>
    <w:rsid w:val="00D7630C"/>
    <w:rsid w:val="00D7662F"/>
    <w:rsid w:val="00D76C23"/>
    <w:rsid w:val="00D7734A"/>
    <w:rsid w:val="00D77B56"/>
    <w:rsid w:val="00D80A7E"/>
    <w:rsid w:val="00D80E3C"/>
    <w:rsid w:val="00D81390"/>
    <w:rsid w:val="00D81979"/>
    <w:rsid w:val="00D82291"/>
    <w:rsid w:val="00D829BA"/>
    <w:rsid w:val="00D82EB2"/>
    <w:rsid w:val="00D83921"/>
    <w:rsid w:val="00D8460A"/>
    <w:rsid w:val="00D849EC"/>
    <w:rsid w:val="00D84E78"/>
    <w:rsid w:val="00D84EAF"/>
    <w:rsid w:val="00D85A3E"/>
    <w:rsid w:val="00D869A2"/>
    <w:rsid w:val="00D87883"/>
    <w:rsid w:val="00D9119E"/>
    <w:rsid w:val="00D915A9"/>
    <w:rsid w:val="00D91D4F"/>
    <w:rsid w:val="00D923E0"/>
    <w:rsid w:val="00D92961"/>
    <w:rsid w:val="00D92D19"/>
    <w:rsid w:val="00D92EE0"/>
    <w:rsid w:val="00D93300"/>
    <w:rsid w:val="00D93CDC"/>
    <w:rsid w:val="00D94682"/>
    <w:rsid w:val="00D95125"/>
    <w:rsid w:val="00D962C6"/>
    <w:rsid w:val="00D97971"/>
    <w:rsid w:val="00DA00DC"/>
    <w:rsid w:val="00DA12AC"/>
    <w:rsid w:val="00DA35C2"/>
    <w:rsid w:val="00DA36D9"/>
    <w:rsid w:val="00DA4267"/>
    <w:rsid w:val="00DA4308"/>
    <w:rsid w:val="00DA4F9A"/>
    <w:rsid w:val="00DA5A31"/>
    <w:rsid w:val="00DA7002"/>
    <w:rsid w:val="00DB00F5"/>
    <w:rsid w:val="00DB1AE5"/>
    <w:rsid w:val="00DB28EE"/>
    <w:rsid w:val="00DB4445"/>
    <w:rsid w:val="00DB5BD3"/>
    <w:rsid w:val="00DB7849"/>
    <w:rsid w:val="00DB79BF"/>
    <w:rsid w:val="00DB79DB"/>
    <w:rsid w:val="00DC0588"/>
    <w:rsid w:val="00DC0D46"/>
    <w:rsid w:val="00DC12B5"/>
    <w:rsid w:val="00DC2572"/>
    <w:rsid w:val="00DC3521"/>
    <w:rsid w:val="00DC3C52"/>
    <w:rsid w:val="00DC445D"/>
    <w:rsid w:val="00DC493B"/>
    <w:rsid w:val="00DC4AD6"/>
    <w:rsid w:val="00DC570C"/>
    <w:rsid w:val="00DC5B99"/>
    <w:rsid w:val="00DC62C5"/>
    <w:rsid w:val="00DC73EB"/>
    <w:rsid w:val="00DC76BA"/>
    <w:rsid w:val="00DC7760"/>
    <w:rsid w:val="00DC7AA9"/>
    <w:rsid w:val="00DD02CB"/>
    <w:rsid w:val="00DD04DA"/>
    <w:rsid w:val="00DD0BCA"/>
    <w:rsid w:val="00DD0DD5"/>
    <w:rsid w:val="00DD0F94"/>
    <w:rsid w:val="00DD18AE"/>
    <w:rsid w:val="00DD24DE"/>
    <w:rsid w:val="00DD2562"/>
    <w:rsid w:val="00DD27BC"/>
    <w:rsid w:val="00DD50D3"/>
    <w:rsid w:val="00DD54E9"/>
    <w:rsid w:val="00DD59F3"/>
    <w:rsid w:val="00DD706D"/>
    <w:rsid w:val="00DD769B"/>
    <w:rsid w:val="00DD7CAA"/>
    <w:rsid w:val="00DE063B"/>
    <w:rsid w:val="00DE0798"/>
    <w:rsid w:val="00DE0D12"/>
    <w:rsid w:val="00DE0F94"/>
    <w:rsid w:val="00DE1461"/>
    <w:rsid w:val="00DE267C"/>
    <w:rsid w:val="00DE36F5"/>
    <w:rsid w:val="00DE4291"/>
    <w:rsid w:val="00DE44DE"/>
    <w:rsid w:val="00DE491B"/>
    <w:rsid w:val="00DE4CC5"/>
    <w:rsid w:val="00DE515B"/>
    <w:rsid w:val="00DE537F"/>
    <w:rsid w:val="00DE5C3F"/>
    <w:rsid w:val="00DE633D"/>
    <w:rsid w:val="00DE6783"/>
    <w:rsid w:val="00DE7AF2"/>
    <w:rsid w:val="00DF0395"/>
    <w:rsid w:val="00DF0770"/>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2A03"/>
    <w:rsid w:val="00E053E3"/>
    <w:rsid w:val="00E056FC"/>
    <w:rsid w:val="00E06172"/>
    <w:rsid w:val="00E06475"/>
    <w:rsid w:val="00E067E5"/>
    <w:rsid w:val="00E068EE"/>
    <w:rsid w:val="00E07CF2"/>
    <w:rsid w:val="00E10657"/>
    <w:rsid w:val="00E118EC"/>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0D3"/>
    <w:rsid w:val="00E242DF"/>
    <w:rsid w:val="00E24E9A"/>
    <w:rsid w:val="00E2564A"/>
    <w:rsid w:val="00E2595C"/>
    <w:rsid w:val="00E26580"/>
    <w:rsid w:val="00E27232"/>
    <w:rsid w:val="00E27443"/>
    <w:rsid w:val="00E276C4"/>
    <w:rsid w:val="00E305C3"/>
    <w:rsid w:val="00E30E2C"/>
    <w:rsid w:val="00E314B0"/>
    <w:rsid w:val="00E317E7"/>
    <w:rsid w:val="00E317FB"/>
    <w:rsid w:val="00E32413"/>
    <w:rsid w:val="00E3251D"/>
    <w:rsid w:val="00E32563"/>
    <w:rsid w:val="00E332F6"/>
    <w:rsid w:val="00E335AD"/>
    <w:rsid w:val="00E3409B"/>
    <w:rsid w:val="00E34884"/>
    <w:rsid w:val="00E34A7F"/>
    <w:rsid w:val="00E34F12"/>
    <w:rsid w:val="00E353A1"/>
    <w:rsid w:val="00E35865"/>
    <w:rsid w:val="00E37B40"/>
    <w:rsid w:val="00E37FA2"/>
    <w:rsid w:val="00E408F3"/>
    <w:rsid w:val="00E42495"/>
    <w:rsid w:val="00E4249A"/>
    <w:rsid w:val="00E425F4"/>
    <w:rsid w:val="00E42ECE"/>
    <w:rsid w:val="00E43509"/>
    <w:rsid w:val="00E44959"/>
    <w:rsid w:val="00E44B43"/>
    <w:rsid w:val="00E44B95"/>
    <w:rsid w:val="00E45F9E"/>
    <w:rsid w:val="00E460F6"/>
    <w:rsid w:val="00E5062E"/>
    <w:rsid w:val="00E50661"/>
    <w:rsid w:val="00E50E3A"/>
    <w:rsid w:val="00E518D7"/>
    <w:rsid w:val="00E5461E"/>
    <w:rsid w:val="00E54CB6"/>
    <w:rsid w:val="00E5584E"/>
    <w:rsid w:val="00E55912"/>
    <w:rsid w:val="00E5630E"/>
    <w:rsid w:val="00E56A64"/>
    <w:rsid w:val="00E56ADA"/>
    <w:rsid w:val="00E60753"/>
    <w:rsid w:val="00E60D28"/>
    <w:rsid w:val="00E60F4C"/>
    <w:rsid w:val="00E61719"/>
    <w:rsid w:val="00E63492"/>
    <w:rsid w:val="00E63825"/>
    <w:rsid w:val="00E638A9"/>
    <w:rsid w:val="00E639B3"/>
    <w:rsid w:val="00E6437A"/>
    <w:rsid w:val="00E65E6F"/>
    <w:rsid w:val="00E66639"/>
    <w:rsid w:val="00E66D6B"/>
    <w:rsid w:val="00E66DA9"/>
    <w:rsid w:val="00E67025"/>
    <w:rsid w:val="00E70150"/>
    <w:rsid w:val="00E70B24"/>
    <w:rsid w:val="00E711E2"/>
    <w:rsid w:val="00E7144D"/>
    <w:rsid w:val="00E71BA3"/>
    <w:rsid w:val="00E71FA7"/>
    <w:rsid w:val="00E72840"/>
    <w:rsid w:val="00E72E69"/>
    <w:rsid w:val="00E737B8"/>
    <w:rsid w:val="00E75236"/>
    <w:rsid w:val="00E7551D"/>
    <w:rsid w:val="00E7594E"/>
    <w:rsid w:val="00E76184"/>
    <w:rsid w:val="00E76820"/>
    <w:rsid w:val="00E76ABD"/>
    <w:rsid w:val="00E76F1A"/>
    <w:rsid w:val="00E80DEC"/>
    <w:rsid w:val="00E818C0"/>
    <w:rsid w:val="00E82448"/>
    <w:rsid w:val="00E83BD3"/>
    <w:rsid w:val="00E83C14"/>
    <w:rsid w:val="00E8434D"/>
    <w:rsid w:val="00E84C9B"/>
    <w:rsid w:val="00E856B7"/>
    <w:rsid w:val="00E85EF0"/>
    <w:rsid w:val="00E90C62"/>
    <w:rsid w:val="00E911EA"/>
    <w:rsid w:val="00E91F79"/>
    <w:rsid w:val="00E9263F"/>
    <w:rsid w:val="00E9297D"/>
    <w:rsid w:val="00E92BC5"/>
    <w:rsid w:val="00E92CD8"/>
    <w:rsid w:val="00E9315E"/>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691"/>
    <w:rsid w:val="00EA2CEF"/>
    <w:rsid w:val="00EA2D27"/>
    <w:rsid w:val="00EA4307"/>
    <w:rsid w:val="00EA43A9"/>
    <w:rsid w:val="00EA5038"/>
    <w:rsid w:val="00EA5B50"/>
    <w:rsid w:val="00EA651E"/>
    <w:rsid w:val="00EA6ACA"/>
    <w:rsid w:val="00EB0BB3"/>
    <w:rsid w:val="00EB3542"/>
    <w:rsid w:val="00EB354F"/>
    <w:rsid w:val="00EB3A71"/>
    <w:rsid w:val="00EB53E3"/>
    <w:rsid w:val="00EB56A5"/>
    <w:rsid w:val="00EB583E"/>
    <w:rsid w:val="00EB5A37"/>
    <w:rsid w:val="00EB5B96"/>
    <w:rsid w:val="00EB61B4"/>
    <w:rsid w:val="00EB69EB"/>
    <w:rsid w:val="00EB6D11"/>
    <w:rsid w:val="00EB6DD7"/>
    <w:rsid w:val="00EB718F"/>
    <w:rsid w:val="00EB7534"/>
    <w:rsid w:val="00EC06B7"/>
    <w:rsid w:val="00EC0BB8"/>
    <w:rsid w:val="00EC1072"/>
    <w:rsid w:val="00EC139E"/>
    <w:rsid w:val="00EC2F92"/>
    <w:rsid w:val="00EC318D"/>
    <w:rsid w:val="00EC35A2"/>
    <w:rsid w:val="00EC3E07"/>
    <w:rsid w:val="00EC3F43"/>
    <w:rsid w:val="00EC4F5D"/>
    <w:rsid w:val="00EC5D7B"/>
    <w:rsid w:val="00EC6162"/>
    <w:rsid w:val="00EC61EB"/>
    <w:rsid w:val="00EC71C7"/>
    <w:rsid w:val="00EC7C2C"/>
    <w:rsid w:val="00EC7F4F"/>
    <w:rsid w:val="00ED0162"/>
    <w:rsid w:val="00ED0585"/>
    <w:rsid w:val="00ED0CAB"/>
    <w:rsid w:val="00ED0E00"/>
    <w:rsid w:val="00ED0E48"/>
    <w:rsid w:val="00ED1096"/>
    <w:rsid w:val="00ED1A28"/>
    <w:rsid w:val="00ED2E4F"/>
    <w:rsid w:val="00ED44A6"/>
    <w:rsid w:val="00ED4E77"/>
    <w:rsid w:val="00ED5715"/>
    <w:rsid w:val="00ED5EB9"/>
    <w:rsid w:val="00ED610A"/>
    <w:rsid w:val="00ED6990"/>
    <w:rsid w:val="00ED75FB"/>
    <w:rsid w:val="00EE172A"/>
    <w:rsid w:val="00EE1FB1"/>
    <w:rsid w:val="00EE263F"/>
    <w:rsid w:val="00EE281E"/>
    <w:rsid w:val="00EE29BF"/>
    <w:rsid w:val="00EE2F86"/>
    <w:rsid w:val="00EE3637"/>
    <w:rsid w:val="00EE4103"/>
    <w:rsid w:val="00EE44DC"/>
    <w:rsid w:val="00EE48C1"/>
    <w:rsid w:val="00EE4970"/>
    <w:rsid w:val="00EE4B10"/>
    <w:rsid w:val="00EE4DA6"/>
    <w:rsid w:val="00EE50CB"/>
    <w:rsid w:val="00EE5677"/>
    <w:rsid w:val="00EE56C2"/>
    <w:rsid w:val="00EE56EA"/>
    <w:rsid w:val="00EE59B0"/>
    <w:rsid w:val="00EE60C9"/>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C97"/>
    <w:rsid w:val="00EF5D18"/>
    <w:rsid w:val="00EF6AC8"/>
    <w:rsid w:val="00EF7BDB"/>
    <w:rsid w:val="00F004A9"/>
    <w:rsid w:val="00F00785"/>
    <w:rsid w:val="00F00990"/>
    <w:rsid w:val="00F016B5"/>
    <w:rsid w:val="00F01758"/>
    <w:rsid w:val="00F01F8F"/>
    <w:rsid w:val="00F043CC"/>
    <w:rsid w:val="00F045EE"/>
    <w:rsid w:val="00F0503F"/>
    <w:rsid w:val="00F053F8"/>
    <w:rsid w:val="00F065F0"/>
    <w:rsid w:val="00F06771"/>
    <w:rsid w:val="00F0689F"/>
    <w:rsid w:val="00F07286"/>
    <w:rsid w:val="00F1051E"/>
    <w:rsid w:val="00F1072F"/>
    <w:rsid w:val="00F11EDB"/>
    <w:rsid w:val="00F12FAE"/>
    <w:rsid w:val="00F13BB9"/>
    <w:rsid w:val="00F14591"/>
    <w:rsid w:val="00F15BC0"/>
    <w:rsid w:val="00F1726C"/>
    <w:rsid w:val="00F176B4"/>
    <w:rsid w:val="00F1776F"/>
    <w:rsid w:val="00F17837"/>
    <w:rsid w:val="00F21135"/>
    <w:rsid w:val="00F21733"/>
    <w:rsid w:val="00F21A13"/>
    <w:rsid w:val="00F2235F"/>
    <w:rsid w:val="00F2241D"/>
    <w:rsid w:val="00F2349C"/>
    <w:rsid w:val="00F23E4E"/>
    <w:rsid w:val="00F241F3"/>
    <w:rsid w:val="00F24843"/>
    <w:rsid w:val="00F24D8E"/>
    <w:rsid w:val="00F24EA8"/>
    <w:rsid w:val="00F25075"/>
    <w:rsid w:val="00F2577B"/>
    <w:rsid w:val="00F262D2"/>
    <w:rsid w:val="00F266BB"/>
    <w:rsid w:val="00F26BFF"/>
    <w:rsid w:val="00F2706A"/>
    <w:rsid w:val="00F30136"/>
    <w:rsid w:val="00F30C62"/>
    <w:rsid w:val="00F30DD2"/>
    <w:rsid w:val="00F316BC"/>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4F3"/>
    <w:rsid w:val="00F42793"/>
    <w:rsid w:val="00F428E6"/>
    <w:rsid w:val="00F42C81"/>
    <w:rsid w:val="00F42F77"/>
    <w:rsid w:val="00F448B7"/>
    <w:rsid w:val="00F45136"/>
    <w:rsid w:val="00F45BAA"/>
    <w:rsid w:val="00F45CCC"/>
    <w:rsid w:val="00F45FFD"/>
    <w:rsid w:val="00F46E23"/>
    <w:rsid w:val="00F46E94"/>
    <w:rsid w:val="00F471FA"/>
    <w:rsid w:val="00F473F3"/>
    <w:rsid w:val="00F50216"/>
    <w:rsid w:val="00F511F5"/>
    <w:rsid w:val="00F5193F"/>
    <w:rsid w:val="00F51944"/>
    <w:rsid w:val="00F527EE"/>
    <w:rsid w:val="00F532FD"/>
    <w:rsid w:val="00F5338C"/>
    <w:rsid w:val="00F53585"/>
    <w:rsid w:val="00F5408F"/>
    <w:rsid w:val="00F55F5C"/>
    <w:rsid w:val="00F56DC1"/>
    <w:rsid w:val="00F572EB"/>
    <w:rsid w:val="00F57734"/>
    <w:rsid w:val="00F57885"/>
    <w:rsid w:val="00F60274"/>
    <w:rsid w:val="00F602BF"/>
    <w:rsid w:val="00F605EB"/>
    <w:rsid w:val="00F61602"/>
    <w:rsid w:val="00F617C4"/>
    <w:rsid w:val="00F61D2A"/>
    <w:rsid w:val="00F62DAB"/>
    <w:rsid w:val="00F63B32"/>
    <w:rsid w:val="00F63BF0"/>
    <w:rsid w:val="00F6561B"/>
    <w:rsid w:val="00F65DF8"/>
    <w:rsid w:val="00F6649D"/>
    <w:rsid w:val="00F67641"/>
    <w:rsid w:val="00F71145"/>
    <w:rsid w:val="00F71751"/>
    <w:rsid w:val="00F717BD"/>
    <w:rsid w:val="00F722A8"/>
    <w:rsid w:val="00F72DB1"/>
    <w:rsid w:val="00F73627"/>
    <w:rsid w:val="00F736F1"/>
    <w:rsid w:val="00F740CF"/>
    <w:rsid w:val="00F74479"/>
    <w:rsid w:val="00F74625"/>
    <w:rsid w:val="00F74B91"/>
    <w:rsid w:val="00F74BDC"/>
    <w:rsid w:val="00F7706D"/>
    <w:rsid w:val="00F8010F"/>
    <w:rsid w:val="00F8082F"/>
    <w:rsid w:val="00F81959"/>
    <w:rsid w:val="00F82018"/>
    <w:rsid w:val="00F8236C"/>
    <w:rsid w:val="00F82938"/>
    <w:rsid w:val="00F82CFF"/>
    <w:rsid w:val="00F83C46"/>
    <w:rsid w:val="00F84493"/>
    <w:rsid w:val="00F8498C"/>
    <w:rsid w:val="00F84BB1"/>
    <w:rsid w:val="00F8661E"/>
    <w:rsid w:val="00F91D45"/>
    <w:rsid w:val="00F91EA7"/>
    <w:rsid w:val="00F923B5"/>
    <w:rsid w:val="00F94973"/>
    <w:rsid w:val="00F95F3F"/>
    <w:rsid w:val="00F97547"/>
    <w:rsid w:val="00FA0259"/>
    <w:rsid w:val="00FA0CA1"/>
    <w:rsid w:val="00FA3B48"/>
    <w:rsid w:val="00FA3BEA"/>
    <w:rsid w:val="00FA52A5"/>
    <w:rsid w:val="00FA5D1B"/>
    <w:rsid w:val="00FA6778"/>
    <w:rsid w:val="00FA6F32"/>
    <w:rsid w:val="00FB08AE"/>
    <w:rsid w:val="00FB0C27"/>
    <w:rsid w:val="00FB0F23"/>
    <w:rsid w:val="00FB1090"/>
    <w:rsid w:val="00FB1442"/>
    <w:rsid w:val="00FB1B12"/>
    <w:rsid w:val="00FB1F94"/>
    <w:rsid w:val="00FB2813"/>
    <w:rsid w:val="00FB2DAE"/>
    <w:rsid w:val="00FB40C0"/>
    <w:rsid w:val="00FB4849"/>
    <w:rsid w:val="00FB4B61"/>
    <w:rsid w:val="00FB4D72"/>
    <w:rsid w:val="00FB59F5"/>
    <w:rsid w:val="00FB612A"/>
    <w:rsid w:val="00FB6F20"/>
    <w:rsid w:val="00FB731E"/>
    <w:rsid w:val="00FB744F"/>
    <w:rsid w:val="00FB7905"/>
    <w:rsid w:val="00FB7D91"/>
    <w:rsid w:val="00FB7DC5"/>
    <w:rsid w:val="00FC077E"/>
    <w:rsid w:val="00FC0A04"/>
    <w:rsid w:val="00FC1B7D"/>
    <w:rsid w:val="00FC2816"/>
    <w:rsid w:val="00FC29F0"/>
    <w:rsid w:val="00FC2B04"/>
    <w:rsid w:val="00FC33C5"/>
    <w:rsid w:val="00FC383C"/>
    <w:rsid w:val="00FC3BEB"/>
    <w:rsid w:val="00FC473A"/>
    <w:rsid w:val="00FC5660"/>
    <w:rsid w:val="00FC59EA"/>
    <w:rsid w:val="00FC5CCF"/>
    <w:rsid w:val="00FC5DBC"/>
    <w:rsid w:val="00FC690A"/>
    <w:rsid w:val="00FC696A"/>
    <w:rsid w:val="00FC6EEE"/>
    <w:rsid w:val="00FC6FB0"/>
    <w:rsid w:val="00FC7545"/>
    <w:rsid w:val="00FC7A25"/>
    <w:rsid w:val="00FC7B23"/>
    <w:rsid w:val="00FD0D99"/>
    <w:rsid w:val="00FD17CD"/>
    <w:rsid w:val="00FD3946"/>
    <w:rsid w:val="00FD6C35"/>
    <w:rsid w:val="00FD7B69"/>
    <w:rsid w:val="00FE2179"/>
    <w:rsid w:val="00FE2804"/>
    <w:rsid w:val="00FE2984"/>
    <w:rsid w:val="00FE3B74"/>
    <w:rsid w:val="00FE3D96"/>
    <w:rsid w:val="00FE3EAC"/>
    <w:rsid w:val="00FE418D"/>
    <w:rsid w:val="00FE58C1"/>
    <w:rsid w:val="00FE5979"/>
    <w:rsid w:val="00FE6FD2"/>
    <w:rsid w:val="00FE7BEF"/>
    <w:rsid w:val="00FE7E2D"/>
    <w:rsid w:val="00FE7ED5"/>
    <w:rsid w:val="00FF0198"/>
    <w:rsid w:val="00FF04EE"/>
    <w:rsid w:val="00FF0520"/>
    <w:rsid w:val="00FF087C"/>
    <w:rsid w:val="00FF10BB"/>
    <w:rsid w:val="00FF12AD"/>
    <w:rsid w:val="00FF16FC"/>
    <w:rsid w:val="00FF17DE"/>
    <w:rsid w:val="00FF27C0"/>
    <w:rsid w:val="00FF29CE"/>
    <w:rsid w:val="00FF2AE8"/>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75E"/>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7891479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06920644">
      <w:bodyDiv w:val="1"/>
      <w:marLeft w:val="0"/>
      <w:marRight w:val="0"/>
      <w:marTop w:val="0"/>
      <w:marBottom w:val="0"/>
      <w:divBdr>
        <w:top w:val="none" w:sz="0" w:space="0" w:color="auto"/>
        <w:left w:val="none" w:sz="0" w:space="0" w:color="auto"/>
        <w:bottom w:val="none" w:sz="0" w:space="0" w:color="auto"/>
        <w:right w:val="none" w:sz="0" w:space="0" w:color="auto"/>
      </w:divBdr>
    </w:div>
    <w:div w:id="222757180">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6481582">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74093118">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47951387">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06805916">
      <w:bodyDiv w:val="1"/>
      <w:marLeft w:val="0"/>
      <w:marRight w:val="0"/>
      <w:marTop w:val="0"/>
      <w:marBottom w:val="0"/>
      <w:divBdr>
        <w:top w:val="none" w:sz="0" w:space="0" w:color="auto"/>
        <w:left w:val="none" w:sz="0" w:space="0" w:color="auto"/>
        <w:bottom w:val="none" w:sz="0" w:space="0" w:color="auto"/>
        <w:right w:val="none" w:sz="0" w:space="0" w:color="auto"/>
      </w:divBdr>
    </w:div>
    <w:div w:id="407577274">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5680708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4945583">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5473497">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4773052">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6367476">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18940">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30002753">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32055117">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48316383">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092237337">
      <w:bodyDiv w:val="1"/>
      <w:marLeft w:val="0"/>
      <w:marRight w:val="0"/>
      <w:marTop w:val="0"/>
      <w:marBottom w:val="0"/>
      <w:divBdr>
        <w:top w:val="none" w:sz="0" w:space="0" w:color="auto"/>
        <w:left w:val="none" w:sz="0" w:space="0" w:color="auto"/>
        <w:bottom w:val="none" w:sz="0" w:space="0" w:color="auto"/>
        <w:right w:val="none" w:sz="0" w:space="0" w:color="auto"/>
      </w:divBdr>
    </w:div>
    <w:div w:id="2104296606">
      <w:bodyDiv w:val="1"/>
      <w:marLeft w:val="0"/>
      <w:marRight w:val="0"/>
      <w:marTop w:val="0"/>
      <w:marBottom w:val="0"/>
      <w:divBdr>
        <w:top w:val="none" w:sz="0" w:space="0" w:color="auto"/>
        <w:left w:val="none" w:sz="0" w:space="0" w:color="auto"/>
        <w:bottom w:val="none" w:sz="0" w:space="0" w:color="auto"/>
        <w:right w:val="none" w:sz="0" w:space="0" w:color="auto"/>
      </w:divBdr>
    </w:div>
    <w:div w:id="2119132237">
      <w:bodyDiv w:val="1"/>
      <w:marLeft w:val="0"/>
      <w:marRight w:val="0"/>
      <w:marTop w:val="0"/>
      <w:marBottom w:val="0"/>
      <w:divBdr>
        <w:top w:val="none" w:sz="0" w:space="0" w:color="auto"/>
        <w:left w:val="none" w:sz="0" w:space="0" w:color="auto"/>
        <w:bottom w:val="none" w:sz="0" w:space="0" w:color="auto"/>
        <w:right w:val="none" w:sz="0" w:space="0" w:color="auto"/>
      </w:divBdr>
    </w:div>
    <w:div w:id="2123106826">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9234</Characters>
  <Application>Microsoft Office Word</Application>
  <DocSecurity>0</DocSecurity>
  <Lines>1154</Lines>
  <Paragraphs>244</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2025-10-30T09:14:00Z</cp:lastPrinted>
  <dcterms:created xsi:type="dcterms:W3CDTF">2025-10-30T09:14:00Z</dcterms:created>
  <dcterms:modified xsi:type="dcterms:W3CDTF">2025-10-30T09:14:00Z</dcterms:modified>
</cp:coreProperties>
</file>