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8"/>
        <w:gridCol w:w="5889"/>
        <w:gridCol w:w="206"/>
        <w:gridCol w:w="1552"/>
      </w:tblGrid>
      <w:tr w:rsidR="00000000" w:rsidRPr="00383AFA">
        <w:tblPrEx>
          <w:tblCellMar>
            <w:top w:w="0" w:type="dxa"/>
            <w:left w:w="0" w:type="dxa"/>
            <w:bottom w:w="0" w:type="dxa"/>
            <w:right w:w="0" w:type="dxa"/>
          </w:tblCellMar>
        </w:tblPrEx>
        <w:trPr>
          <w:gridAfter w:val="2"/>
          <w:wAfter w:w="1758" w:type="dxa"/>
          <w:cantSplit/>
          <w:trHeight w:val="1320"/>
        </w:trPr>
        <w:tc>
          <w:tcPr>
            <w:tcW w:w="5897" w:type="dxa"/>
            <w:gridSpan w:val="2"/>
          </w:tcPr>
          <w:p w:rsidR="007971E8" w:rsidRPr="00383AFA" w:rsidRDefault="007971E8">
            <w:pPr>
              <w:pStyle w:val="HuvudRubrik"/>
            </w:pPr>
            <w:r w:rsidRPr="00383AFA">
              <w:t>Regeringskansliet</w:t>
            </w:r>
          </w:p>
          <w:p w:rsidR="007971E8" w:rsidRPr="00383AFA" w:rsidRDefault="007971E8">
            <w:pPr>
              <w:pStyle w:val="HuvudRubrik"/>
            </w:pPr>
            <w:r w:rsidRPr="00383AFA">
              <w:t>Faktapromemoria  2005/06:FPM9</w:t>
            </w:r>
          </w:p>
        </w:tc>
      </w:tr>
      <w:tr w:rsidR="00000000" w:rsidRPr="00383AFA">
        <w:tblPrEx>
          <w:tblCellMar>
            <w:top w:w="0" w:type="dxa"/>
            <w:left w:w="0" w:type="dxa"/>
            <w:bottom w:w="0" w:type="dxa"/>
            <w:right w:w="0" w:type="dxa"/>
          </w:tblCellMar>
        </w:tblPrEx>
        <w:trPr>
          <w:gridAfter w:val="2"/>
          <w:wAfter w:w="1758" w:type="dxa"/>
          <w:cantSplit/>
          <w:trHeight w:val="240"/>
        </w:trPr>
        <w:tc>
          <w:tcPr>
            <w:tcW w:w="5897" w:type="dxa"/>
            <w:gridSpan w:val="2"/>
          </w:tcPr>
          <w:p w:rsidR="007971E8" w:rsidRPr="00383AFA" w:rsidRDefault="007971E8">
            <w:pPr>
              <w:pStyle w:val="HuvudRubrik"/>
              <w:rPr>
                <w:sz w:val="28"/>
              </w:rPr>
            </w:pPr>
            <w:r w:rsidRPr="00383AFA">
              <w:t>Rådets förordning om ett europeiskt centrum för kontroll av narkotika och narkotikamissbruk, ECNN</w:t>
            </w:r>
          </w:p>
        </w:tc>
      </w:tr>
      <w:tr w:rsidR="00154663" w:rsidRPr="00383AFA">
        <w:tblPrEx>
          <w:tblCellMar>
            <w:top w:w="0" w:type="dxa"/>
            <w:left w:w="0" w:type="dxa"/>
            <w:bottom w:w="0" w:type="dxa"/>
            <w:right w:w="0" w:type="dxa"/>
          </w:tblCellMar>
        </w:tblPrEx>
        <w:trPr>
          <w:cantSplit/>
          <w:trHeight w:val="285"/>
        </w:trPr>
        <w:tc>
          <w:tcPr>
            <w:tcW w:w="7655" w:type="dxa"/>
            <w:gridSpan w:val="4"/>
          </w:tcPr>
          <w:p w:rsidR="00154663" w:rsidRPr="00383AFA" w:rsidRDefault="00062316">
            <w:pPr>
              <w:pStyle w:val="Departement"/>
              <w:rPr>
                <w:sz w:val="28"/>
              </w:rPr>
            </w:pPr>
            <w:r w:rsidRPr="00383AFA">
              <w:t>Socialdepartementet</w:t>
            </w:r>
          </w:p>
        </w:tc>
      </w:tr>
      <w:tr w:rsidR="00154663" w:rsidRPr="00383AFA">
        <w:tblPrEx>
          <w:tblCellMar>
            <w:top w:w="0" w:type="dxa"/>
            <w:left w:w="0" w:type="dxa"/>
            <w:bottom w:w="0" w:type="dxa"/>
            <w:right w:w="0" w:type="dxa"/>
          </w:tblCellMar>
        </w:tblPrEx>
        <w:trPr>
          <w:cantSplit/>
          <w:trHeight w:val="240"/>
        </w:trPr>
        <w:tc>
          <w:tcPr>
            <w:tcW w:w="7655" w:type="dxa"/>
            <w:gridSpan w:val="4"/>
          </w:tcPr>
          <w:p w:rsidR="00154663" w:rsidRPr="00383AFA" w:rsidRDefault="00062316">
            <w:pPr>
              <w:pStyle w:val="Dokumentdatum"/>
            </w:pPr>
            <w:r w:rsidRPr="00383AFA">
              <w:t>2005-09-22</w:t>
            </w:r>
          </w:p>
        </w:tc>
      </w:tr>
      <w:tr w:rsidR="00154663" w:rsidRPr="00383AFA">
        <w:tblPrEx>
          <w:tblCellMar>
            <w:top w:w="0" w:type="dxa"/>
            <w:left w:w="0" w:type="dxa"/>
            <w:bottom w:w="0" w:type="dxa"/>
            <w:right w:w="0" w:type="dxa"/>
          </w:tblCellMar>
        </w:tblPrEx>
        <w:trPr>
          <w:cantSplit/>
          <w:trHeight w:val="726"/>
        </w:trPr>
        <w:tc>
          <w:tcPr>
            <w:tcW w:w="7655" w:type="dxa"/>
            <w:gridSpan w:val="4"/>
            <w:vAlign w:val="bottom"/>
          </w:tcPr>
          <w:p w:rsidR="00154663" w:rsidRPr="00383AFA" w:rsidRDefault="00154663">
            <w:pPr>
              <w:pStyle w:val="Dokumentbeteckning"/>
            </w:pPr>
            <w:r w:rsidRPr="00383AFA">
              <w:t>Dokumentbeteckning</w:t>
            </w:r>
          </w:p>
        </w:tc>
      </w:tr>
      <w:tr w:rsidR="00154663" w:rsidRPr="00383AFA">
        <w:tblPrEx>
          <w:tblCellMar>
            <w:top w:w="0" w:type="dxa"/>
            <w:left w:w="0" w:type="dxa"/>
            <w:bottom w:w="0" w:type="dxa"/>
            <w:right w:w="0" w:type="dxa"/>
          </w:tblCellMar>
        </w:tblPrEx>
        <w:trPr>
          <w:gridBefore w:val="1"/>
          <w:gridAfter w:val="1"/>
          <w:wBefore w:w="8" w:type="dxa"/>
          <w:wAfter w:w="1552" w:type="dxa"/>
          <w:trHeight w:val="120"/>
        </w:trPr>
        <w:tc>
          <w:tcPr>
            <w:tcW w:w="6095" w:type="dxa"/>
            <w:gridSpan w:val="2"/>
          </w:tcPr>
          <w:p w:rsidR="00154663" w:rsidRPr="00383AFA" w:rsidRDefault="00062316">
            <w:bookmarkStart w:id="0" w:name="KomNr"/>
            <w:bookmarkEnd w:id="0"/>
            <w:r w:rsidRPr="00383AFA">
              <w:t>COM(2005)399 final</w:t>
            </w:r>
          </w:p>
        </w:tc>
      </w:tr>
      <w:tr w:rsidR="00154663" w:rsidRPr="00383AFA">
        <w:tblPrEx>
          <w:tblCellMar>
            <w:top w:w="0" w:type="dxa"/>
            <w:left w:w="0" w:type="dxa"/>
            <w:bottom w:w="0" w:type="dxa"/>
            <w:right w:w="0" w:type="dxa"/>
          </w:tblCellMar>
        </w:tblPrEx>
        <w:trPr>
          <w:gridBefore w:val="1"/>
          <w:gridAfter w:val="1"/>
          <w:wBefore w:w="8" w:type="dxa"/>
          <w:wAfter w:w="1552" w:type="dxa"/>
          <w:trHeight w:val="120"/>
        </w:trPr>
        <w:tc>
          <w:tcPr>
            <w:tcW w:w="6095" w:type="dxa"/>
            <w:gridSpan w:val="2"/>
          </w:tcPr>
          <w:p w:rsidR="00154663" w:rsidRPr="00383AFA" w:rsidRDefault="00062316">
            <w:pPr>
              <w:pStyle w:val="Dokumentbeteckning-titel"/>
            </w:pPr>
            <w:r w:rsidRPr="00383AFA">
              <w:t>Proposal for a regulation of the European Parliament and of the Council on the European Monitoring Centre for Drugs and Drug Addiction</w:t>
            </w:r>
          </w:p>
        </w:tc>
      </w:tr>
    </w:tbl>
    <w:p w:rsidR="00154663" w:rsidRPr="00383AFA" w:rsidRDefault="00154663">
      <w:pPr>
        <w:pStyle w:val="Rubrik1"/>
        <w:numPr>
          <w:ilvl w:val="0"/>
          <w:numId w:val="0"/>
        </w:numPr>
      </w:pPr>
      <w:r w:rsidRPr="00383AFA">
        <w:t>Sammanfattning</w:t>
      </w:r>
    </w:p>
    <w:p w:rsidR="00154663" w:rsidRPr="00383AFA" w:rsidRDefault="00154663">
      <w:r w:rsidRPr="00383AFA">
        <w:t>År 1993 beslutade EU att inrätta ett centrum för att följa narkotikautvecklingen inom unionen, Europeiskt centrum för kontroll av narkotika och narkotikamissbruk Kommissionens förslag syftar till att ändra rådets förordning (EEC) nr 302/93 för att utöka centrets mandat till att också följa utvecklingen av blandmissbruk av legala och illegala psykoaktiva substanser samt för att ta hänsyn till de förändringar som en utvidgning av unionen har medfört. Övriga förslag innebär i huvudsak en uppdatering av förordningen utan några substantiella förändringar. En förändring  av den rättsliga grunden innebär att Europaparlamentet blir medbeslutande.</w:t>
      </w:r>
    </w:p>
    <w:p w:rsidR="00154663" w:rsidRPr="00383AFA" w:rsidRDefault="00154663">
      <w:pPr>
        <w:pStyle w:val="Rubrik1"/>
      </w:pPr>
      <w:r w:rsidRPr="00383AFA">
        <w:t>Förslaget</w:t>
      </w:r>
    </w:p>
    <w:p w:rsidR="00154663" w:rsidRPr="00383AFA" w:rsidRDefault="00154663">
      <w:pPr>
        <w:pStyle w:val="Rubrik2"/>
      </w:pPr>
      <w:r w:rsidRPr="00383AFA">
        <w:t>Innehåll</w:t>
      </w:r>
    </w:p>
    <w:p w:rsidR="00154663" w:rsidRPr="00383AFA" w:rsidRDefault="00154663">
      <w:r w:rsidRPr="00383AFA">
        <w:t>De viktigaste förändringarna gentemot tidigare förordning är följande:</w:t>
      </w:r>
    </w:p>
    <w:p w:rsidR="00154663" w:rsidRPr="00383AFA" w:rsidRDefault="00154663" w:rsidP="00E978F5">
      <w:r w:rsidRPr="00383AFA">
        <w:t>I artikel 2 utökas centrets uppgifter till att omfatta insamling, registrering och analys av data över utvecklingen också när det gäller blandmissbruk av legala och illegala psykoaktiva substanser. Centret skall utveckla metoder och instrument för att stödja medlemsländerna i att följa och utveckla sina nationella strategier.</w:t>
      </w:r>
    </w:p>
    <w:p w:rsidR="00154663" w:rsidRPr="00383AFA" w:rsidRDefault="00154663" w:rsidP="00E978F5">
      <w:r w:rsidRPr="00383AFA">
        <w:t>Artikel 3 rör centrets prioriterade områden som listas i en bilaga till förordningen. Centret skall följa narkotikautvecklingen, insatser mot narkotikapro</w:t>
      </w:r>
      <w:r w:rsidRPr="00383AFA">
        <w:lastRenderedPageBreak/>
        <w:t>blemet, analysera risker med nya psykoaktiva substanser och upprätthålla ett informationssystem samt utveckla verktyg och instrument för att stödja medlemsländernas och kommissionens uppföljning och utveckling av både nationella och gemenskapens narkotikastrategier.</w:t>
      </w:r>
    </w:p>
    <w:p w:rsidR="00154663" w:rsidRPr="00383AFA" w:rsidRDefault="00154663" w:rsidP="00E978F5">
      <w:r w:rsidRPr="00383AFA">
        <w:t>Artikel 5 rör European Information Network on Drugs and Drug Addiction (Reitox) som är ett system för medlemsländernas inrapportering av data till centret. Uppgifterna för de nationella kontaktpunkterna regleras tydligare.  I förslaget slås bl.a. fast att det är medlemsländerna som ansvarar för de nationella kontaktpunkterna.</w:t>
      </w:r>
    </w:p>
    <w:p w:rsidR="00154663" w:rsidRPr="00383AFA" w:rsidRDefault="00154663" w:rsidP="00E978F5">
      <w:r w:rsidRPr="00383AFA">
        <w:t>I artikel 8 har införts att centret har sitt säte i Lissabon.</w:t>
      </w:r>
    </w:p>
    <w:p w:rsidR="00154663" w:rsidRPr="00383AFA" w:rsidRDefault="00154663" w:rsidP="00E978F5">
      <w:r w:rsidRPr="00383AFA">
        <w:t>Artikel 9 och 10 innebär en uppdatering av reglerna för styrelsens arbete enligt den praxis som har varit gällande sedan starten med bl.a. en vice ordförande och en exekutiv kommitté.</w:t>
      </w:r>
    </w:p>
    <w:p w:rsidR="00154663" w:rsidRPr="00383AFA" w:rsidRDefault="00154663" w:rsidP="00E978F5">
      <w:r w:rsidRPr="00383AFA">
        <w:t>Den rättsliga grunden för förordningen har ändrats från artikel 308 till 152 i Fördraget om upprättandet av Europeiska gemenskapen.  Förändringen motiveras av att artikel 152 (folkhälsoartikeln ) inte fanns vid inrättandet av centret men att den nu ses som den mest logiska rättsliga grunden. I sak innebär detta  ingen förändring.</w:t>
      </w:r>
    </w:p>
    <w:p w:rsidR="00154663" w:rsidRPr="00383AFA" w:rsidRDefault="00154663">
      <w:pPr>
        <w:pStyle w:val="Rubrik2"/>
      </w:pPr>
      <w:r w:rsidRPr="00383AFA">
        <w:t>Gällande svenska regler och förslagets effekt på dessa</w:t>
      </w:r>
    </w:p>
    <w:p w:rsidR="00154663" w:rsidRPr="00383AFA" w:rsidRDefault="00154663">
      <w:r w:rsidRPr="00383AFA">
        <w:t>Förslaget har ingen effekt på gällande svenska regler.</w:t>
      </w:r>
    </w:p>
    <w:p w:rsidR="00154663" w:rsidRPr="00383AFA" w:rsidRDefault="00154663">
      <w:pPr>
        <w:pStyle w:val="Rubrik2"/>
      </w:pPr>
      <w:r w:rsidRPr="00383AFA">
        <w:t>Budgetära konsekvenser</w:t>
      </w:r>
    </w:p>
    <w:p w:rsidR="00154663" w:rsidRPr="00383AFA" w:rsidRDefault="00154663">
      <w:r w:rsidRPr="00383AFA">
        <w:t xml:space="preserve">Förslaget har inga budgetära konsekvenser. </w:t>
      </w:r>
    </w:p>
    <w:p w:rsidR="00154663" w:rsidRPr="00383AFA" w:rsidRDefault="00154663">
      <w:pPr>
        <w:pStyle w:val="Rubrik1"/>
      </w:pPr>
      <w:r w:rsidRPr="00383AFA">
        <w:t>Ståndpunkter</w:t>
      </w:r>
    </w:p>
    <w:p w:rsidR="00154663" w:rsidRPr="00383AFA" w:rsidRDefault="00154663">
      <w:pPr>
        <w:pStyle w:val="Rubrik2"/>
      </w:pPr>
      <w:r w:rsidRPr="00383AFA">
        <w:t>Svensk ståndpunkt</w:t>
      </w:r>
    </w:p>
    <w:p w:rsidR="00154663" w:rsidRPr="00383AFA" w:rsidRDefault="00154663">
      <w:r w:rsidRPr="00383AFA">
        <w:t xml:space="preserve">Sverige stöder förslaget. </w:t>
      </w:r>
    </w:p>
    <w:p w:rsidR="00154663" w:rsidRPr="00383AFA" w:rsidRDefault="00154663">
      <w:pPr>
        <w:pStyle w:val="Rubrik2"/>
      </w:pPr>
      <w:r w:rsidRPr="00383AFA">
        <w:t>Medlemsstaternas ståndpunkter</w:t>
      </w:r>
    </w:p>
    <w:p w:rsidR="00154663" w:rsidRPr="00383AFA" w:rsidRDefault="00154663">
      <w:r w:rsidRPr="00383AFA">
        <w:t>Förslaget har diskuterats i rådets övergripande narkotikaarbetsgrupp (HNG) där en gemensam position uppnåtts i enlighet med huvuddragen i det förslag som kommissionen nu presenterat.</w:t>
      </w:r>
    </w:p>
    <w:p w:rsidR="00154663" w:rsidRPr="00383AFA" w:rsidRDefault="00154663">
      <w:pPr>
        <w:pStyle w:val="Rubrik2"/>
      </w:pPr>
      <w:r w:rsidRPr="00383AFA">
        <w:t>Institutionernas ståndpunkter</w:t>
      </w:r>
    </w:p>
    <w:p w:rsidR="00154663" w:rsidRPr="00383AFA" w:rsidRDefault="00154663">
      <w:pPr>
        <w:rPr>
          <w:i/>
          <w:iCs/>
        </w:rPr>
      </w:pPr>
      <w:r w:rsidRPr="00383AFA">
        <w:t>ECNN stödjer förslaget.</w:t>
      </w:r>
      <w:r w:rsidRPr="00383AFA">
        <w:rPr>
          <w:i/>
          <w:iCs/>
        </w:rPr>
        <w:t xml:space="preserve"> </w:t>
      </w:r>
    </w:p>
    <w:p w:rsidR="00154663" w:rsidRPr="00383AFA" w:rsidRDefault="00154663">
      <w:r w:rsidRPr="00383AFA">
        <w:t>Europaparlamentet har ännu inte avgett  något yttrande.</w:t>
      </w:r>
    </w:p>
    <w:p w:rsidR="00154663" w:rsidRPr="00383AFA" w:rsidRDefault="00154663"/>
    <w:p w:rsidR="00154663" w:rsidRPr="00383AFA" w:rsidRDefault="00154663">
      <w:pPr>
        <w:pStyle w:val="Rubrik2"/>
      </w:pPr>
      <w:r w:rsidRPr="00383AFA">
        <w:t>Remissinstansernas ståndpunkter</w:t>
      </w:r>
    </w:p>
    <w:p w:rsidR="00154663" w:rsidRPr="00383AFA" w:rsidRDefault="00154663">
      <w:r w:rsidRPr="00383AFA">
        <w:t>Förslaget har inte remissbehandlats.</w:t>
      </w:r>
    </w:p>
    <w:p w:rsidR="00154663" w:rsidRPr="00383AFA" w:rsidRDefault="00154663">
      <w:pPr>
        <w:pStyle w:val="Rubrik1"/>
      </w:pPr>
      <w:r w:rsidRPr="00383AFA">
        <w:t>Övrigt</w:t>
      </w:r>
    </w:p>
    <w:p w:rsidR="00154663" w:rsidRPr="00383AFA" w:rsidRDefault="00154663">
      <w:pPr>
        <w:pStyle w:val="Rubrik2"/>
      </w:pPr>
      <w:r w:rsidRPr="00383AFA">
        <w:t>Fortsatt behandling av ärendet</w:t>
      </w:r>
    </w:p>
    <w:p w:rsidR="00154663" w:rsidRPr="00383AFA" w:rsidRDefault="00154663">
      <w:r w:rsidRPr="00383AFA">
        <w:t xml:space="preserve">Förslaget har diskuterats i rådets övergripande narkotikaarbetsgrupp (HNG) där en gemensam position har uppnåtts. Förändringen av den rättsliga grunden har medfört att kommissionen utarbetat ett nytt förslag på basis av rådsdiskussionerna. Förslaget har överlämnats till Europaparlamentet för yttrande då bytet av rättslig grund innebär att parlamentet blir medbeslutande och beslut fattas med kvalificerad majoritet. </w:t>
      </w:r>
    </w:p>
    <w:p w:rsidR="00154663" w:rsidRPr="00383AFA" w:rsidRDefault="00154663">
      <w:pPr>
        <w:pStyle w:val="Rubrik2"/>
      </w:pPr>
      <w:r w:rsidRPr="00383AFA">
        <w:t>Rättslig grund och beslutsförfarande</w:t>
      </w:r>
    </w:p>
    <w:p w:rsidR="00154663" w:rsidRPr="00383AFA" w:rsidRDefault="00154663">
      <w:r w:rsidRPr="00383AFA">
        <w:t>Artikel 152 i fördraget om upprättandet av Europeiska gemenskapen. Medbeslutandeförfarande.</w:t>
      </w:r>
    </w:p>
    <w:p w:rsidR="00154663" w:rsidRPr="00383AFA" w:rsidRDefault="00154663">
      <w:pPr>
        <w:pStyle w:val="Rubrik2"/>
      </w:pPr>
      <w:r w:rsidRPr="00383AFA">
        <w:t>Fackuttryck/termer</w:t>
      </w:r>
    </w:p>
    <w:p w:rsidR="00154663" w:rsidRPr="00383AFA" w:rsidRDefault="00154663"/>
    <w:sectPr w:rsidR="00154663" w:rsidRPr="00383A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1E8" w:rsidRPr="00383AFA" w:rsidRDefault="007971E8">
      <w:r w:rsidRPr="00383AFA">
        <w:separator/>
      </w:r>
    </w:p>
  </w:endnote>
  <w:endnote w:type="continuationSeparator" w:id="0">
    <w:p w:rsidR="007971E8" w:rsidRPr="00383AFA" w:rsidRDefault="007971E8">
      <w:r w:rsidRPr="00383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EA9" w:rsidRPr="00383AFA" w:rsidRDefault="00E02E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EA9" w:rsidRPr="00383AFA" w:rsidRDefault="0080355D">
    <w:pPr>
      <w:pStyle w:val="SidfotH"/>
      <w:framePr w:wrap="around"/>
    </w:pPr>
    <w:r w:rsidRPr="00383AFA">
      <w:t>3</w:t>
    </w:r>
  </w:p>
  <w:p w:rsidR="00E02EA9" w:rsidRPr="00383AFA" w:rsidRDefault="00E02E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EA9" w:rsidRPr="00383AFA" w:rsidRDefault="007971E8">
    <w:pPr>
      <w:pStyle w:val="SidfotH"/>
      <w:framePr w:wrap="around"/>
    </w:pPr>
    <w:r w:rsidRPr="00383AFA">
      <w:t>1</w:t>
    </w:r>
  </w:p>
  <w:p w:rsidR="00E02EA9" w:rsidRPr="00383AFA" w:rsidRDefault="00E02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1E8" w:rsidRPr="00383AFA" w:rsidRDefault="007971E8">
      <w:r w:rsidRPr="00383AFA">
        <w:separator/>
      </w:r>
    </w:p>
  </w:footnote>
  <w:footnote w:type="continuationSeparator" w:id="0">
    <w:p w:rsidR="007971E8" w:rsidRPr="00383AFA" w:rsidRDefault="007971E8">
      <w:r w:rsidRPr="00383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EA9" w:rsidRPr="00383AFA" w:rsidRDefault="00E02E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EA9" w:rsidRPr="00383AFA" w:rsidRDefault="00E02EA9">
    <w:pPr>
      <w:pStyle w:val="Kantrubrik"/>
      <w:framePr w:h="1157" w:hRule="exact" w:wrap="around" w:y="738"/>
    </w:pPr>
    <w:r w:rsidRPr="00383AFA">
      <w:t>2005/06:FPM9</w:t>
    </w:r>
  </w:p>
  <w:p w:rsidR="00E02EA9" w:rsidRPr="00383AFA" w:rsidRDefault="00E02E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EA9" w:rsidRPr="00383AFA" w:rsidRDefault="00383AFA">
    <w:pPr>
      <w:pStyle w:val="Sidhuvud"/>
    </w:pPr>
    <w:r w:rsidRPr="00383A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70392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EA9" w:rsidRDefault="00E02EA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02EA9" w:rsidRDefault="00E02EA9">
                    <w:pPr>
                      <w:pStyle w:val="Logo"/>
                    </w:pPr>
                    <w:r>
                      <w:object w:dxaOrig="840" w:dyaOrig="1545">
                        <v:shape id="_x0000_i1025" type="#_x0000_t75" style="width:42pt;height:77.15pt" fillcolor="window">
                          <v:imagedata r:id="rId1" o:title=""/>
                        </v:shape>
                        <o:OLEObject Type="Embed" ProgID="Word.Picture.8" ShapeID="_x0000_i1025" DrawAspect="Content" ObjectID="_18274392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66918683">
    <w:abstractNumId w:val="4"/>
  </w:num>
  <w:num w:numId="2" w16cid:durableId="1953701867">
    <w:abstractNumId w:val="1"/>
  </w:num>
  <w:num w:numId="3" w16cid:durableId="965114206">
    <w:abstractNumId w:val="2"/>
  </w:num>
  <w:num w:numId="4" w16cid:durableId="1307318479">
    <w:abstractNumId w:val="3"/>
  </w:num>
  <w:num w:numId="5" w16cid:durableId="2099015728">
    <w:abstractNumId w:val="5"/>
  </w:num>
  <w:num w:numId="6" w16cid:durableId="83434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10"/>
    <w:docVar w:name="Ar" w:val="2005/06"/>
    <w:docVar w:name="Dep" w:val="Socialdepartementet"/>
    <w:docVar w:name="DepWeb" w:val="Socialdepartementet"/>
    <w:docVar w:name="GDB1" w:val="COM(2005)399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on the European Monitoring Centre for Drugs and Drug Addic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5)399 final"/>
    <w:docVar w:name="Nr" w:val="9"/>
    <w:docVar w:name="RD_APPVERSION" w:val="3.00"/>
    <w:docVar w:name="Rub" w:val="Rådets förordning om ett europeiskt centrum för kontroll av narkotika och narkotikamissbruk, ECNN"/>
    <w:docVar w:name="UppDat" w:val="2005-09-22"/>
    <w:docVar w:name="Utsk" w:val="Socialutskottet"/>
  </w:docVars>
  <w:rsids>
    <w:rsidRoot w:val="00383AFA"/>
    <w:rsid w:val="00062316"/>
    <w:rsid w:val="00154663"/>
    <w:rsid w:val="00383AFA"/>
    <w:rsid w:val="007971E8"/>
    <w:rsid w:val="0080355D"/>
    <w:rsid w:val="009E3835"/>
    <w:rsid w:val="00E02EA9"/>
    <w:rsid w:val="00E978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07D39-DEC2-4F8E-874C-DC2F514B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533</Words>
  <Characters>3466</Characters>
  <Application>Microsoft Office Word</Application>
  <DocSecurity>4</DocSecurity>
  <Lines>78</Lines>
  <Paragraphs>44</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2005-10-10T12:14:00Z</cp:lastPrinted>
  <dcterms:created xsi:type="dcterms:W3CDTF">2025-12-16T22:33:00Z</dcterms:created>
  <dcterms:modified xsi:type="dcterms:W3CDTF">2025-12-16T22:33:00Z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COM(2005)399 final</vt:lpwstr>
  </property>
  <property fmtid="{D5CDD505-2E9C-101B-9397-08002B2CF9AE}" pid="5" name="GDT1">
    <vt:lpwstr> </vt:lpwstr>
  </property>
  <property fmtid="{D5CDD505-2E9C-101B-9397-08002B2CF9AE}" pid="6" name="Dep">
    <vt:lpwstr>Socialdepartementet</vt:lpwstr>
  </property>
  <property fmtid="{D5CDD505-2E9C-101B-9397-08002B2CF9AE}" pid="7" name="Rub">
    <vt:lpwstr>Rådets förordning om ett europeiskt centrum för kontroll av narkotika och narkotikamissbruk, ECNN</vt:lpwstr>
  </property>
  <property fmtid="{D5CDD505-2E9C-101B-9397-08002B2CF9AE}" pid="8" name="UppDat">
    <vt:lpwstr>2005-09-22</vt:lpwstr>
  </property>
  <property fmtid="{D5CDD505-2E9C-101B-9397-08002B2CF9AE}" pid="9" name="AnkDat">
    <vt:lpwstr>2005-10-10</vt:lpwstr>
  </property>
  <property fmtid="{D5CDD505-2E9C-101B-9397-08002B2CF9AE}" pid="10" name="Utsk">
    <vt:lpwstr>Socialutskottet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5;0;0;324</vt:lpwstr>
  </property>
  <property fmtid="{D5CDD505-2E9C-101B-9397-08002B2CF9AE}" pid="39" name="Sprak">
    <vt:lpwstr>Svenska</vt:lpwstr>
  </property>
  <property fmtid="{D5CDD505-2E9C-101B-9397-08002B2CF9AE}" pid="40" name="DokID">
    <vt:i4>80</vt:i4>
  </property>
</Properties>
</file>