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F87578"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F87578">
        <w:tc>
          <w:tcPr>
            <w:tcW w:w="9141" w:type="dxa"/>
          </w:tcPr>
          <w:p w:rsidR="00177FF8" w:rsidRPr="00F87578" w:rsidRDefault="00177FF8">
            <w:pPr>
              <w:rPr>
                <w:sz w:val="22"/>
                <w:szCs w:val="22"/>
              </w:rPr>
            </w:pPr>
            <w:r w:rsidRPr="00F87578">
              <w:rPr>
                <w:sz w:val="22"/>
                <w:szCs w:val="22"/>
              </w:rPr>
              <w:t>RIKSDAGEN</w:t>
            </w:r>
          </w:p>
          <w:p w:rsidR="00177FF8" w:rsidRPr="00F87578" w:rsidRDefault="00177FF8">
            <w:pPr>
              <w:rPr>
                <w:sz w:val="22"/>
                <w:szCs w:val="22"/>
              </w:rPr>
            </w:pPr>
            <w:r w:rsidRPr="00F87578">
              <w:rPr>
                <w:sz w:val="22"/>
                <w:szCs w:val="22"/>
              </w:rPr>
              <w:t>MILJÖ- OCH JORDBRUKSUTSKOTTET</w:t>
            </w:r>
          </w:p>
        </w:tc>
      </w:tr>
    </w:tbl>
    <w:p w:rsidR="00177FF8" w:rsidRPr="00F87578" w:rsidRDefault="00177FF8">
      <w:pPr>
        <w:rPr>
          <w:sz w:val="22"/>
          <w:szCs w:val="22"/>
        </w:rPr>
      </w:pPr>
    </w:p>
    <w:p w:rsidR="00177FF8" w:rsidRPr="00F87578"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F87578">
        <w:trPr>
          <w:cantSplit/>
          <w:trHeight w:val="742"/>
        </w:trPr>
        <w:tc>
          <w:tcPr>
            <w:tcW w:w="1985" w:type="dxa"/>
          </w:tcPr>
          <w:p w:rsidR="00177FF8" w:rsidRPr="00F87578" w:rsidRDefault="00177FF8">
            <w:pPr>
              <w:rPr>
                <w:b/>
                <w:sz w:val="22"/>
                <w:szCs w:val="22"/>
              </w:rPr>
            </w:pPr>
            <w:r w:rsidRPr="00F87578">
              <w:rPr>
                <w:b/>
                <w:sz w:val="22"/>
                <w:szCs w:val="22"/>
              </w:rPr>
              <w:t xml:space="preserve">PROTOKOLL </w:t>
            </w:r>
          </w:p>
        </w:tc>
        <w:tc>
          <w:tcPr>
            <w:tcW w:w="6463" w:type="dxa"/>
          </w:tcPr>
          <w:p w:rsidR="00177FF8" w:rsidRPr="00F87578" w:rsidRDefault="00626575" w:rsidP="00D1794C">
            <w:pPr>
              <w:rPr>
                <w:b/>
                <w:sz w:val="22"/>
                <w:szCs w:val="22"/>
              </w:rPr>
            </w:pPr>
            <w:r w:rsidRPr="00F87578">
              <w:rPr>
                <w:b/>
                <w:sz w:val="22"/>
                <w:szCs w:val="22"/>
              </w:rPr>
              <w:t>UTSKOTTSSAMMANTRÄDE 20</w:t>
            </w:r>
            <w:r w:rsidR="004072D7" w:rsidRPr="00F87578">
              <w:rPr>
                <w:b/>
                <w:sz w:val="22"/>
                <w:szCs w:val="22"/>
              </w:rPr>
              <w:t>2</w:t>
            </w:r>
            <w:r w:rsidR="007F4080" w:rsidRPr="00F87578">
              <w:rPr>
                <w:b/>
                <w:sz w:val="22"/>
                <w:szCs w:val="22"/>
              </w:rPr>
              <w:t>1</w:t>
            </w:r>
            <w:r w:rsidR="000E777E" w:rsidRPr="00F87578">
              <w:rPr>
                <w:b/>
                <w:sz w:val="22"/>
                <w:szCs w:val="22"/>
              </w:rPr>
              <w:t>/2</w:t>
            </w:r>
            <w:r w:rsidR="007F4080" w:rsidRPr="00F87578">
              <w:rPr>
                <w:b/>
                <w:sz w:val="22"/>
                <w:szCs w:val="22"/>
              </w:rPr>
              <w:t>2</w:t>
            </w:r>
            <w:r w:rsidR="003B57EC" w:rsidRPr="00F87578">
              <w:rPr>
                <w:b/>
                <w:sz w:val="22"/>
                <w:szCs w:val="22"/>
              </w:rPr>
              <w:t>:</w:t>
            </w:r>
            <w:r w:rsidR="007F3EB0" w:rsidRPr="00F87578">
              <w:rPr>
                <w:b/>
                <w:sz w:val="22"/>
                <w:szCs w:val="22"/>
              </w:rPr>
              <w:t>3</w:t>
            </w:r>
            <w:r w:rsidR="00C9733E" w:rsidRPr="00F87578">
              <w:rPr>
                <w:b/>
                <w:sz w:val="22"/>
                <w:szCs w:val="22"/>
              </w:rPr>
              <w:t>3</w:t>
            </w:r>
          </w:p>
        </w:tc>
      </w:tr>
      <w:tr w:rsidR="00177FF8" w:rsidRPr="00F87578">
        <w:tc>
          <w:tcPr>
            <w:tcW w:w="1985" w:type="dxa"/>
          </w:tcPr>
          <w:p w:rsidR="00177FF8" w:rsidRPr="00F87578" w:rsidRDefault="00177FF8">
            <w:pPr>
              <w:rPr>
                <w:sz w:val="22"/>
                <w:szCs w:val="22"/>
              </w:rPr>
            </w:pPr>
            <w:r w:rsidRPr="00F87578">
              <w:rPr>
                <w:sz w:val="22"/>
                <w:szCs w:val="22"/>
              </w:rPr>
              <w:t>DATUM</w:t>
            </w:r>
          </w:p>
        </w:tc>
        <w:tc>
          <w:tcPr>
            <w:tcW w:w="6463" w:type="dxa"/>
          </w:tcPr>
          <w:p w:rsidR="00177FF8" w:rsidRPr="00F87578" w:rsidRDefault="00626575" w:rsidP="00FB0559">
            <w:pPr>
              <w:rPr>
                <w:sz w:val="22"/>
                <w:szCs w:val="22"/>
              </w:rPr>
            </w:pPr>
            <w:r w:rsidRPr="00F87578">
              <w:rPr>
                <w:sz w:val="22"/>
                <w:szCs w:val="22"/>
              </w:rPr>
              <w:t>20</w:t>
            </w:r>
            <w:r w:rsidR="00CB71B9" w:rsidRPr="00F87578">
              <w:rPr>
                <w:sz w:val="22"/>
                <w:szCs w:val="22"/>
              </w:rPr>
              <w:t>2</w:t>
            </w:r>
            <w:r w:rsidR="00E0771A" w:rsidRPr="00F87578">
              <w:rPr>
                <w:sz w:val="22"/>
                <w:szCs w:val="22"/>
              </w:rPr>
              <w:t>2</w:t>
            </w:r>
            <w:r w:rsidR="008C2D5B" w:rsidRPr="00F87578">
              <w:rPr>
                <w:sz w:val="22"/>
                <w:szCs w:val="22"/>
              </w:rPr>
              <w:t>-</w:t>
            </w:r>
            <w:r w:rsidR="00E0771A" w:rsidRPr="00F87578">
              <w:rPr>
                <w:sz w:val="22"/>
                <w:szCs w:val="22"/>
              </w:rPr>
              <w:t>0</w:t>
            </w:r>
            <w:r w:rsidR="007F3EB0" w:rsidRPr="00F87578">
              <w:rPr>
                <w:sz w:val="22"/>
                <w:szCs w:val="22"/>
              </w:rPr>
              <w:t>2</w:t>
            </w:r>
            <w:r w:rsidR="00374911" w:rsidRPr="00F87578">
              <w:rPr>
                <w:sz w:val="22"/>
                <w:szCs w:val="22"/>
              </w:rPr>
              <w:t>-</w:t>
            </w:r>
            <w:r w:rsidR="001C3AAE" w:rsidRPr="00F87578">
              <w:rPr>
                <w:sz w:val="22"/>
                <w:szCs w:val="22"/>
              </w:rPr>
              <w:t>22</w:t>
            </w:r>
          </w:p>
        </w:tc>
      </w:tr>
      <w:tr w:rsidR="00177FF8" w:rsidRPr="00F87578">
        <w:tc>
          <w:tcPr>
            <w:tcW w:w="1985" w:type="dxa"/>
          </w:tcPr>
          <w:p w:rsidR="00177FF8" w:rsidRPr="00F87578" w:rsidRDefault="00177FF8">
            <w:pPr>
              <w:rPr>
                <w:sz w:val="22"/>
                <w:szCs w:val="22"/>
              </w:rPr>
            </w:pPr>
            <w:r w:rsidRPr="00F87578">
              <w:rPr>
                <w:sz w:val="22"/>
                <w:szCs w:val="22"/>
              </w:rPr>
              <w:t>TID</w:t>
            </w:r>
          </w:p>
        </w:tc>
        <w:tc>
          <w:tcPr>
            <w:tcW w:w="6463" w:type="dxa"/>
          </w:tcPr>
          <w:p w:rsidR="00177FF8" w:rsidRPr="00F87578" w:rsidRDefault="00374911" w:rsidP="00231475">
            <w:pPr>
              <w:rPr>
                <w:sz w:val="22"/>
                <w:szCs w:val="22"/>
              </w:rPr>
            </w:pPr>
            <w:r w:rsidRPr="00F87578">
              <w:rPr>
                <w:sz w:val="22"/>
                <w:szCs w:val="22"/>
              </w:rPr>
              <w:t>1</w:t>
            </w:r>
            <w:r w:rsidR="007F3EB0" w:rsidRPr="00F87578">
              <w:rPr>
                <w:sz w:val="22"/>
                <w:szCs w:val="22"/>
              </w:rPr>
              <w:t>1</w:t>
            </w:r>
            <w:r w:rsidR="00B54A57" w:rsidRPr="00F87578">
              <w:rPr>
                <w:sz w:val="22"/>
                <w:szCs w:val="22"/>
              </w:rPr>
              <w:t>.</w:t>
            </w:r>
            <w:r w:rsidR="0021176A" w:rsidRPr="00F87578">
              <w:rPr>
                <w:sz w:val="22"/>
                <w:szCs w:val="22"/>
              </w:rPr>
              <w:t>0</w:t>
            </w:r>
            <w:r w:rsidR="00B5691D" w:rsidRPr="00F87578">
              <w:rPr>
                <w:sz w:val="22"/>
                <w:szCs w:val="22"/>
              </w:rPr>
              <w:t>0</w:t>
            </w:r>
            <w:r w:rsidR="00762508" w:rsidRPr="00F87578">
              <w:rPr>
                <w:sz w:val="22"/>
                <w:szCs w:val="22"/>
              </w:rPr>
              <w:t xml:space="preserve"> </w:t>
            </w:r>
            <w:r w:rsidR="00302EBE" w:rsidRPr="00F87578">
              <w:rPr>
                <w:sz w:val="22"/>
                <w:szCs w:val="22"/>
              </w:rPr>
              <w:t>–</w:t>
            </w:r>
            <w:r w:rsidR="00A27786" w:rsidRPr="00F87578">
              <w:rPr>
                <w:sz w:val="22"/>
                <w:szCs w:val="22"/>
              </w:rPr>
              <w:t xml:space="preserve"> 12.40</w:t>
            </w:r>
          </w:p>
        </w:tc>
      </w:tr>
      <w:tr w:rsidR="00177FF8" w:rsidRPr="00F87578">
        <w:tc>
          <w:tcPr>
            <w:tcW w:w="1985" w:type="dxa"/>
          </w:tcPr>
          <w:p w:rsidR="00177FF8" w:rsidRPr="00F87578" w:rsidRDefault="00177FF8">
            <w:pPr>
              <w:rPr>
                <w:sz w:val="22"/>
                <w:szCs w:val="22"/>
              </w:rPr>
            </w:pPr>
            <w:r w:rsidRPr="00F87578">
              <w:rPr>
                <w:sz w:val="22"/>
                <w:szCs w:val="22"/>
              </w:rPr>
              <w:t>NÄRVARANDE</w:t>
            </w:r>
          </w:p>
        </w:tc>
        <w:tc>
          <w:tcPr>
            <w:tcW w:w="6463" w:type="dxa"/>
          </w:tcPr>
          <w:p w:rsidR="00177FF8" w:rsidRPr="00F87578" w:rsidRDefault="00177FF8">
            <w:pPr>
              <w:rPr>
                <w:sz w:val="22"/>
                <w:szCs w:val="22"/>
              </w:rPr>
            </w:pPr>
            <w:r w:rsidRPr="00F87578">
              <w:rPr>
                <w:sz w:val="22"/>
                <w:szCs w:val="22"/>
              </w:rPr>
              <w:t>Se bilaga 1</w:t>
            </w:r>
          </w:p>
        </w:tc>
      </w:tr>
    </w:tbl>
    <w:p w:rsidR="00177FF8" w:rsidRPr="00F87578" w:rsidRDefault="00177FF8">
      <w:pPr>
        <w:rPr>
          <w:sz w:val="22"/>
          <w:szCs w:val="22"/>
        </w:rPr>
      </w:pPr>
    </w:p>
    <w:p w:rsidR="00177FF8" w:rsidRPr="00F87578" w:rsidRDefault="00177FF8">
      <w:pPr>
        <w:tabs>
          <w:tab w:val="left" w:pos="1701"/>
        </w:tabs>
        <w:rPr>
          <w:snapToGrid w:val="0"/>
          <w:color w:val="000000"/>
          <w:sz w:val="22"/>
          <w:szCs w:val="22"/>
        </w:rPr>
      </w:pPr>
    </w:p>
    <w:p w:rsidR="00177FF8" w:rsidRPr="00F87578"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F87578" w:rsidTr="002241EF">
        <w:tc>
          <w:tcPr>
            <w:tcW w:w="567" w:type="dxa"/>
          </w:tcPr>
          <w:p w:rsidR="00177FF8" w:rsidRPr="00F87578" w:rsidRDefault="00177FF8">
            <w:pPr>
              <w:tabs>
                <w:tab w:val="left" w:pos="1701"/>
              </w:tabs>
              <w:rPr>
                <w:b/>
                <w:snapToGrid w:val="0"/>
                <w:sz w:val="22"/>
                <w:szCs w:val="22"/>
              </w:rPr>
            </w:pPr>
            <w:r w:rsidRPr="00F87578">
              <w:rPr>
                <w:b/>
                <w:snapToGrid w:val="0"/>
                <w:sz w:val="22"/>
                <w:szCs w:val="22"/>
              </w:rPr>
              <w:t>§ 1</w:t>
            </w:r>
          </w:p>
        </w:tc>
        <w:tc>
          <w:tcPr>
            <w:tcW w:w="6946" w:type="dxa"/>
            <w:gridSpan w:val="2"/>
          </w:tcPr>
          <w:p w:rsidR="00993254" w:rsidRPr="00F87578" w:rsidRDefault="00073D84" w:rsidP="00073D84">
            <w:pPr>
              <w:rPr>
                <w:rFonts w:eastAsiaTheme="minorHAnsi"/>
                <w:b/>
                <w:bCs/>
                <w:color w:val="000000"/>
                <w:sz w:val="22"/>
                <w:szCs w:val="22"/>
                <w:lang w:eastAsia="en-US"/>
              </w:rPr>
            </w:pPr>
            <w:r w:rsidRPr="00F87578">
              <w:rPr>
                <w:rFonts w:eastAsiaTheme="minorHAnsi"/>
                <w:b/>
                <w:bCs/>
                <w:color w:val="000000"/>
                <w:sz w:val="22"/>
                <w:szCs w:val="22"/>
                <w:lang w:eastAsia="en-US"/>
              </w:rPr>
              <w:t>Kommissionens meddelande Hållbara kretslopp för kol</w:t>
            </w:r>
          </w:p>
          <w:p w:rsidR="0067328E" w:rsidRPr="00F87578" w:rsidRDefault="0067328E" w:rsidP="0067328E">
            <w:pPr>
              <w:rPr>
                <w:b/>
                <w:bCs/>
                <w:color w:val="000000"/>
                <w:sz w:val="22"/>
                <w:szCs w:val="22"/>
              </w:rPr>
            </w:pPr>
          </w:p>
          <w:p w:rsidR="0067328E" w:rsidRPr="00F87578" w:rsidRDefault="0067328E" w:rsidP="0067328E">
            <w:pPr>
              <w:rPr>
                <w:bCs/>
                <w:color w:val="000000"/>
                <w:sz w:val="22"/>
                <w:szCs w:val="22"/>
              </w:rPr>
            </w:pPr>
            <w:r w:rsidRPr="00F87578">
              <w:rPr>
                <w:snapToGrid w:val="0"/>
                <w:sz w:val="22"/>
                <w:szCs w:val="22"/>
              </w:rPr>
              <w:t xml:space="preserve">Utskottet överlade med </w:t>
            </w:r>
            <w:r w:rsidRPr="00F87578">
              <w:rPr>
                <w:rFonts w:eastAsiaTheme="minorHAnsi"/>
                <w:color w:val="000000"/>
                <w:sz w:val="22"/>
                <w:szCs w:val="22"/>
                <w:lang w:eastAsia="en-US"/>
              </w:rPr>
              <w:t>klimat- och miljöminister Annika Strandhäll, Miljödepartementet</w:t>
            </w:r>
            <w:r w:rsidR="00D4269D">
              <w:rPr>
                <w:rFonts w:eastAsiaTheme="minorHAnsi"/>
                <w:color w:val="000000"/>
                <w:sz w:val="22"/>
                <w:szCs w:val="22"/>
                <w:lang w:eastAsia="en-US"/>
              </w:rPr>
              <w:t>,</w:t>
            </w:r>
            <w:r w:rsidRPr="00F87578">
              <w:rPr>
                <w:bCs/>
                <w:color w:val="000000"/>
                <w:sz w:val="22"/>
                <w:szCs w:val="22"/>
              </w:rPr>
              <w:t xml:space="preserve"> om </w:t>
            </w:r>
          </w:p>
          <w:p w:rsidR="0067328E" w:rsidRPr="00F87578" w:rsidRDefault="0067328E" w:rsidP="0067328E">
            <w:pPr>
              <w:rPr>
                <w:b/>
                <w:snapToGrid w:val="0"/>
                <w:sz w:val="22"/>
                <w:szCs w:val="22"/>
              </w:rPr>
            </w:pPr>
          </w:p>
          <w:p w:rsidR="0067328E" w:rsidRPr="00F87578" w:rsidRDefault="0067328E" w:rsidP="0067328E">
            <w:pPr>
              <w:rPr>
                <w:bCs/>
                <w:color w:val="000000"/>
                <w:sz w:val="22"/>
                <w:szCs w:val="22"/>
              </w:rPr>
            </w:pPr>
            <w:r w:rsidRPr="00F87578">
              <w:rPr>
                <w:bCs/>
                <w:sz w:val="22"/>
                <w:szCs w:val="22"/>
              </w:rPr>
              <w:t>kommissionens meddelande Hållbara kretslopp för kol. Underlaget utgjordes av en den 17 februari 2022 översänd överläggningspromemoria, dnr 2021/22:1090.</w:t>
            </w:r>
          </w:p>
          <w:p w:rsidR="0067328E" w:rsidRPr="00F87578" w:rsidRDefault="0067328E" w:rsidP="0067328E">
            <w:pPr>
              <w:rPr>
                <w:bCs/>
                <w:sz w:val="22"/>
                <w:szCs w:val="22"/>
              </w:rPr>
            </w:pPr>
          </w:p>
          <w:p w:rsidR="0067328E" w:rsidRPr="00F87578" w:rsidRDefault="0067328E" w:rsidP="0067328E">
            <w:pPr>
              <w:widowControl/>
              <w:autoSpaceDE w:val="0"/>
              <w:autoSpaceDN w:val="0"/>
              <w:adjustRightInd w:val="0"/>
              <w:rPr>
                <w:bCs/>
                <w:color w:val="000000"/>
                <w:sz w:val="22"/>
                <w:szCs w:val="22"/>
              </w:rPr>
            </w:pPr>
            <w:r w:rsidRPr="00F87578">
              <w:rPr>
                <w:bCs/>
                <w:color w:val="000000"/>
                <w:sz w:val="22"/>
                <w:szCs w:val="22"/>
              </w:rPr>
              <w:t>Klimat- och miljöministern redogjorde för regeringens ståndpunkt (bilaga 2).</w:t>
            </w:r>
          </w:p>
          <w:p w:rsidR="0067328E" w:rsidRPr="00F87578" w:rsidRDefault="0067328E" w:rsidP="0067328E">
            <w:pPr>
              <w:widowControl/>
              <w:autoSpaceDE w:val="0"/>
              <w:autoSpaceDN w:val="0"/>
              <w:adjustRightInd w:val="0"/>
              <w:rPr>
                <w:bCs/>
                <w:color w:val="000000"/>
                <w:sz w:val="22"/>
                <w:szCs w:val="22"/>
              </w:rPr>
            </w:pPr>
          </w:p>
          <w:p w:rsidR="0067328E" w:rsidRPr="00F87578" w:rsidRDefault="0067328E" w:rsidP="0067328E">
            <w:pPr>
              <w:widowControl/>
              <w:autoSpaceDE w:val="0"/>
              <w:autoSpaceDN w:val="0"/>
              <w:adjustRightInd w:val="0"/>
              <w:rPr>
                <w:bCs/>
                <w:color w:val="000000"/>
                <w:sz w:val="22"/>
                <w:szCs w:val="22"/>
              </w:rPr>
            </w:pPr>
            <w:r w:rsidRPr="00F87578">
              <w:rPr>
                <w:bCs/>
                <w:color w:val="000000"/>
                <w:sz w:val="22"/>
                <w:szCs w:val="22"/>
              </w:rPr>
              <w:t xml:space="preserve">Överläggningen motiverade klimat- och miljöministern att göra följande tillägg till regeringens ståndpunkt efter femte stycket, fjärde meningen: </w:t>
            </w:r>
          </w:p>
          <w:p w:rsidR="0067328E" w:rsidRPr="00F87578" w:rsidRDefault="0067328E" w:rsidP="0067328E">
            <w:pPr>
              <w:widowControl/>
              <w:autoSpaceDE w:val="0"/>
              <w:autoSpaceDN w:val="0"/>
              <w:adjustRightInd w:val="0"/>
              <w:rPr>
                <w:bCs/>
                <w:color w:val="000000"/>
                <w:sz w:val="22"/>
                <w:szCs w:val="22"/>
              </w:rPr>
            </w:pPr>
            <w:r w:rsidRPr="00F87578">
              <w:rPr>
                <w:bCs/>
                <w:color w:val="000000"/>
                <w:sz w:val="22"/>
                <w:szCs w:val="22"/>
              </w:rPr>
              <w:t xml:space="preserve">  </w:t>
            </w:r>
          </w:p>
          <w:p w:rsidR="0067328E" w:rsidRPr="00F87578" w:rsidRDefault="0067328E" w:rsidP="0067328E">
            <w:pPr>
              <w:widowControl/>
              <w:autoSpaceDE w:val="0"/>
              <w:autoSpaceDN w:val="0"/>
              <w:adjustRightInd w:val="0"/>
              <w:ind w:left="360"/>
              <w:rPr>
                <w:bCs/>
                <w:color w:val="000000"/>
                <w:sz w:val="22"/>
                <w:szCs w:val="22"/>
              </w:rPr>
            </w:pPr>
            <w:r w:rsidRPr="00F87578">
              <w:rPr>
                <w:bCs/>
                <w:i/>
                <w:color w:val="000000"/>
                <w:sz w:val="22"/>
                <w:szCs w:val="22"/>
              </w:rPr>
              <w:t>Regeringen vill se en analys av hur förslagen inom LULUCF om klimatneutralitet för de gröna sektorerna på EU-nivå påverkar ambitionen att skapa en marknad för kolinlagringskrediter.</w:t>
            </w:r>
          </w:p>
          <w:p w:rsidR="0067328E" w:rsidRPr="00F87578" w:rsidRDefault="0067328E" w:rsidP="0067328E">
            <w:pPr>
              <w:rPr>
                <w:snapToGrid w:val="0"/>
                <w:sz w:val="22"/>
                <w:szCs w:val="22"/>
                <w:highlight w:val="yellow"/>
              </w:rPr>
            </w:pPr>
          </w:p>
          <w:p w:rsidR="0067328E" w:rsidRPr="00F87578" w:rsidRDefault="0067328E" w:rsidP="0067328E">
            <w:pPr>
              <w:widowControl/>
              <w:autoSpaceDE w:val="0"/>
              <w:autoSpaceDN w:val="0"/>
              <w:adjustRightInd w:val="0"/>
              <w:rPr>
                <w:sz w:val="22"/>
                <w:szCs w:val="22"/>
              </w:rPr>
            </w:pPr>
            <w:r w:rsidRPr="00F87578">
              <w:rPr>
                <w:sz w:val="22"/>
                <w:szCs w:val="22"/>
              </w:rPr>
              <w:t>Ordförande konstaterade att det fanns stöd för regeringens ståndpunkt.</w:t>
            </w:r>
          </w:p>
          <w:p w:rsidR="0067328E" w:rsidRPr="00F87578" w:rsidRDefault="0067328E" w:rsidP="0067328E">
            <w:pPr>
              <w:rPr>
                <w:snapToGrid w:val="0"/>
                <w:sz w:val="22"/>
                <w:szCs w:val="22"/>
              </w:rPr>
            </w:pPr>
          </w:p>
          <w:p w:rsidR="0067328E" w:rsidRPr="00F87578" w:rsidRDefault="0067328E" w:rsidP="0067328E">
            <w:pPr>
              <w:rPr>
                <w:snapToGrid w:val="0"/>
                <w:sz w:val="22"/>
                <w:szCs w:val="22"/>
              </w:rPr>
            </w:pPr>
            <w:r w:rsidRPr="00F87578">
              <w:rPr>
                <w:snapToGrid w:val="0"/>
                <w:sz w:val="22"/>
                <w:szCs w:val="22"/>
              </w:rPr>
              <w:t>C-, L- och MP-ledamöterna anmälde avvikande ståndpunkter (bilaga 3).</w:t>
            </w:r>
          </w:p>
          <w:p w:rsidR="0067328E" w:rsidRPr="00F87578" w:rsidRDefault="0067328E" w:rsidP="0067328E">
            <w:pPr>
              <w:rPr>
                <w:rFonts w:eastAsia="Calibri"/>
                <w:bCs/>
                <w:color w:val="000000"/>
                <w:sz w:val="22"/>
                <w:szCs w:val="22"/>
                <w:lang w:eastAsia="en-US"/>
              </w:rPr>
            </w:pPr>
          </w:p>
          <w:p w:rsidR="0067328E" w:rsidRPr="00F87578" w:rsidRDefault="0067328E" w:rsidP="0067328E">
            <w:pPr>
              <w:rPr>
                <w:snapToGrid w:val="0"/>
                <w:sz w:val="22"/>
                <w:szCs w:val="22"/>
              </w:rPr>
            </w:pPr>
            <w:r w:rsidRPr="00F87578">
              <w:rPr>
                <w:snapToGrid w:val="0"/>
                <w:sz w:val="22"/>
                <w:szCs w:val="22"/>
              </w:rPr>
              <w:t>Denna paragraf förklarades omedelbart justerad.</w:t>
            </w:r>
          </w:p>
          <w:p w:rsidR="00073D84" w:rsidRPr="00F87578" w:rsidRDefault="00073D84" w:rsidP="00073D84">
            <w:pPr>
              <w:rPr>
                <w:snapToGrid w:val="0"/>
                <w:sz w:val="22"/>
                <w:szCs w:val="22"/>
              </w:rPr>
            </w:pPr>
          </w:p>
        </w:tc>
      </w:tr>
      <w:tr w:rsidR="00073D84" w:rsidRPr="00F87578" w:rsidTr="002241EF">
        <w:tc>
          <w:tcPr>
            <w:tcW w:w="567" w:type="dxa"/>
          </w:tcPr>
          <w:p w:rsidR="00073D84" w:rsidRPr="00F87578" w:rsidRDefault="00073D84">
            <w:pPr>
              <w:tabs>
                <w:tab w:val="left" w:pos="1701"/>
              </w:tabs>
              <w:rPr>
                <w:b/>
                <w:snapToGrid w:val="0"/>
                <w:sz w:val="22"/>
                <w:szCs w:val="22"/>
              </w:rPr>
            </w:pPr>
            <w:r w:rsidRPr="00F87578">
              <w:rPr>
                <w:b/>
                <w:snapToGrid w:val="0"/>
                <w:sz w:val="22"/>
                <w:szCs w:val="22"/>
              </w:rPr>
              <w:t>§ 2</w:t>
            </w:r>
          </w:p>
        </w:tc>
        <w:tc>
          <w:tcPr>
            <w:tcW w:w="6946" w:type="dxa"/>
            <w:gridSpan w:val="2"/>
          </w:tcPr>
          <w:p w:rsidR="00073D84" w:rsidRPr="00F87578" w:rsidRDefault="001E4BA9" w:rsidP="00073D84">
            <w:pPr>
              <w:rPr>
                <w:rFonts w:eastAsiaTheme="minorHAnsi"/>
                <w:b/>
                <w:bCs/>
                <w:color w:val="000000"/>
                <w:sz w:val="22"/>
                <w:szCs w:val="22"/>
                <w:lang w:eastAsia="en-US"/>
              </w:rPr>
            </w:pPr>
            <w:r w:rsidRPr="00F87578">
              <w:rPr>
                <w:rFonts w:eastAsiaTheme="minorHAnsi"/>
                <w:b/>
                <w:bCs/>
                <w:color w:val="000000"/>
                <w:sz w:val="22"/>
                <w:szCs w:val="22"/>
                <w:lang w:eastAsia="en-US"/>
              </w:rPr>
              <w:t>Sveriges ordförandeskap i EU 2023</w:t>
            </w:r>
          </w:p>
          <w:p w:rsidR="00A633CA" w:rsidRPr="00F87578" w:rsidRDefault="00A633CA" w:rsidP="00073D84">
            <w:pPr>
              <w:rPr>
                <w:rFonts w:eastAsiaTheme="minorHAnsi"/>
                <w:b/>
                <w:bCs/>
                <w:color w:val="000000"/>
                <w:sz w:val="22"/>
                <w:szCs w:val="22"/>
                <w:lang w:eastAsia="en-US"/>
              </w:rPr>
            </w:pPr>
          </w:p>
          <w:p w:rsidR="00A633CA" w:rsidRPr="00F87578" w:rsidRDefault="00A633CA" w:rsidP="00073D84">
            <w:pPr>
              <w:rPr>
                <w:rFonts w:eastAsiaTheme="minorHAnsi"/>
                <w:b/>
                <w:bCs/>
                <w:color w:val="000000"/>
                <w:sz w:val="22"/>
                <w:szCs w:val="22"/>
                <w:lang w:eastAsia="en-US"/>
              </w:rPr>
            </w:pPr>
            <w:r w:rsidRPr="00F87578">
              <w:rPr>
                <w:snapToGrid w:val="0"/>
                <w:sz w:val="22"/>
                <w:szCs w:val="22"/>
              </w:rPr>
              <w:t xml:space="preserve">Klimat- och miljöminister Annika Strandhäll </w:t>
            </w:r>
            <w:r w:rsidR="001E4BA9" w:rsidRPr="00F87578">
              <w:rPr>
                <w:snapToGrid w:val="0"/>
                <w:sz w:val="22"/>
                <w:szCs w:val="22"/>
              </w:rPr>
              <w:t xml:space="preserve">lämnade information om arbetet inför Sveriges ordförandeskap i EU 2023. </w:t>
            </w:r>
          </w:p>
          <w:p w:rsidR="00073D84" w:rsidRPr="00F87578" w:rsidRDefault="00073D84" w:rsidP="00073D84">
            <w:pPr>
              <w:rPr>
                <w:rFonts w:eastAsiaTheme="minorHAnsi"/>
                <w:b/>
                <w:bCs/>
                <w:color w:val="000000"/>
                <w:sz w:val="22"/>
                <w:szCs w:val="22"/>
                <w:lang w:eastAsia="en-US"/>
              </w:rPr>
            </w:pPr>
          </w:p>
        </w:tc>
      </w:tr>
      <w:tr w:rsidR="00073D84" w:rsidRPr="00F87578" w:rsidTr="002241EF">
        <w:tc>
          <w:tcPr>
            <w:tcW w:w="567" w:type="dxa"/>
          </w:tcPr>
          <w:p w:rsidR="00073D84" w:rsidRPr="00F87578" w:rsidRDefault="00073D84">
            <w:pPr>
              <w:tabs>
                <w:tab w:val="left" w:pos="1701"/>
              </w:tabs>
              <w:rPr>
                <w:b/>
                <w:snapToGrid w:val="0"/>
                <w:sz w:val="22"/>
                <w:szCs w:val="22"/>
              </w:rPr>
            </w:pPr>
            <w:r w:rsidRPr="00F87578">
              <w:rPr>
                <w:b/>
                <w:snapToGrid w:val="0"/>
                <w:sz w:val="22"/>
                <w:szCs w:val="22"/>
              </w:rPr>
              <w:t>§ 3</w:t>
            </w:r>
          </w:p>
        </w:tc>
        <w:tc>
          <w:tcPr>
            <w:tcW w:w="6946" w:type="dxa"/>
            <w:gridSpan w:val="2"/>
          </w:tcPr>
          <w:p w:rsidR="00073D84" w:rsidRPr="00F87578" w:rsidRDefault="00073D84" w:rsidP="00073D84">
            <w:pPr>
              <w:rPr>
                <w:rFonts w:eastAsiaTheme="minorHAnsi"/>
                <w:b/>
                <w:bCs/>
                <w:color w:val="000000"/>
                <w:sz w:val="22"/>
                <w:szCs w:val="22"/>
                <w:lang w:eastAsia="en-US"/>
              </w:rPr>
            </w:pPr>
            <w:r w:rsidRPr="00F87578">
              <w:rPr>
                <w:rFonts w:eastAsiaTheme="minorHAnsi"/>
                <w:b/>
                <w:bCs/>
                <w:color w:val="000000"/>
                <w:sz w:val="22"/>
                <w:szCs w:val="22"/>
                <w:lang w:eastAsia="en-US"/>
              </w:rPr>
              <w:t>Mottagande av motioner</w:t>
            </w:r>
          </w:p>
          <w:p w:rsidR="00CA234B" w:rsidRPr="00F87578" w:rsidRDefault="00CA234B" w:rsidP="00073D84">
            <w:pPr>
              <w:rPr>
                <w:rFonts w:eastAsiaTheme="minorHAnsi"/>
                <w:b/>
                <w:bCs/>
                <w:color w:val="000000"/>
                <w:sz w:val="22"/>
                <w:szCs w:val="22"/>
                <w:lang w:eastAsia="en-US"/>
              </w:rPr>
            </w:pPr>
          </w:p>
          <w:p w:rsidR="00CA234B" w:rsidRPr="00F87578" w:rsidRDefault="00CA234B" w:rsidP="00CA234B">
            <w:pPr>
              <w:tabs>
                <w:tab w:val="left" w:pos="1701"/>
              </w:tabs>
              <w:rPr>
                <w:snapToGrid w:val="0"/>
                <w:sz w:val="22"/>
                <w:szCs w:val="22"/>
              </w:rPr>
            </w:pPr>
            <w:r w:rsidRPr="00F87578">
              <w:rPr>
                <w:snapToGrid w:val="0"/>
                <w:sz w:val="22"/>
                <w:szCs w:val="22"/>
              </w:rPr>
              <w:t xml:space="preserve">Utskottet beslutade att ta emot motion: 2021/22:60 yrkande 7, 8 och 9 av Birger Lahti m.fl. (V), 2021/22:2416 av Ida Drougge (M), 2021/22:2456 yrkande 8 och 10 av Mats Nordberg m.fl. (SD), 2021/22:2727 av Sten Bergheden (M), 2021/22:3199 yrkande 20 av Birger Lahti m.fl. (V), </w:t>
            </w:r>
            <w:r w:rsidRPr="00F87578">
              <w:rPr>
                <w:snapToGrid w:val="0"/>
                <w:sz w:val="22"/>
                <w:szCs w:val="22"/>
              </w:rPr>
              <w:br/>
              <w:t xml:space="preserve">2021/22:3279 yrkande 27 av Nooshi Dadgostar m.fl. (V), 2021/22:3432 yrkande 13 och 14 av Jessica Rosencrantz m.fl. (M), 2021/22:3880 yrkande 84 av Magnus Oscarsson m.fl. (KD) </w:t>
            </w:r>
            <w:r w:rsidRPr="00F87578">
              <w:rPr>
                <w:color w:val="000000"/>
                <w:sz w:val="22"/>
                <w:szCs w:val="22"/>
              </w:rPr>
              <w:t>från näringsutskottet</w:t>
            </w:r>
            <w:r w:rsidRPr="00F87578">
              <w:rPr>
                <w:snapToGrid w:val="0"/>
                <w:sz w:val="22"/>
                <w:szCs w:val="22"/>
              </w:rPr>
              <w:t xml:space="preserve"> för </w:t>
            </w:r>
            <w:bookmarkStart w:id="0" w:name="_Hlk64020534"/>
            <w:r w:rsidRPr="00F87578">
              <w:rPr>
                <w:snapToGrid w:val="0"/>
                <w:sz w:val="22"/>
                <w:szCs w:val="22"/>
              </w:rPr>
              <w:t xml:space="preserve">behandling i betänkandet </w:t>
            </w:r>
            <w:bookmarkEnd w:id="0"/>
            <w:r w:rsidRPr="00F87578">
              <w:rPr>
                <w:rFonts w:eastAsiaTheme="minorHAnsi"/>
                <w:bCs/>
                <w:color w:val="000000"/>
                <w:sz w:val="22"/>
                <w:szCs w:val="22"/>
                <w:lang w:eastAsia="en-US"/>
              </w:rPr>
              <w:t xml:space="preserve">Stärkt äganderätt, flexibla skyddsformer och ökade incitament för naturvården i skogen med frivillighet som grund (MJU18).              </w:t>
            </w:r>
            <w:r w:rsidRPr="00F87578">
              <w:rPr>
                <w:snapToGrid w:val="0"/>
                <w:sz w:val="22"/>
                <w:szCs w:val="22"/>
              </w:rPr>
              <w:t xml:space="preserve">             </w:t>
            </w:r>
          </w:p>
          <w:p w:rsidR="00CA234B" w:rsidRPr="00F87578" w:rsidRDefault="00CA234B" w:rsidP="00CA234B">
            <w:pPr>
              <w:tabs>
                <w:tab w:val="left" w:pos="1701"/>
              </w:tabs>
              <w:rPr>
                <w:color w:val="000000"/>
                <w:sz w:val="22"/>
                <w:szCs w:val="22"/>
              </w:rPr>
            </w:pPr>
          </w:p>
          <w:p w:rsidR="00CA234B" w:rsidRPr="00F87578" w:rsidRDefault="00CA234B" w:rsidP="00CA234B">
            <w:pPr>
              <w:rPr>
                <w:bCs/>
                <w:color w:val="000000"/>
                <w:sz w:val="22"/>
                <w:szCs w:val="22"/>
              </w:rPr>
            </w:pPr>
            <w:r w:rsidRPr="00F87578">
              <w:rPr>
                <w:bCs/>
                <w:color w:val="000000"/>
                <w:sz w:val="22"/>
                <w:szCs w:val="22"/>
              </w:rPr>
              <w:t>Denna paragraf förklarades omedelbart justerad.</w:t>
            </w:r>
          </w:p>
          <w:p w:rsidR="003A2B3F" w:rsidRPr="00F87578" w:rsidRDefault="003A2B3F" w:rsidP="00CA234B">
            <w:pPr>
              <w:rPr>
                <w:bCs/>
                <w:color w:val="000000"/>
                <w:sz w:val="22"/>
                <w:szCs w:val="22"/>
              </w:rPr>
            </w:pPr>
          </w:p>
          <w:p w:rsidR="003A2B3F" w:rsidRPr="00F87578" w:rsidRDefault="003A2B3F" w:rsidP="00CA234B">
            <w:pPr>
              <w:rPr>
                <w:bCs/>
                <w:color w:val="000000"/>
                <w:sz w:val="22"/>
                <w:szCs w:val="22"/>
              </w:rPr>
            </w:pPr>
          </w:p>
          <w:p w:rsidR="003A2B3F" w:rsidRPr="00F87578" w:rsidRDefault="003A2B3F" w:rsidP="00CA234B">
            <w:pPr>
              <w:rPr>
                <w:bCs/>
                <w:color w:val="000000"/>
                <w:sz w:val="22"/>
                <w:szCs w:val="22"/>
              </w:rPr>
            </w:pPr>
          </w:p>
          <w:p w:rsidR="003A2B3F" w:rsidRPr="00F87578" w:rsidRDefault="003A2B3F" w:rsidP="00CA234B">
            <w:pPr>
              <w:rPr>
                <w:bCs/>
                <w:color w:val="000000"/>
                <w:sz w:val="22"/>
                <w:szCs w:val="22"/>
              </w:rPr>
            </w:pPr>
          </w:p>
          <w:p w:rsidR="003A2B3F" w:rsidRPr="00F87578" w:rsidRDefault="003A2B3F" w:rsidP="00CA234B">
            <w:pPr>
              <w:rPr>
                <w:bCs/>
                <w:color w:val="000000"/>
                <w:sz w:val="22"/>
                <w:szCs w:val="22"/>
              </w:rPr>
            </w:pPr>
          </w:p>
          <w:p w:rsidR="00DA5DCC" w:rsidRPr="00F87578" w:rsidRDefault="00DA5DCC" w:rsidP="00073D84">
            <w:pPr>
              <w:rPr>
                <w:rFonts w:eastAsiaTheme="minorHAnsi"/>
                <w:b/>
                <w:bCs/>
                <w:color w:val="000000"/>
                <w:sz w:val="22"/>
                <w:szCs w:val="22"/>
                <w:lang w:eastAsia="en-US"/>
              </w:rPr>
            </w:pPr>
          </w:p>
        </w:tc>
      </w:tr>
      <w:tr w:rsidR="004D5AFA" w:rsidRPr="00F87578" w:rsidTr="00AC2001">
        <w:tc>
          <w:tcPr>
            <w:tcW w:w="567" w:type="dxa"/>
          </w:tcPr>
          <w:p w:rsidR="004D5AFA" w:rsidRPr="00F87578" w:rsidRDefault="004D5AFA" w:rsidP="004D5AFA">
            <w:pPr>
              <w:tabs>
                <w:tab w:val="left" w:pos="1701"/>
              </w:tabs>
              <w:rPr>
                <w:b/>
                <w:snapToGrid w:val="0"/>
                <w:sz w:val="22"/>
                <w:szCs w:val="22"/>
              </w:rPr>
            </w:pPr>
            <w:r w:rsidRPr="00F87578">
              <w:rPr>
                <w:b/>
                <w:snapToGrid w:val="0"/>
                <w:sz w:val="22"/>
                <w:szCs w:val="22"/>
              </w:rPr>
              <w:lastRenderedPageBreak/>
              <w:t xml:space="preserve">§ </w:t>
            </w:r>
            <w:r w:rsidR="00073D84" w:rsidRPr="00F87578">
              <w:rPr>
                <w:b/>
                <w:snapToGrid w:val="0"/>
                <w:sz w:val="22"/>
                <w:szCs w:val="22"/>
              </w:rPr>
              <w:t>4</w:t>
            </w:r>
          </w:p>
        </w:tc>
        <w:tc>
          <w:tcPr>
            <w:tcW w:w="6946" w:type="dxa"/>
            <w:gridSpan w:val="2"/>
          </w:tcPr>
          <w:p w:rsidR="00993254" w:rsidRPr="00F87578" w:rsidRDefault="00993254" w:rsidP="00993254">
            <w:pPr>
              <w:tabs>
                <w:tab w:val="left" w:pos="1701"/>
              </w:tabs>
              <w:rPr>
                <w:rFonts w:eastAsiaTheme="minorHAnsi"/>
                <w:b/>
                <w:bCs/>
                <w:color w:val="000000"/>
                <w:sz w:val="22"/>
                <w:szCs w:val="22"/>
                <w:lang w:eastAsia="en-US"/>
              </w:rPr>
            </w:pPr>
            <w:r w:rsidRPr="00F87578">
              <w:rPr>
                <w:rFonts w:eastAsiaTheme="minorHAnsi"/>
                <w:b/>
                <w:bCs/>
                <w:color w:val="000000"/>
                <w:sz w:val="22"/>
                <w:szCs w:val="22"/>
                <w:lang w:eastAsia="en-US"/>
              </w:rPr>
              <w:t xml:space="preserve">Stärkt äganderätt, flexibla skyddsformer och ökade incitament för naturvården i skogen med frivillighet som grund (MJU18)  </w:t>
            </w:r>
          </w:p>
          <w:p w:rsidR="00993254" w:rsidRPr="00F87578" w:rsidRDefault="00993254" w:rsidP="00993254">
            <w:pPr>
              <w:tabs>
                <w:tab w:val="left" w:pos="1701"/>
              </w:tabs>
              <w:rPr>
                <w:rFonts w:eastAsiaTheme="minorHAnsi"/>
                <w:b/>
                <w:bCs/>
                <w:color w:val="000000"/>
                <w:sz w:val="22"/>
                <w:szCs w:val="22"/>
                <w:lang w:eastAsia="en-US"/>
              </w:rPr>
            </w:pPr>
          </w:p>
          <w:p w:rsidR="00993254" w:rsidRPr="00F87578" w:rsidRDefault="00993254" w:rsidP="00993254">
            <w:pPr>
              <w:rPr>
                <w:snapToGrid w:val="0"/>
                <w:sz w:val="22"/>
                <w:szCs w:val="22"/>
              </w:rPr>
            </w:pPr>
            <w:r w:rsidRPr="00F87578">
              <w:rPr>
                <w:snapToGrid w:val="0"/>
                <w:sz w:val="22"/>
                <w:szCs w:val="22"/>
              </w:rPr>
              <w:t>Utskottet fortsatte beredningen av prop. 2021/22:58 och motioner.</w:t>
            </w:r>
          </w:p>
          <w:p w:rsidR="00993254" w:rsidRPr="00F87578" w:rsidRDefault="00993254" w:rsidP="00993254">
            <w:pPr>
              <w:rPr>
                <w:rFonts w:eastAsiaTheme="minorHAnsi"/>
                <w:b/>
                <w:bCs/>
                <w:color w:val="000000"/>
                <w:sz w:val="22"/>
                <w:szCs w:val="22"/>
                <w:lang w:eastAsia="en-US"/>
              </w:rPr>
            </w:pPr>
          </w:p>
          <w:p w:rsidR="00993254" w:rsidRPr="00F87578" w:rsidRDefault="00993254" w:rsidP="00993254">
            <w:pPr>
              <w:rPr>
                <w:snapToGrid w:val="0"/>
                <w:sz w:val="22"/>
                <w:szCs w:val="22"/>
              </w:rPr>
            </w:pPr>
            <w:r w:rsidRPr="00F87578">
              <w:rPr>
                <w:snapToGrid w:val="0"/>
                <w:sz w:val="22"/>
                <w:szCs w:val="22"/>
              </w:rPr>
              <w:t>Ärendet bordlades.</w:t>
            </w:r>
          </w:p>
          <w:p w:rsidR="004D5AFA" w:rsidRPr="00F87578" w:rsidRDefault="004D5AFA" w:rsidP="00993254">
            <w:pPr>
              <w:tabs>
                <w:tab w:val="left" w:pos="1701"/>
              </w:tabs>
              <w:rPr>
                <w:b/>
                <w:snapToGrid w:val="0"/>
                <w:sz w:val="22"/>
                <w:szCs w:val="22"/>
              </w:rPr>
            </w:pPr>
          </w:p>
        </w:tc>
      </w:tr>
      <w:tr w:rsidR="004D5AFA" w:rsidRPr="00F87578" w:rsidTr="00AC2001">
        <w:tc>
          <w:tcPr>
            <w:tcW w:w="567" w:type="dxa"/>
          </w:tcPr>
          <w:p w:rsidR="004D5AFA" w:rsidRPr="00F87578" w:rsidRDefault="004D5AFA" w:rsidP="004D5AFA">
            <w:pPr>
              <w:tabs>
                <w:tab w:val="left" w:pos="1701"/>
              </w:tabs>
              <w:rPr>
                <w:b/>
                <w:snapToGrid w:val="0"/>
                <w:sz w:val="22"/>
                <w:szCs w:val="22"/>
              </w:rPr>
            </w:pPr>
            <w:r w:rsidRPr="00F87578">
              <w:rPr>
                <w:b/>
                <w:snapToGrid w:val="0"/>
                <w:sz w:val="22"/>
                <w:szCs w:val="22"/>
              </w:rPr>
              <w:t xml:space="preserve">§ </w:t>
            </w:r>
            <w:r w:rsidR="00073D84" w:rsidRPr="00F87578">
              <w:rPr>
                <w:b/>
                <w:snapToGrid w:val="0"/>
                <w:sz w:val="22"/>
                <w:szCs w:val="22"/>
              </w:rPr>
              <w:t>5</w:t>
            </w:r>
            <w:r w:rsidRPr="00F87578">
              <w:rPr>
                <w:b/>
                <w:snapToGrid w:val="0"/>
                <w:sz w:val="22"/>
                <w:szCs w:val="22"/>
              </w:rPr>
              <w:t xml:space="preserve"> </w:t>
            </w:r>
          </w:p>
        </w:tc>
        <w:tc>
          <w:tcPr>
            <w:tcW w:w="6946" w:type="dxa"/>
            <w:gridSpan w:val="2"/>
          </w:tcPr>
          <w:p w:rsidR="006B0B04" w:rsidRPr="00F87578" w:rsidRDefault="006B0B04" w:rsidP="00993254">
            <w:pPr>
              <w:rPr>
                <w:rFonts w:eastAsiaTheme="minorHAnsi"/>
                <w:b/>
                <w:bCs/>
                <w:color w:val="000000"/>
                <w:sz w:val="22"/>
                <w:szCs w:val="22"/>
                <w:lang w:eastAsia="en-US"/>
              </w:rPr>
            </w:pPr>
            <w:r w:rsidRPr="00F87578">
              <w:rPr>
                <w:rFonts w:eastAsiaTheme="minorHAnsi"/>
                <w:b/>
                <w:bCs/>
                <w:color w:val="000000"/>
                <w:sz w:val="22"/>
                <w:szCs w:val="22"/>
                <w:lang w:eastAsia="en-US"/>
              </w:rPr>
              <w:t>Fiskeripolitik (MJU17)</w:t>
            </w:r>
          </w:p>
          <w:p w:rsidR="00993254" w:rsidRPr="00F87578" w:rsidRDefault="00993254" w:rsidP="00993254">
            <w:pPr>
              <w:rPr>
                <w:rFonts w:eastAsiaTheme="minorHAnsi"/>
                <w:b/>
                <w:bCs/>
                <w:color w:val="000000"/>
                <w:sz w:val="22"/>
                <w:szCs w:val="22"/>
                <w:lang w:eastAsia="en-US"/>
              </w:rPr>
            </w:pPr>
          </w:p>
          <w:p w:rsidR="006B0B04" w:rsidRPr="00F87578" w:rsidRDefault="006B0B04" w:rsidP="006B0B04">
            <w:pPr>
              <w:tabs>
                <w:tab w:val="left" w:pos="1701"/>
              </w:tabs>
              <w:rPr>
                <w:sz w:val="22"/>
                <w:szCs w:val="22"/>
              </w:rPr>
            </w:pPr>
            <w:r w:rsidRPr="00F87578">
              <w:rPr>
                <w:sz w:val="22"/>
                <w:szCs w:val="22"/>
              </w:rPr>
              <w:t xml:space="preserve">Utskottet fortsatte beredningen av motioner om fiskeripolitik. </w:t>
            </w:r>
          </w:p>
          <w:p w:rsidR="006B0B04" w:rsidRPr="00F87578" w:rsidRDefault="006B0B04" w:rsidP="006B0B04">
            <w:pPr>
              <w:tabs>
                <w:tab w:val="left" w:pos="1701"/>
              </w:tabs>
              <w:rPr>
                <w:sz w:val="22"/>
                <w:szCs w:val="22"/>
              </w:rPr>
            </w:pPr>
          </w:p>
          <w:p w:rsidR="006B0B04" w:rsidRPr="00F87578" w:rsidRDefault="006B0B04" w:rsidP="006B0B04">
            <w:pPr>
              <w:tabs>
                <w:tab w:val="left" w:pos="1701"/>
              </w:tabs>
              <w:rPr>
                <w:sz w:val="22"/>
                <w:szCs w:val="22"/>
              </w:rPr>
            </w:pPr>
            <w:r w:rsidRPr="00F87578">
              <w:rPr>
                <w:sz w:val="22"/>
                <w:szCs w:val="22"/>
              </w:rPr>
              <w:t>Ärendet bordlades.</w:t>
            </w:r>
          </w:p>
          <w:p w:rsidR="00993254" w:rsidRPr="00F87578" w:rsidRDefault="00993254" w:rsidP="006B0B04">
            <w:pPr>
              <w:rPr>
                <w:rFonts w:eastAsiaTheme="minorHAnsi"/>
                <w:b/>
                <w:bCs/>
                <w:color w:val="000000"/>
                <w:sz w:val="22"/>
                <w:szCs w:val="22"/>
                <w:lang w:eastAsia="en-US"/>
              </w:rPr>
            </w:pPr>
          </w:p>
        </w:tc>
      </w:tr>
      <w:tr w:rsidR="00073D84" w:rsidRPr="00F87578" w:rsidTr="00AC2001">
        <w:tc>
          <w:tcPr>
            <w:tcW w:w="567" w:type="dxa"/>
          </w:tcPr>
          <w:p w:rsidR="00073D84" w:rsidRPr="00F87578" w:rsidRDefault="00073D84" w:rsidP="004D5AFA">
            <w:pPr>
              <w:tabs>
                <w:tab w:val="left" w:pos="1701"/>
              </w:tabs>
              <w:rPr>
                <w:b/>
                <w:snapToGrid w:val="0"/>
                <w:sz w:val="22"/>
                <w:szCs w:val="22"/>
              </w:rPr>
            </w:pPr>
            <w:r w:rsidRPr="00F87578">
              <w:rPr>
                <w:b/>
                <w:snapToGrid w:val="0"/>
                <w:sz w:val="22"/>
                <w:szCs w:val="22"/>
              </w:rPr>
              <w:t>§ 6</w:t>
            </w:r>
          </w:p>
        </w:tc>
        <w:tc>
          <w:tcPr>
            <w:tcW w:w="6946" w:type="dxa"/>
            <w:gridSpan w:val="2"/>
          </w:tcPr>
          <w:p w:rsidR="00073D84" w:rsidRPr="00F87578" w:rsidRDefault="00073D84" w:rsidP="00993254">
            <w:pPr>
              <w:rPr>
                <w:rFonts w:eastAsiaTheme="minorHAnsi"/>
                <w:b/>
                <w:bCs/>
                <w:color w:val="000000"/>
                <w:sz w:val="22"/>
                <w:szCs w:val="22"/>
                <w:lang w:eastAsia="en-US"/>
              </w:rPr>
            </w:pPr>
            <w:r w:rsidRPr="00F87578">
              <w:rPr>
                <w:rFonts w:eastAsiaTheme="minorHAnsi"/>
                <w:b/>
                <w:bCs/>
                <w:color w:val="000000"/>
                <w:sz w:val="22"/>
                <w:szCs w:val="22"/>
                <w:lang w:eastAsia="en-US"/>
              </w:rPr>
              <w:t>Kommissionens förslag till förordning om utsläppande på unionens marknad och export från unionen av vissa råvaror och produkter som är förknippade med avskogning och skogsförstörelse</w:t>
            </w:r>
          </w:p>
          <w:p w:rsidR="00D51132" w:rsidRPr="00F87578" w:rsidRDefault="00D51132" w:rsidP="00993254">
            <w:pPr>
              <w:rPr>
                <w:rFonts w:eastAsiaTheme="minorHAnsi"/>
                <w:b/>
                <w:bCs/>
                <w:color w:val="000000"/>
                <w:sz w:val="22"/>
                <w:szCs w:val="22"/>
                <w:lang w:eastAsia="en-US"/>
              </w:rPr>
            </w:pPr>
          </w:p>
          <w:p w:rsidR="00D51132" w:rsidRPr="00F87578" w:rsidRDefault="00D51132" w:rsidP="00993254">
            <w:pPr>
              <w:rPr>
                <w:rFonts w:eastAsiaTheme="minorHAnsi"/>
                <w:color w:val="000000"/>
                <w:sz w:val="22"/>
                <w:szCs w:val="22"/>
                <w:lang w:eastAsia="en-US"/>
              </w:rPr>
            </w:pPr>
            <w:r w:rsidRPr="00F87578">
              <w:rPr>
                <w:rFonts w:eastAsiaTheme="minorHAnsi"/>
                <w:color w:val="000000"/>
                <w:sz w:val="22"/>
                <w:szCs w:val="22"/>
                <w:lang w:eastAsia="en-US"/>
              </w:rPr>
              <w:t xml:space="preserve">Utskottet fortsatte subsidiaritetsprövningen av COM(2021) 706. </w:t>
            </w:r>
            <w:r w:rsidRPr="00F87578">
              <w:rPr>
                <w:rFonts w:eastAsiaTheme="minorHAnsi"/>
                <w:color w:val="000000"/>
                <w:sz w:val="22"/>
                <w:szCs w:val="22"/>
                <w:lang w:eastAsia="en-US"/>
              </w:rPr>
              <w:br/>
            </w:r>
            <w:r w:rsidRPr="00F87578">
              <w:rPr>
                <w:rFonts w:eastAsiaTheme="minorHAnsi"/>
                <w:color w:val="000000"/>
                <w:sz w:val="22"/>
                <w:szCs w:val="22"/>
                <w:lang w:eastAsia="en-US"/>
              </w:rPr>
              <w:br/>
              <w:t>Ärendet bordlades.</w:t>
            </w:r>
          </w:p>
          <w:p w:rsidR="00DA5DCC" w:rsidRPr="00F87578" w:rsidRDefault="00DA5DCC" w:rsidP="00993254">
            <w:pPr>
              <w:rPr>
                <w:rFonts w:eastAsiaTheme="minorHAnsi"/>
                <w:b/>
                <w:bCs/>
                <w:color w:val="000000"/>
                <w:sz w:val="22"/>
                <w:szCs w:val="22"/>
                <w:lang w:eastAsia="en-US"/>
              </w:rPr>
            </w:pPr>
          </w:p>
        </w:tc>
      </w:tr>
      <w:tr w:rsidR="00B728C1" w:rsidRPr="00F87578" w:rsidTr="00AC2001">
        <w:tc>
          <w:tcPr>
            <w:tcW w:w="567" w:type="dxa"/>
          </w:tcPr>
          <w:p w:rsidR="00B728C1" w:rsidRPr="00F87578" w:rsidRDefault="00B728C1" w:rsidP="004D5AFA">
            <w:pPr>
              <w:tabs>
                <w:tab w:val="left" w:pos="1701"/>
              </w:tabs>
              <w:rPr>
                <w:b/>
                <w:snapToGrid w:val="0"/>
                <w:sz w:val="22"/>
                <w:szCs w:val="22"/>
              </w:rPr>
            </w:pPr>
            <w:r w:rsidRPr="00F87578">
              <w:rPr>
                <w:b/>
                <w:snapToGrid w:val="0"/>
                <w:sz w:val="22"/>
                <w:szCs w:val="22"/>
              </w:rPr>
              <w:t>§ 7</w:t>
            </w:r>
          </w:p>
        </w:tc>
        <w:tc>
          <w:tcPr>
            <w:tcW w:w="6946" w:type="dxa"/>
            <w:gridSpan w:val="2"/>
          </w:tcPr>
          <w:p w:rsidR="00B728C1" w:rsidRPr="00F87578" w:rsidRDefault="00B728C1" w:rsidP="00B728C1">
            <w:pPr>
              <w:rPr>
                <w:bCs/>
                <w:color w:val="000000"/>
                <w:sz w:val="22"/>
                <w:szCs w:val="22"/>
              </w:rPr>
            </w:pPr>
            <w:r w:rsidRPr="00F87578">
              <w:rPr>
                <w:rFonts w:eastAsiaTheme="minorHAnsi"/>
                <w:b/>
                <w:bCs/>
                <w:color w:val="000000"/>
                <w:sz w:val="22"/>
                <w:szCs w:val="22"/>
                <w:lang w:eastAsia="en-US"/>
              </w:rPr>
              <w:t>Fråga om utskottsinitiativ - Ändra artskyddslagstiftningen för att möjliggöra fortsatt skogsbruk (M)</w:t>
            </w:r>
            <w:r w:rsidRPr="00F87578">
              <w:rPr>
                <w:rFonts w:eastAsiaTheme="minorHAnsi"/>
                <w:color w:val="000000"/>
                <w:sz w:val="22"/>
                <w:szCs w:val="22"/>
                <w:lang w:eastAsia="en-US"/>
              </w:rPr>
              <w:t xml:space="preserve">    </w:t>
            </w:r>
            <w:r w:rsidRPr="00F87578">
              <w:rPr>
                <w:rFonts w:eastAsiaTheme="minorHAnsi"/>
                <w:color w:val="000000"/>
                <w:sz w:val="22"/>
                <w:szCs w:val="22"/>
                <w:lang w:eastAsia="en-US"/>
              </w:rPr>
              <w:br/>
            </w:r>
            <w:r w:rsidRPr="00F87578">
              <w:rPr>
                <w:rFonts w:eastAsiaTheme="minorHAnsi"/>
                <w:color w:val="000000"/>
                <w:sz w:val="22"/>
                <w:szCs w:val="22"/>
                <w:lang w:eastAsia="en-US"/>
              </w:rPr>
              <w:br/>
            </w:r>
            <w:r w:rsidRPr="00F87578">
              <w:rPr>
                <w:bCs/>
                <w:color w:val="000000"/>
                <w:sz w:val="22"/>
                <w:szCs w:val="22"/>
              </w:rPr>
              <w:t xml:space="preserve">Utskottet inledde behandlingen av frågan om ett initiativ om att ändra artskyddslagstiftningen för att möjliggöra fortsatt skogsbruk (M). </w:t>
            </w:r>
          </w:p>
          <w:p w:rsidR="00B728C1" w:rsidRPr="00F87578" w:rsidRDefault="00B728C1" w:rsidP="00B728C1">
            <w:pPr>
              <w:rPr>
                <w:bCs/>
                <w:color w:val="000000"/>
                <w:sz w:val="22"/>
                <w:szCs w:val="22"/>
              </w:rPr>
            </w:pPr>
          </w:p>
          <w:p w:rsidR="00DD56AB" w:rsidRPr="00F87578" w:rsidRDefault="00DD56AB" w:rsidP="00B728C1">
            <w:pPr>
              <w:rPr>
                <w:bCs/>
                <w:color w:val="000000"/>
                <w:sz w:val="22"/>
                <w:szCs w:val="22"/>
              </w:rPr>
            </w:pPr>
            <w:r w:rsidRPr="00F87578">
              <w:rPr>
                <w:bCs/>
                <w:color w:val="000000"/>
                <w:sz w:val="22"/>
                <w:szCs w:val="22"/>
              </w:rPr>
              <w:t xml:space="preserve">Utskottet beslutade att påbörja ett beredningsarbete i syfte att kunna ta ett utskottsinitiativ i frågan. </w:t>
            </w:r>
          </w:p>
          <w:p w:rsidR="00DD56AB" w:rsidRPr="00F87578" w:rsidRDefault="00DD56AB" w:rsidP="00B728C1">
            <w:pPr>
              <w:rPr>
                <w:bCs/>
                <w:color w:val="000000"/>
                <w:sz w:val="22"/>
                <w:szCs w:val="22"/>
              </w:rPr>
            </w:pPr>
          </w:p>
          <w:p w:rsidR="00B728C1" w:rsidRPr="00F87578" w:rsidRDefault="00DD56AB" w:rsidP="00993254">
            <w:pPr>
              <w:rPr>
                <w:bCs/>
                <w:color w:val="000000"/>
                <w:sz w:val="22"/>
                <w:szCs w:val="22"/>
              </w:rPr>
            </w:pPr>
            <w:r w:rsidRPr="00F87578">
              <w:rPr>
                <w:bCs/>
                <w:color w:val="000000"/>
                <w:sz w:val="22"/>
                <w:szCs w:val="22"/>
              </w:rPr>
              <w:t xml:space="preserve">Ärendet bordlades. </w:t>
            </w:r>
          </w:p>
          <w:p w:rsidR="006A531C" w:rsidRPr="00F87578" w:rsidRDefault="006A531C" w:rsidP="00993254">
            <w:pPr>
              <w:rPr>
                <w:bCs/>
                <w:color w:val="000000"/>
                <w:sz w:val="22"/>
                <w:szCs w:val="22"/>
              </w:rPr>
            </w:pPr>
          </w:p>
        </w:tc>
      </w:tr>
      <w:tr w:rsidR="00B728C1" w:rsidRPr="00F87578" w:rsidTr="00AC2001">
        <w:tc>
          <w:tcPr>
            <w:tcW w:w="567" w:type="dxa"/>
          </w:tcPr>
          <w:p w:rsidR="00B728C1" w:rsidRPr="00F87578" w:rsidRDefault="00B728C1" w:rsidP="004D5AFA">
            <w:pPr>
              <w:tabs>
                <w:tab w:val="left" w:pos="1701"/>
              </w:tabs>
              <w:rPr>
                <w:b/>
                <w:snapToGrid w:val="0"/>
                <w:sz w:val="22"/>
                <w:szCs w:val="22"/>
              </w:rPr>
            </w:pPr>
            <w:r w:rsidRPr="00F87578">
              <w:rPr>
                <w:b/>
                <w:snapToGrid w:val="0"/>
                <w:sz w:val="22"/>
                <w:szCs w:val="22"/>
              </w:rPr>
              <w:t>§ 8</w:t>
            </w:r>
          </w:p>
        </w:tc>
        <w:tc>
          <w:tcPr>
            <w:tcW w:w="6946" w:type="dxa"/>
            <w:gridSpan w:val="2"/>
          </w:tcPr>
          <w:p w:rsidR="00B728C1" w:rsidRPr="00F87578" w:rsidRDefault="00B728C1" w:rsidP="00B728C1">
            <w:pPr>
              <w:rPr>
                <w:bCs/>
                <w:color w:val="000000"/>
                <w:sz w:val="22"/>
                <w:szCs w:val="22"/>
              </w:rPr>
            </w:pPr>
            <w:r w:rsidRPr="00F87578">
              <w:rPr>
                <w:rFonts w:eastAsiaTheme="minorHAnsi"/>
                <w:b/>
                <w:bCs/>
                <w:color w:val="000000"/>
                <w:sz w:val="22"/>
                <w:szCs w:val="22"/>
                <w:lang w:eastAsia="en-US"/>
              </w:rPr>
              <w:t>Fråga om utskottsinitiativ - Ny tillämpning av artskyddsförordningen (C)</w:t>
            </w:r>
            <w:r w:rsidRPr="00F87578">
              <w:rPr>
                <w:rFonts w:eastAsiaTheme="minorHAnsi"/>
                <w:b/>
                <w:bCs/>
                <w:color w:val="000000"/>
                <w:sz w:val="22"/>
                <w:szCs w:val="22"/>
                <w:lang w:eastAsia="en-US"/>
              </w:rPr>
              <w:br/>
            </w:r>
            <w:r w:rsidRPr="00F87578">
              <w:rPr>
                <w:rFonts w:eastAsiaTheme="minorHAnsi"/>
                <w:b/>
                <w:bCs/>
                <w:color w:val="000000"/>
                <w:sz w:val="22"/>
                <w:szCs w:val="22"/>
                <w:lang w:eastAsia="en-US"/>
              </w:rPr>
              <w:br/>
            </w:r>
            <w:r w:rsidRPr="00F87578">
              <w:rPr>
                <w:bCs/>
                <w:color w:val="000000"/>
                <w:sz w:val="22"/>
                <w:szCs w:val="22"/>
              </w:rPr>
              <w:t xml:space="preserve">Utskottet inledde behandlingen av frågan om </w:t>
            </w:r>
            <w:r w:rsidR="004F6CCF" w:rsidRPr="00F87578">
              <w:rPr>
                <w:bCs/>
                <w:color w:val="000000"/>
                <w:sz w:val="22"/>
                <w:szCs w:val="22"/>
              </w:rPr>
              <w:t xml:space="preserve">ett initiativ om </w:t>
            </w:r>
            <w:r w:rsidRPr="00F87578">
              <w:rPr>
                <w:bCs/>
                <w:color w:val="000000"/>
                <w:sz w:val="22"/>
                <w:szCs w:val="22"/>
              </w:rPr>
              <w:t xml:space="preserve">ny tillämpning av artskyddsförordningen (C). </w:t>
            </w:r>
          </w:p>
          <w:p w:rsidR="00B728C1" w:rsidRPr="00F87578" w:rsidRDefault="00B728C1" w:rsidP="00B728C1">
            <w:pPr>
              <w:rPr>
                <w:bCs/>
                <w:color w:val="000000"/>
                <w:sz w:val="22"/>
                <w:szCs w:val="22"/>
              </w:rPr>
            </w:pPr>
          </w:p>
          <w:p w:rsidR="00DD56AB" w:rsidRPr="00F87578" w:rsidRDefault="00DD56AB" w:rsidP="00DD56AB">
            <w:pPr>
              <w:rPr>
                <w:bCs/>
                <w:color w:val="000000"/>
                <w:sz w:val="22"/>
                <w:szCs w:val="22"/>
              </w:rPr>
            </w:pPr>
            <w:r w:rsidRPr="00F87578">
              <w:rPr>
                <w:bCs/>
                <w:color w:val="000000"/>
                <w:sz w:val="22"/>
                <w:szCs w:val="22"/>
              </w:rPr>
              <w:t xml:space="preserve">Utskottet beslutade att påbörja ett beredningsarbete i syfte att kunna ta ett utskottsinitiativ i frågan. </w:t>
            </w:r>
          </w:p>
          <w:p w:rsidR="00DD56AB" w:rsidRPr="00F87578" w:rsidRDefault="00DD56AB" w:rsidP="00DD56AB">
            <w:pPr>
              <w:rPr>
                <w:bCs/>
                <w:color w:val="000000"/>
                <w:sz w:val="22"/>
                <w:szCs w:val="22"/>
              </w:rPr>
            </w:pPr>
          </w:p>
          <w:p w:rsidR="00B728C1" w:rsidRPr="00F87578" w:rsidRDefault="00DD56AB" w:rsidP="00DD56AB">
            <w:pPr>
              <w:rPr>
                <w:bCs/>
                <w:i/>
                <w:color w:val="000000"/>
                <w:sz w:val="22"/>
                <w:szCs w:val="22"/>
              </w:rPr>
            </w:pPr>
            <w:r w:rsidRPr="00F87578">
              <w:rPr>
                <w:bCs/>
                <w:color w:val="000000"/>
                <w:sz w:val="22"/>
                <w:szCs w:val="22"/>
              </w:rPr>
              <w:t>Ärendet bordlades.</w:t>
            </w:r>
            <w:r w:rsidR="00B728C1" w:rsidRPr="00F87578">
              <w:rPr>
                <w:rFonts w:eastAsiaTheme="minorHAnsi"/>
                <w:b/>
                <w:bCs/>
                <w:color w:val="000000"/>
                <w:sz w:val="22"/>
                <w:szCs w:val="22"/>
                <w:lang w:eastAsia="en-US"/>
              </w:rPr>
              <w:br/>
            </w:r>
          </w:p>
        </w:tc>
      </w:tr>
      <w:tr w:rsidR="00B144F4" w:rsidRPr="00F87578" w:rsidTr="00AC2001">
        <w:tc>
          <w:tcPr>
            <w:tcW w:w="567" w:type="dxa"/>
          </w:tcPr>
          <w:p w:rsidR="00B144F4" w:rsidRPr="00F87578" w:rsidRDefault="00B144F4" w:rsidP="004D5AFA">
            <w:pPr>
              <w:tabs>
                <w:tab w:val="left" w:pos="1701"/>
              </w:tabs>
              <w:rPr>
                <w:b/>
                <w:snapToGrid w:val="0"/>
                <w:sz w:val="22"/>
                <w:szCs w:val="22"/>
              </w:rPr>
            </w:pPr>
            <w:r w:rsidRPr="00F87578">
              <w:rPr>
                <w:b/>
                <w:snapToGrid w:val="0"/>
                <w:sz w:val="22"/>
                <w:szCs w:val="22"/>
              </w:rPr>
              <w:t>§ 9</w:t>
            </w:r>
          </w:p>
        </w:tc>
        <w:tc>
          <w:tcPr>
            <w:tcW w:w="6946" w:type="dxa"/>
            <w:gridSpan w:val="2"/>
          </w:tcPr>
          <w:p w:rsidR="00B144F4" w:rsidRPr="00F87578" w:rsidRDefault="00B144F4" w:rsidP="00B728C1">
            <w:pPr>
              <w:rPr>
                <w:rFonts w:eastAsiaTheme="minorHAnsi"/>
                <w:b/>
                <w:bCs/>
                <w:color w:val="000000"/>
                <w:sz w:val="22"/>
                <w:szCs w:val="22"/>
                <w:lang w:eastAsia="en-US"/>
              </w:rPr>
            </w:pPr>
            <w:r w:rsidRPr="00F0680D">
              <w:rPr>
                <w:rFonts w:eastAsiaTheme="minorHAnsi"/>
                <w:b/>
                <w:bCs/>
                <w:color w:val="000000"/>
                <w:sz w:val="22"/>
                <w:szCs w:val="22"/>
                <w:lang w:eastAsia="en-US"/>
              </w:rPr>
              <w:t>Beslut om fortsatt beredning</w:t>
            </w:r>
          </w:p>
          <w:p w:rsidR="00B144F4" w:rsidRPr="00F87578" w:rsidRDefault="00B144F4" w:rsidP="00B728C1">
            <w:pPr>
              <w:rPr>
                <w:rFonts w:eastAsiaTheme="minorHAnsi"/>
                <w:b/>
                <w:bCs/>
                <w:color w:val="000000"/>
                <w:sz w:val="22"/>
                <w:szCs w:val="22"/>
                <w:lang w:eastAsia="en-US"/>
              </w:rPr>
            </w:pPr>
          </w:p>
          <w:p w:rsidR="00B144F4" w:rsidRPr="00F87578" w:rsidRDefault="00B144F4" w:rsidP="00B728C1">
            <w:pPr>
              <w:rPr>
                <w:rFonts w:eastAsiaTheme="minorHAnsi"/>
                <w:bCs/>
                <w:color w:val="000000"/>
                <w:sz w:val="22"/>
                <w:szCs w:val="22"/>
                <w:lang w:eastAsia="en-US"/>
              </w:rPr>
            </w:pPr>
            <w:r w:rsidRPr="00F87578">
              <w:rPr>
                <w:rFonts w:eastAsiaTheme="minorHAnsi"/>
                <w:bCs/>
                <w:color w:val="000000"/>
                <w:sz w:val="22"/>
                <w:szCs w:val="22"/>
                <w:lang w:eastAsia="en-US"/>
              </w:rPr>
              <w:t xml:space="preserve">Utskottet beslutade att den fortsatta beredningen av utskottsinitiativen enligt § 7 - § 8 ska ske gemensamt. </w:t>
            </w:r>
          </w:p>
          <w:p w:rsidR="00B144F4" w:rsidRPr="00F87578" w:rsidRDefault="00B144F4" w:rsidP="00B728C1">
            <w:pPr>
              <w:rPr>
                <w:rFonts w:eastAsiaTheme="minorHAnsi"/>
                <w:bCs/>
                <w:color w:val="000000"/>
                <w:sz w:val="22"/>
                <w:szCs w:val="22"/>
                <w:lang w:eastAsia="en-US"/>
              </w:rPr>
            </w:pPr>
          </w:p>
          <w:p w:rsidR="00B144F4" w:rsidRPr="00F87578" w:rsidRDefault="00B144F4" w:rsidP="00B144F4">
            <w:pPr>
              <w:rPr>
                <w:rFonts w:eastAsiaTheme="minorHAnsi"/>
                <w:bCs/>
                <w:color w:val="000000"/>
                <w:sz w:val="22"/>
                <w:szCs w:val="22"/>
                <w:lang w:eastAsia="en-US"/>
              </w:rPr>
            </w:pPr>
            <w:r w:rsidRPr="00F87578">
              <w:rPr>
                <w:rFonts w:eastAsiaTheme="minorHAnsi"/>
                <w:bCs/>
                <w:color w:val="000000"/>
                <w:sz w:val="22"/>
                <w:szCs w:val="22"/>
                <w:lang w:eastAsia="en-US"/>
              </w:rPr>
              <w:t>Socialdemokraterna, Vänsterpartiet, Liberalerna och Miljöpartiet begärde i enlighet med 10 kap. 9 § riksdagsordningen att utskottet ska inhämta upplysningar i ärendet från Lars Tysklind</w:t>
            </w:r>
            <w:r w:rsidR="00DA627C">
              <w:rPr>
                <w:rFonts w:eastAsiaTheme="minorHAnsi"/>
                <w:bCs/>
                <w:color w:val="000000"/>
                <w:sz w:val="22"/>
                <w:szCs w:val="22"/>
                <w:lang w:eastAsia="en-US"/>
              </w:rPr>
              <w:t xml:space="preserve"> och </w:t>
            </w:r>
            <w:r w:rsidR="00DA627C" w:rsidRPr="00DA627C">
              <w:rPr>
                <w:rFonts w:eastAsiaTheme="minorHAnsi"/>
                <w:bCs/>
                <w:color w:val="000000"/>
                <w:sz w:val="22"/>
                <w:szCs w:val="22"/>
                <w:lang w:eastAsia="en-US"/>
              </w:rPr>
              <w:t>Christina Olsen Lundh</w:t>
            </w:r>
            <w:r w:rsidR="002802D7" w:rsidRPr="00251487">
              <w:rPr>
                <w:rFonts w:eastAsiaTheme="minorHAnsi"/>
                <w:bCs/>
                <w:color w:val="000000"/>
                <w:sz w:val="22"/>
                <w:szCs w:val="22"/>
                <w:lang w:eastAsia="en-US"/>
              </w:rPr>
              <w:t xml:space="preserve"> </w:t>
            </w:r>
            <w:r w:rsidR="00DA627C">
              <w:rPr>
                <w:rFonts w:eastAsiaTheme="minorHAnsi"/>
                <w:bCs/>
                <w:color w:val="000000"/>
                <w:sz w:val="22"/>
                <w:szCs w:val="22"/>
                <w:lang w:eastAsia="en-US"/>
              </w:rPr>
              <w:t xml:space="preserve">i egenskap av särskild utredare respektive huvudsekreterare i den avslutade </w:t>
            </w:r>
            <w:r w:rsidR="002802D7" w:rsidRPr="00DA627C">
              <w:rPr>
                <w:rFonts w:eastAsiaTheme="minorHAnsi"/>
                <w:bCs/>
                <w:color w:val="000000"/>
                <w:sz w:val="22"/>
                <w:szCs w:val="22"/>
                <w:lang w:eastAsia="en-US"/>
              </w:rPr>
              <w:t>Artskyddsutredningen</w:t>
            </w:r>
            <w:r w:rsidR="00DA627C" w:rsidRPr="00DA627C">
              <w:rPr>
                <w:rFonts w:eastAsiaTheme="minorHAnsi"/>
                <w:bCs/>
                <w:color w:val="000000"/>
                <w:sz w:val="22"/>
                <w:szCs w:val="22"/>
                <w:lang w:eastAsia="en-US"/>
              </w:rPr>
              <w:t xml:space="preserve"> (M2020:03)</w:t>
            </w:r>
            <w:r w:rsidRPr="00DA627C">
              <w:rPr>
                <w:rFonts w:eastAsiaTheme="minorHAnsi"/>
                <w:bCs/>
                <w:color w:val="000000"/>
                <w:sz w:val="22"/>
                <w:szCs w:val="22"/>
                <w:lang w:eastAsia="en-US"/>
              </w:rPr>
              <w:t>.</w:t>
            </w:r>
            <w:r w:rsidRPr="00F87578">
              <w:rPr>
                <w:rFonts w:eastAsiaTheme="minorHAnsi"/>
                <w:bCs/>
                <w:color w:val="000000"/>
                <w:sz w:val="22"/>
                <w:szCs w:val="22"/>
                <w:lang w:eastAsia="en-US"/>
              </w:rPr>
              <w:t xml:space="preserve"> </w:t>
            </w:r>
          </w:p>
          <w:p w:rsidR="00B144F4" w:rsidRPr="00F87578" w:rsidRDefault="00B144F4" w:rsidP="00B144F4">
            <w:pPr>
              <w:rPr>
                <w:rFonts w:eastAsiaTheme="minorHAnsi"/>
                <w:bCs/>
                <w:color w:val="000000"/>
                <w:sz w:val="22"/>
                <w:szCs w:val="22"/>
                <w:lang w:eastAsia="en-US"/>
              </w:rPr>
            </w:pPr>
          </w:p>
          <w:p w:rsidR="00B144F4" w:rsidRPr="00F87578" w:rsidRDefault="00B144F4" w:rsidP="00B144F4">
            <w:pPr>
              <w:rPr>
                <w:rFonts w:eastAsiaTheme="minorHAnsi"/>
                <w:bCs/>
                <w:color w:val="000000"/>
                <w:sz w:val="22"/>
                <w:szCs w:val="22"/>
                <w:lang w:eastAsia="en-US"/>
              </w:rPr>
            </w:pPr>
            <w:r w:rsidRPr="00F87578">
              <w:rPr>
                <w:rFonts w:eastAsiaTheme="minorHAnsi"/>
                <w:bCs/>
                <w:color w:val="000000"/>
                <w:sz w:val="22"/>
                <w:szCs w:val="22"/>
                <w:lang w:eastAsia="en-US"/>
              </w:rPr>
              <w:t xml:space="preserve">Socialdemokraterna, Vänsterpartiet och Miljöpartiet begärde i enlighet med 10 kap. 9 § riksdagsordningen att utskottet ska inhämta upplysningar i ärendet från </w:t>
            </w:r>
            <w:r w:rsidR="00DA627C">
              <w:rPr>
                <w:rFonts w:eastAsiaTheme="minorHAnsi"/>
                <w:bCs/>
                <w:color w:val="000000"/>
                <w:sz w:val="22"/>
                <w:szCs w:val="22"/>
                <w:lang w:eastAsia="en-US"/>
              </w:rPr>
              <w:t xml:space="preserve">Skogsstyrelsen, </w:t>
            </w:r>
            <w:r w:rsidRPr="00F87578">
              <w:rPr>
                <w:rFonts w:eastAsiaTheme="minorHAnsi"/>
                <w:bCs/>
                <w:color w:val="000000"/>
                <w:sz w:val="22"/>
                <w:szCs w:val="22"/>
                <w:lang w:eastAsia="en-US"/>
              </w:rPr>
              <w:t xml:space="preserve">Naturvårdsverket, Länsstyrelserna, </w:t>
            </w:r>
            <w:r w:rsidR="00DA627C">
              <w:rPr>
                <w:rFonts w:eastAsiaTheme="minorHAnsi"/>
                <w:bCs/>
                <w:color w:val="000000"/>
                <w:sz w:val="22"/>
                <w:szCs w:val="22"/>
                <w:lang w:eastAsia="en-US"/>
              </w:rPr>
              <w:t xml:space="preserve">Centrum för biologisk mångfald, </w:t>
            </w:r>
            <w:r w:rsidR="00DA627C" w:rsidRPr="00F87578">
              <w:rPr>
                <w:rFonts w:eastAsiaTheme="minorHAnsi"/>
                <w:bCs/>
                <w:color w:val="000000"/>
                <w:sz w:val="22"/>
                <w:szCs w:val="22"/>
                <w:lang w:eastAsia="en-US"/>
              </w:rPr>
              <w:t xml:space="preserve">Naturskyddsföreningen, </w:t>
            </w:r>
            <w:r w:rsidRPr="00F87578">
              <w:rPr>
                <w:rFonts w:eastAsiaTheme="minorHAnsi"/>
                <w:bCs/>
                <w:color w:val="000000"/>
                <w:sz w:val="22"/>
                <w:szCs w:val="22"/>
                <w:lang w:eastAsia="en-US"/>
              </w:rPr>
              <w:t xml:space="preserve">Världsnaturfonden och </w:t>
            </w:r>
            <w:proofErr w:type="spellStart"/>
            <w:r w:rsidRPr="00F87578">
              <w:rPr>
                <w:rFonts w:eastAsiaTheme="minorHAnsi"/>
                <w:bCs/>
                <w:color w:val="000000"/>
                <w:sz w:val="22"/>
                <w:szCs w:val="22"/>
                <w:lang w:eastAsia="en-US"/>
              </w:rPr>
              <w:t>BirdLife</w:t>
            </w:r>
            <w:proofErr w:type="spellEnd"/>
            <w:r w:rsidRPr="00F87578">
              <w:rPr>
                <w:rFonts w:eastAsiaTheme="minorHAnsi"/>
                <w:bCs/>
                <w:color w:val="000000"/>
                <w:sz w:val="22"/>
                <w:szCs w:val="22"/>
                <w:lang w:eastAsia="en-US"/>
              </w:rPr>
              <w:t xml:space="preserve"> Sverige. </w:t>
            </w:r>
          </w:p>
          <w:p w:rsidR="00B144F4" w:rsidRPr="00F87578" w:rsidRDefault="00B144F4" w:rsidP="00B144F4">
            <w:pPr>
              <w:rPr>
                <w:rFonts w:eastAsiaTheme="minorHAnsi"/>
                <w:bCs/>
                <w:color w:val="000000"/>
                <w:sz w:val="22"/>
                <w:szCs w:val="22"/>
                <w:lang w:eastAsia="en-US"/>
              </w:rPr>
            </w:pPr>
          </w:p>
          <w:p w:rsidR="00B144F4" w:rsidRPr="00F87578" w:rsidRDefault="00B144F4" w:rsidP="00B144F4">
            <w:pPr>
              <w:rPr>
                <w:rFonts w:eastAsiaTheme="minorHAnsi"/>
                <w:bCs/>
                <w:color w:val="000000"/>
                <w:sz w:val="22"/>
                <w:szCs w:val="22"/>
                <w:lang w:eastAsia="en-US"/>
              </w:rPr>
            </w:pPr>
            <w:r w:rsidRPr="00F87578">
              <w:rPr>
                <w:rFonts w:eastAsiaTheme="minorHAnsi"/>
                <w:bCs/>
                <w:color w:val="000000"/>
                <w:sz w:val="22"/>
                <w:szCs w:val="22"/>
                <w:lang w:eastAsia="en-US"/>
              </w:rPr>
              <w:lastRenderedPageBreak/>
              <w:t>Moderaterna</w:t>
            </w:r>
            <w:r w:rsidR="00441822">
              <w:rPr>
                <w:rFonts w:eastAsiaTheme="minorHAnsi"/>
                <w:bCs/>
                <w:color w:val="000000"/>
                <w:sz w:val="22"/>
                <w:szCs w:val="22"/>
                <w:lang w:eastAsia="en-US"/>
              </w:rPr>
              <w:t xml:space="preserve">, </w:t>
            </w:r>
            <w:r w:rsidRPr="00F87578">
              <w:rPr>
                <w:rFonts w:eastAsiaTheme="minorHAnsi"/>
                <w:bCs/>
                <w:color w:val="000000"/>
                <w:sz w:val="22"/>
                <w:szCs w:val="22"/>
                <w:lang w:eastAsia="en-US"/>
              </w:rPr>
              <w:t xml:space="preserve">Sverigedemokraterna </w:t>
            </w:r>
            <w:r w:rsidR="00441822">
              <w:rPr>
                <w:rFonts w:eastAsiaTheme="minorHAnsi"/>
                <w:bCs/>
                <w:color w:val="000000"/>
                <w:sz w:val="22"/>
                <w:szCs w:val="22"/>
                <w:lang w:eastAsia="en-US"/>
              </w:rPr>
              <w:t xml:space="preserve">och Liberalerna </w:t>
            </w:r>
            <w:r w:rsidRPr="00F87578">
              <w:rPr>
                <w:rFonts w:eastAsiaTheme="minorHAnsi"/>
                <w:bCs/>
                <w:color w:val="000000"/>
                <w:sz w:val="22"/>
                <w:szCs w:val="22"/>
                <w:lang w:eastAsia="en-US"/>
              </w:rPr>
              <w:t>begärde i enlighet med 10 kap. 9 § riksdagsordningen att utskottet ska inhämta upplysningar i ärendet från Lantbrukarnas Riksförbund</w:t>
            </w:r>
            <w:r w:rsidR="00DA627C">
              <w:rPr>
                <w:rFonts w:eastAsiaTheme="minorHAnsi"/>
                <w:bCs/>
                <w:color w:val="000000"/>
                <w:sz w:val="22"/>
                <w:szCs w:val="22"/>
                <w:lang w:eastAsia="en-US"/>
              </w:rPr>
              <w:t>, Jordägarna</w:t>
            </w:r>
            <w:r w:rsidRPr="00F87578">
              <w:rPr>
                <w:rFonts w:eastAsiaTheme="minorHAnsi"/>
                <w:bCs/>
                <w:color w:val="000000"/>
                <w:sz w:val="22"/>
                <w:szCs w:val="22"/>
                <w:lang w:eastAsia="en-US"/>
              </w:rPr>
              <w:t xml:space="preserve"> och Skogsindustrierna. </w:t>
            </w:r>
          </w:p>
          <w:p w:rsidR="00B144F4" w:rsidRPr="00F87578" w:rsidRDefault="00B144F4" w:rsidP="00B144F4">
            <w:pPr>
              <w:rPr>
                <w:rFonts w:eastAsiaTheme="minorHAnsi"/>
                <w:bCs/>
                <w:color w:val="000000"/>
                <w:sz w:val="22"/>
                <w:szCs w:val="22"/>
                <w:lang w:eastAsia="en-US"/>
              </w:rPr>
            </w:pPr>
          </w:p>
          <w:p w:rsidR="00B144F4" w:rsidRPr="00F87578" w:rsidRDefault="00441822" w:rsidP="00B144F4">
            <w:pPr>
              <w:rPr>
                <w:rFonts w:eastAsiaTheme="minorHAnsi"/>
                <w:bCs/>
                <w:color w:val="000000"/>
                <w:sz w:val="22"/>
                <w:szCs w:val="22"/>
                <w:lang w:eastAsia="en-US"/>
              </w:rPr>
            </w:pPr>
            <w:r>
              <w:rPr>
                <w:rFonts w:eastAsiaTheme="minorHAnsi"/>
                <w:bCs/>
                <w:color w:val="000000"/>
                <w:sz w:val="22"/>
                <w:szCs w:val="22"/>
                <w:lang w:eastAsia="en-US"/>
              </w:rPr>
              <w:t xml:space="preserve">Socialdemokraterna, </w:t>
            </w:r>
            <w:r w:rsidR="00B144F4" w:rsidRPr="00F87578">
              <w:rPr>
                <w:rFonts w:eastAsiaTheme="minorHAnsi"/>
                <w:bCs/>
                <w:color w:val="000000"/>
                <w:sz w:val="22"/>
                <w:szCs w:val="22"/>
                <w:lang w:eastAsia="en-US"/>
              </w:rPr>
              <w:t>Moderaterna</w:t>
            </w:r>
            <w:r>
              <w:rPr>
                <w:rFonts w:eastAsiaTheme="minorHAnsi"/>
                <w:bCs/>
                <w:color w:val="000000"/>
                <w:sz w:val="22"/>
                <w:szCs w:val="22"/>
                <w:lang w:eastAsia="en-US"/>
              </w:rPr>
              <w:t xml:space="preserve"> och</w:t>
            </w:r>
            <w:r w:rsidR="00B144F4" w:rsidRPr="00F87578">
              <w:rPr>
                <w:rFonts w:eastAsiaTheme="minorHAnsi"/>
                <w:bCs/>
                <w:color w:val="000000"/>
                <w:sz w:val="22"/>
                <w:szCs w:val="22"/>
                <w:lang w:eastAsia="en-US"/>
              </w:rPr>
              <w:t xml:space="preserve"> Centerpartiet begärde i enlighet med 10 kap. 9 § riksdagsordningen att utskottet ska inhämta upplysningar i ärendet från </w:t>
            </w:r>
            <w:r w:rsidR="00DA627C" w:rsidRPr="00F87578">
              <w:rPr>
                <w:rFonts w:eastAsiaTheme="minorHAnsi"/>
                <w:bCs/>
                <w:color w:val="000000"/>
                <w:sz w:val="22"/>
                <w:szCs w:val="22"/>
                <w:lang w:eastAsia="en-US"/>
              </w:rPr>
              <w:t xml:space="preserve">Södra </w:t>
            </w:r>
            <w:r w:rsidR="00DA627C">
              <w:rPr>
                <w:rFonts w:eastAsiaTheme="minorHAnsi"/>
                <w:bCs/>
                <w:color w:val="000000"/>
                <w:sz w:val="22"/>
                <w:szCs w:val="22"/>
                <w:lang w:eastAsia="en-US"/>
              </w:rPr>
              <w:t xml:space="preserve">Skogsägarna, </w:t>
            </w:r>
            <w:proofErr w:type="spellStart"/>
            <w:r w:rsidR="00B144F4" w:rsidRPr="00F87578">
              <w:rPr>
                <w:rFonts w:eastAsiaTheme="minorHAnsi"/>
                <w:bCs/>
                <w:color w:val="000000"/>
                <w:sz w:val="22"/>
                <w:szCs w:val="22"/>
                <w:lang w:eastAsia="en-US"/>
              </w:rPr>
              <w:t>Mellanskog</w:t>
            </w:r>
            <w:proofErr w:type="spellEnd"/>
            <w:r w:rsidR="00DA627C">
              <w:rPr>
                <w:rFonts w:eastAsiaTheme="minorHAnsi"/>
                <w:bCs/>
                <w:color w:val="000000"/>
                <w:sz w:val="22"/>
                <w:szCs w:val="22"/>
                <w:lang w:eastAsia="en-US"/>
              </w:rPr>
              <w:t xml:space="preserve"> </w:t>
            </w:r>
            <w:r w:rsidR="00B144F4" w:rsidRPr="00F87578">
              <w:rPr>
                <w:rFonts w:eastAsiaTheme="minorHAnsi"/>
                <w:bCs/>
                <w:color w:val="000000"/>
                <w:sz w:val="22"/>
                <w:szCs w:val="22"/>
                <w:lang w:eastAsia="en-US"/>
              </w:rPr>
              <w:t>och Norra</w:t>
            </w:r>
            <w:r w:rsidR="00DA627C">
              <w:rPr>
                <w:rFonts w:eastAsiaTheme="minorHAnsi"/>
                <w:bCs/>
                <w:color w:val="000000"/>
                <w:sz w:val="22"/>
                <w:szCs w:val="22"/>
                <w:lang w:eastAsia="en-US"/>
              </w:rPr>
              <w:t xml:space="preserve"> Skogsägarna</w:t>
            </w:r>
            <w:r w:rsidR="00B144F4" w:rsidRPr="00F87578">
              <w:rPr>
                <w:rFonts w:eastAsiaTheme="minorHAnsi"/>
                <w:bCs/>
                <w:color w:val="000000"/>
                <w:sz w:val="22"/>
                <w:szCs w:val="22"/>
                <w:lang w:eastAsia="en-US"/>
              </w:rPr>
              <w:t xml:space="preserve">. </w:t>
            </w:r>
          </w:p>
          <w:p w:rsidR="00B144F4" w:rsidRPr="00F87578" w:rsidRDefault="00B144F4" w:rsidP="00B728C1">
            <w:pPr>
              <w:rPr>
                <w:rFonts w:eastAsiaTheme="minorHAnsi"/>
                <w:b/>
                <w:bCs/>
                <w:color w:val="000000"/>
                <w:sz w:val="22"/>
                <w:szCs w:val="22"/>
                <w:lang w:eastAsia="en-US"/>
              </w:rPr>
            </w:pPr>
          </w:p>
          <w:p w:rsidR="00B144F4" w:rsidRPr="00F87578" w:rsidRDefault="00B144F4" w:rsidP="00B728C1">
            <w:pPr>
              <w:rPr>
                <w:rFonts w:eastAsiaTheme="minorHAnsi"/>
                <w:bCs/>
                <w:color w:val="000000"/>
                <w:sz w:val="22"/>
                <w:szCs w:val="22"/>
                <w:lang w:eastAsia="en-US"/>
              </w:rPr>
            </w:pPr>
            <w:r w:rsidRPr="00F87578">
              <w:rPr>
                <w:rFonts w:eastAsiaTheme="minorHAnsi"/>
                <w:bCs/>
                <w:color w:val="000000"/>
                <w:sz w:val="22"/>
                <w:szCs w:val="22"/>
                <w:lang w:eastAsia="en-US"/>
              </w:rPr>
              <w:t xml:space="preserve">Utskottet beslutade att i enlighet med 10 kap. 4 § riksdagsordningen inhämta upplysningar i ärendet i överensstämmelse med vad Socialdemokraterna, Moderaterna, Sverigedemokraterna, Centerpartiet, Vänsterpartiet, Liberalerna och Miljöpartiet begärt. </w:t>
            </w:r>
          </w:p>
          <w:p w:rsidR="00B144F4" w:rsidRPr="00F87578" w:rsidRDefault="00B144F4" w:rsidP="00B728C1">
            <w:pPr>
              <w:rPr>
                <w:rFonts w:eastAsiaTheme="minorHAnsi"/>
                <w:b/>
                <w:bCs/>
                <w:color w:val="000000"/>
                <w:sz w:val="22"/>
                <w:szCs w:val="22"/>
                <w:lang w:eastAsia="en-US"/>
              </w:rPr>
            </w:pPr>
          </w:p>
        </w:tc>
      </w:tr>
      <w:tr w:rsidR="004D5AFA" w:rsidRPr="00F87578" w:rsidTr="00AC2001">
        <w:tc>
          <w:tcPr>
            <w:tcW w:w="567" w:type="dxa"/>
          </w:tcPr>
          <w:p w:rsidR="004D5AFA" w:rsidRPr="00F87578" w:rsidRDefault="00FA24D6" w:rsidP="004D5AFA">
            <w:pPr>
              <w:tabs>
                <w:tab w:val="left" w:pos="1701"/>
              </w:tabs>
              <w:rPr>
                <w:b/>
                <w:snapToGrid w:val="0"/>
                <w:sz w:val="22"/>
                <w:szCs w:val="22"/>
              </w:rPr>
            </w:pPr>
            <w:r w:rsidRPr="00F87578">
              <w:rPr>
                <w:b/>
                <w:snapToGrid w:val="0"/>
                <w:sz w:val="22"/>
                <w:szCs w:val="22"/>
              </w:rPr>
              <w:lastRenderedPageBreak/>
              <w:t xml:space="preserve">§ </w:t>
            </w:r>
            <w:r w:rsidR="005343B6" w:rsidRPr="00F87578">
              <w:rPr>
                <w:b/>
                <w:snapToGrid w:val="0"/>
                <w:sz w:val="22"/>
                <w:szCs w:val="22"/>
              </w:rPr>
              <w:t>10</w:t>
            </w:r>
          </w:p>
        </w:tc>
        <w:tc>
          <w:tcPr>
            <w:tcW w:w="6946" w:type="dxa"/>
            <w:gridSpan w:val="2"/>
          </w:tcPr>
          <w:p w:rsidR="005343B6" w:rsidRPr="00F87578" w:rsidRDefault="005343B6" w:rsidP="005343B6">
            <w:pPr>
              <w:widowControl/>
              <w:autoSpaceDE w:val="0"/>
              <w:autoSpaceDN w:val="0"/>
              <w:adjustRightInd w:val="0"/>
              <w:rPr>
                <w:b/>
                <w:bCs/>
                <w:color w:val="000000"/>
                <w:sz w:val="22"/>
                <w:szCs w:val="22"/>
              </w:rPr>
            </w:pPr>
            <w:r w:rsidRPr="00F87578">
              <w:rPr>
                <w:b/>
                <w:bCs/>
                <w:color w:val="000000"/>
                <w:sz w:val="22"/>
                <w:szCs w:val="22"/>
              </w:rPr>
              <w:t>Inbjudan till interparlamentariskt utskottsmöte i Paris den 13–14 mars 2022</w:t>
            </w:r>
          </w:p>
          <w:p w:rsidR="005343B6" w:rsidRPr="00F87578" w:rsidRDefault="005343B6" w:rsidP="005343B6">
            <w:pPr>
              <w:widowControl/>
              <w:autoSpaceDE w:val="0"/>
              <w:autoSpaceDN w:val="0"/>
              <w:adjustRightInd w:val="0"/>
              <w:rPr>
                <w:bCs/>
                <w:color w:val="000000"/>
                <w:sz w:val="22"/>
                <w:szCs w:val="22"/>
              </w:rPr>
            </w:pPr>
          </w:p>
          <w:p w:rsidR="005343B6" w:rsidRPr="00F87578" w:rsidRDefault="005343B6" w:rsidP="005343B6">
            <w:pPr>
              <w:widowControl/>
              <w:autoSpaceDE w:val="0"/>
              <w:autoSpaceDN w:val="0"/>
              <w:adjustRightInd w:val="0"/>
              <w:rPr>
                <w:bCs/>
                <w:color w:val="000000"/>
                <w:sz w:val="22"/>
                <w:szCs w:val="22"/>
              </w:rPr>
            </w:pPr>
            <w:r w:rsidRPr="00F87578">
              <w:rPr>
                <w:bCs/>
                <w:color w:val="000000"/>
                <w:sz w:val="22"/>
                <w:szCs w:val="22"/>
              </w:rPr>
              <w:t xml:space="preserve">Kanslichefen påminde om inbjudan från den franska senaten till ett interparlamentariskt utskottsmöte om ekonomisk strategisk autonomi i Paris den 13–14 mars 2022. </w:t>
            </w:r>
          </w:p>
          <w:p w:rsidR="000516B4" w:rsidRPr="00F87578" w:rsidRDefault="000516B4" w:rsidP="005343B6">
            <w:pPr>
              <w:widowControl/>
              <w:autoSpaceDE w:val="0"/>
              <w:autoSpaceDN w:val="0"/>
              <w:adjustRightInd w:val="0"/>
              <w:rPr>
                <w:bCs/>
                <w:color w:val="000000"/>
                <w:sz w:val="22"/>
                <w:szCs w:val="22"/>
              </w:rPr>
            </w:pPr>
          </w:p>
          <w:p w:rsidR="000516B4" w:rsidRPr="00F87578" w:rsidRDefault="000516B4" w:rsidP="005343B6">
            <w:pPr>
              <w:widowControl/>
              <w:autoSpaceDE w:val="0"/>
              <w:autoSpaceDN w:val="0"/>
              <w:adjustRightInd w:val="0"/>
              <w:rPr>
                <w:bCs/>
                <w:color w:val="000000"/>
                <w:sz w:val="22"/>
                <w:szCs w:val="22"/>
              </w:rPr>
            </w:pPr>
            <w:r w:rsidRPr="00F87578">
              <w:rPr>
                <w:bCs/>
                <w:color w:val="000000"/>
                <w:sz w:val="22"/>
                <w:szCs w:val="22"/>
              </w:rPr>
              <w:t xml:space="preserve">Ingen ledamot anmälde möjlighet att delta vid mötet. </w:t>
            </w:r>
          </w:p>
          <w:p w:rsidR="00FA24D6" w:rsidRPr="00F87578" w:rsidRDefault="00FA24D6" w:rsidP="000516B4">
            <w:pPr>
              <w:widowControl/>
              <w:autoSpaceDE w:val="0"/>
              <w:autoSpaceDN w:val="0"/>
              <w:adjustRightInd w:val="0"/>
              <w:rPr>
                <w:rFonts w:eastAsiaTheme="minorHAnsi"/>
                <w:b/>
                <w:bCs/>
                <w:color w:val="000000"/>
                <w:sz w:val="22"/>
                <w:szCs w:val="22"/>
                <w:lang w:eastAsia="en-US"/>
              </w:rPr>
            </w:pPr>
          </w:p>
        </w:tc>
      </w:tr>
      <w:tr w:rsidR="006A531C" w:rsidRPr="00F87578" w:rsidTr="00DA627C">
        <w:tc>
          <w:tcPr>
            <w:tcW w:w="567" w:type="dxa"/>
            <w:shd w:val="clear" w:color="auto" w:fill="auto"/>
          </w:tcPr>
          <w:p w:rsidR="006A531C" w:rsidRPr="00F87578" w:rsidRDefault="006A531C" w:rsidP="004D5AFA">
            <w:pPr>
              <w:tabs>
                <w:tab w:val="left" w:pos="1701"/>
              </w:tabs>
              <w:rPr>
                <w:b/>
                <w:snapToGrid w:val="0"/>
                <w:sz w:val="22"/>
                <w:szCs w:val="22"/>
              </w:rPr>
            </w:pPr>
            <w:r w:rsidRPr="00F87578">
              <w:rPr>
                <w:b/>
                <w:snapToGrid w:val="0"/>
                <w:sz w:val="22"/>
                <w:szCs w:val="22"/>
              </w:rPr>
              <w:t>§ 11</w:t>
            </w:r>
          </w:p>
        </w:tc>
        <w:tc>
          <w:tcPr>
            <w:tcW w:w="6946" w:type="dxa"/>
            <w:gridSpan w:val="2"/>
            <w:shd w:val="clear" w:color="auto" w:fill="auto"/>
          </w:tcPr>
          <w:p w:rsidR="006A531C" w:rsidRPr="00F87578" w:rsidRDefault="000516B4" w:rsidP="005343B6">
            <w:pPr>
              <w:widowControl/>
              <w:autoSpaceDE w:val="0"/>
              <w:autoSpaceDN w:val="0"/>
              <w:adjustRightInd w:val="0"/>
              <w:rPr>
                <w:b/>
                <w:bCs/>
                <w:color w:val="000000"/>
                <w:sz w:val="22"/>
                <w:szCs w:val="22"/>
              </w:rPr>
            </w:pPr>
            <w:r w:rsidRPr="00F0680D">
              <w:rPr>
                <w:b/>
                <w:bCs/>
                <w:color w:val="000000"/>
                <w:sz w:val="22"/>
                <w:szCs w:val="22"/>
              </w:rPr>
              <w:t xml:space="preserve">Förfrågan </w:t>
            </w:r>
            <w:r w:rsidR="004A223F" w:rsidRPr="00F0680D">
              <w:rPr>
                <w:b/>
                <w:bCs/>
                <w:color w:val="000000"/>
                <w:sz w:val="22"/>
                <w:szCs w:val="22"/>
              </w:rPr>
              <w:t>om förslag till</w:t>
            </w:r>
            <w:r w:rsidRPr="00F0680D">
              <w:rPr>
                <w:b/>
                <w:bCs/>
                <w:color w:val="000000"/>
                <w:sz w:val="22"/>
                <w:szCs w:val="22"/>
              </w:rPr>
              <w:t xml:space="preserve"> granskningsteman – </w:t>
            </w:r>
            <w:r w:rsidR="002802D7" w:rsidRPr="00F0680D">
              <w:rPr>
                <w:b/>
                <w:bCs/>
                <w:color w:val="000000"/>
                <w:sz w:val="22"/>
                <w:szCs w:val="22"/>
              </w:rPr>
              <w:t xml:space="preserve">Europeiska Revisionsrättens </w:t>
            </w:r>
            <w:r w:rsidRPr="00F0680D">
              <w:rPr>
                <w:b/>
                <w:bCs/>
                <w:color w:val="000000"/>
                <w:sz w:val="22"/>
                <w:szCs w:val="22"/>
              </w:rPr>
              <w:t>arbetsprogram 2023</w:t>
            </w:r>
          </w:p>
          <w:p w:rsidR="000516B4" w:rsidRPr="00F87578" w:rsidRDefault="000516B4" w:rsidP="005343B6">
            <w:pPr>
              <w:widowControl/>
              <w:autoSpaceDE w:val="0"/>
              <w:autoSpaceDN w:val="0"/>
              <w:adjustRightInd w:val="0"/>
              <w:rPr>
                <w:b/>
                <w:bCs/>
                <w:color w:val="000000"/>
                <w:sz w:val="22"/>
                <w:szCs w:val="22"/>
              </w:rPr>
            </w:pPr>
          </w:p>
          <w:p w:rsidR="000516B4" w:rsidRPr="00F87578" w:rsidRDefault="000516B4" w:rsidP="005343B6">
            <w:pPr>
              <w:widowControl/>
              <w:autoSpaceDE w:val="0"/>
              <w:autoSpaceDN w:val="0"/>
              <w:adjustRightInd w:val="0"/>
              <w:rPr>
                <w:bCs/>
                <w:color w:val="000000"/>
                <w:sz w:val="22"/>
                <w:szCs w:val="22"/>
              </w:rPr>
            </w:pPr>
            <w:r w:rsidRPr="00F87578">
              <w:rPr>
                <w:bCs/>
                <w:color w:val="000000"/>
                <w:sz w:val="22"/>
                <w:szCs w:val="22"/>
              </w:rPr>
              <w:t xml:space="preserve">Kanslichefen informerade om </w:t>
            </w:r>
            <w:r w:rsidR="00AC2001">
              <w:rPr>
                <w:bCs/>
                <w:color w:val="000000"/>
                <w:sz w:val="22"/>
                <w:szCs w:val="22"/>
              </w:rPr>
              <w:t>möjligheten</w:t>
            </w:r>
            <w:r w:rsidRPr="00F87578">
              <w:rPr>
                <w:bCs/>
                <w:color w:val="000000"/>
                <w:sz w:val="22"/>
                <w:szCs w:val="22"/>
              </w:rPr>
              <w:t xml:space="preserve"> att </w:t>
            </w:r>
            <w:r w:rsidR="00AC2001">
              <w:rPr>
                <w:bCs/>
                <w:color w:val="000000"/>
                <w:sz w:val="22"/>
                <w:szCs w:val="22"/>
              </w:rPr>
              <w:t>föreslå</w:t>
            </w:r>
            <w:r w:rsidRPr="00F87578">
              <w:rPr>
                <w:bCs/>
                <w:color w:val="000000"/>
                <w:sz w:val="22"/>
                <w:szCs w:val="22"/>
              </w:rPr>
              <w:t xml:space="preserve"> lämpliga gransknings</w:t>
            </w:r>
            <w:r w:rsidR="00DA627C">
              <w:rPr>
                <w:bCs/>
                <w:color w:val="000000"/>
                <w:sz w:val="22"/>
                <w:szCs w:val="22"/>
              </w:rPr>
              <w:softHyphen/>
            </w:r>
            <w:r w:rsidRPr="00F87578">
              <w:rPr>
                <w:bCs/>
                <w:color w:val="000000"/>
                <w:sz w:val="22"/>
                <w:szCs w:val="22"/>
              </w:rPr>
              <w:t xml:space="preserve">teman </w:t>
            </w:r>
            <w:r w:rsidR="002802D7">
              <w:rPr>
                <w:bCs/>
                <w:color w:val="000000"/>
                <w:sz w:val="22"/>
                <w:szCs w:val="22"/>
              </w:rPr>
              <w:t>till Europeiska Revisionsrättens</w:t>
            </w:r>
            <w:r w:rsidRPr="00F87578">
              <w:rPr>
                <w:bCs/>
                <w:color w:val="000000"/>
                <w:sz w:val="22"/>
                <w:szCs w:val="22"/>
              </w:rPr>
              <w:t xml:space="preserve"> arbetsprogram för 2023. </w:t>
            </w:r>
          </w:p>
          <w:p w:rsidR="000516B4" w:rsidRPr="00F87578" w:rsidRDefault="000516B4" w:rsidP="005343B6">
            <w:pPr>
              <w:widowControl/>
              <w:autoSpaceDE w:val="0"/>
              <w:autoSpaceDN w:val="0"/>
              <w:adjustRightInd w:val="0"/>
              <w:rPr>
                <w:bCs/>
                <w:color w:val="000000"/>
                <w:sz w:val="22"/>
                <w:szCs w:val="22"/>
              </w:rPr>
            </w:pPr>
          </w:p>
          <w:p w:rsidR="000516B4" w:rsidRPr="00F87578" w:rsidRDefault="000516B4" w:rsidP="005343B6">
            <w:pPr>
              <w:widowControl/>
              <w:autoSpaceDE w:val="0"/>
              <w:autoSpaceDN w:val="0"/>
              <w:adjustRightInd w:val="0"/>
              <w:rPr>
                <w:bCs/>
                <w:color w:val="000000"/>
                <w:sz w:val="22"/>
                <w:szCs w:val="22"/>
              </w:rPr>
            </w:pPr>
            <w:r w:rsidRPr="00F87578">
              <w:rPr>
                <w:bCs/>
                <w:color w:val="000000"/>
                <w:sz w:val="22"/>
                <w:szCs w:val="22"/>
              </w:rPr>
              <w:t>Inspel</w:t>
            </w:r>
            <w:r w:rsidR="002802D7">
              <w:rPr>
                <w:bCs/>
                <w:color w:val="000000"/>
                <w:sz w:val="22"/>
                <w:szCs w:val="22"/>
              </w:rPr>
              <w:t xml:space="preserve"> kan</w:t>
            </w:r>
            <w:r w:rsidRPr="00F87578">
              <w:rPr>
                <w:bCs/>
                <w:color w:val="000000"/>
                <w:sz w:val="22"/>
                <w:szCs w:val="22"/>
              </w:rPr>
              <w:t xml:space="preserve"> </w:t>
            </w:r>
            <w:r w:rsidR="002802D7">
              <w:rPr>
                <w:bCs/>
                <w:color w:val="000000"/>
                <w:sz w:val="22"/>
                <w:szCs w:val="22"/>
              </w:rPr>
              <w:t>s</w:t>
            </w:r>
            <w:r w:rsidRPr="00F87578">
              <w:rPr>
                <w:bCs/>
                <w:color w:val="000000"/>
                <w:sz w:val="22"/>
                <w:szCs w:val="22"/>
              </w:rPr>
              <w:t xml:space="preserve">enast </w:t>
            </w:r>
            <w:r w:rsidR="002802D7">
              <w:rPr>
                <w:bCs/>
                <w:color w:val="000000"/>
                <w:sz w:val="22"/>
                <w:szCs w:val="22"/>
              </w:rPr>
              <w:t>l</w:t>
            </w:r>
            <w:r w:rsidR="002802D7" w:rsidRPr="00F87578">
              <w:rPr>
                <w:bCs/>
                <w:color w:val="000000"/>
                <w:sz w:val="22"/>
                <w:szCs w:val="22"/>
              </w:rPr>
              <w:t xml:space="preserve">ämnas </w:t>
            </w:r>
            <w:r w:rsidR="002802D7">
              <w:rPr>
                <w:bCs/>
                <w:color w:val="000000"/>
                <w:sz w:val="22"/>
                <w:szCs w:val="22"/>
              </w:rPr>
              <w:t xml:space="preserve">i </w:t>
            </w:r>
            <w:r w:rsidRPr="00F87578">
              <w:rPr>
                <w:bCs/>
                <w:color w:val="000000"/>
                <w:sz w:val="22"/>
                <w:szCs w:val="22"/>
              </w:rPr>
              <w:t>mitten av mars</w:t>
            </w:r>
            <w:r w:rsidR="00EE1713" w:rsidRPr="00F87578">
              <w:rPr>
                <w:bCs/>
                <w:color w:val="000000"/>
                <w:sz w:val="22"/>
                <w:szCs w:val="22"/>
              </w:rPr>
              <w:t xml:space="preserve"> 20</w:t>
            </w:r>
            <w:r w:rsidRPr="00F87578">
              <w:rPr>
                <w:bCs/>
                <w:color w:val="000000"/>
                <w:sz w:val="22"/>
                <w:szCs w:val="22"/>
              </w:rPr>
              <w:t xml:space="preserve">22. </w:t>
            </w:r>
          </w:p>
          <w:p w:rsidR="000516B4" w:rsidRPr="00F87578" w:rsidRDefault="000516B4" w:rsidP="005343B6">
            <w:pPr>
              <w:widowControl/>
              <w:autoSpaceDE w:val="0"/>
              <w:autoSpaceDN w:val="0"/>
              <w:adjustRightInd w:val="0"/>
              <w:rPr>
                <w:b/>
                <w:bCs/>
                <w:color w:val="000000"/>
                <w:sz w:val="22"/>
                <w:szCs w:val="22"/>
              </w:rPr>
            </w:pPr>
          </w:p>
        </w:tc>
      </w:tr>
      <w:tr w:rsidR="006A531C" w:rsidRPr="00F87578" w:rsidTr="00AC2001">
        <w:tc>
          <w:tcPr>
            <w:tcW w:w="567" w:type="dxa"/>
          </w:tcPr>
          <w:p w:rsidR="006A531C" w:rsidRPr="00F87578" w:rsidRDefault="006A531C" w:rsidP="004D5AFA">
            <w:pPr>
              <w:tabs>
                <w:tab w:val="left" w:pos="1701"/>
              </w:tabs>
              <w:rPr>
                <w:b/>
                <w:snapToGrid w:val="0"/>
                <w:sz w:val="22"/>
                <w:szCs w:val="22"/>
              </w:rPr>
            </w:pPr>
            <w:r w:rsidRPr="00F87578">
              <w:rPr>
                <w:b/>
                <w:snapToGrid w:val="0"/>
                <w:sz w:val="22"/>
                <w:szCs w:val="22"/>
              </w:rPr>
              <w:t>§ 12</w:t>
            </w:r>
          </w:p>
        </w:tc>
        <w:tc>
          <w:tcPr>
            <w:tcW w:w="6946" w:type="dxa"/>
            <w:gridSpan w:val="2"/>
          </w:tcPr>
          <w:p w:rsidR="00967A40" w:rsidRPr="00F87578" w:rsidRDefault="00967A40" w:rsidP="00967A40">
            <w:pPr>
              <w:rPr>
                <w:rFonts w:eastAsiaTheme="minorHAnsi"/>
                <w:b/>
                <w:bCs/>
                <w:color w:val="000000"/>
                <w:sz w:val="22"/>
                <w:szCs w:val="22"/>
                <w:lang w:eastAsia="en-US"/>
              </w:rPr>
            </w:pPr>
            <w:r w:rsidRPr="00F87578">
              <w:rPr>
                <w:rFonts w:eastAsiaTheme="minorHAnsi"/>
                <w:b/>
                <w:bCs/>
                <w:color w:val="000000"/>
                <w:sz w:val="22"/>
                <w:szCs w:val="22"/>
                <w:lang w:eastAsia="en-US"/>
              </w:rPr>
              <w:t>Förslag om utskottsinitiativ om Åtgärder för att minska djurförsöken (MP)</w:t>
            </w:r>
          </w:p>
          <w:p w:rsidR="00967A40" w:rsidRPr="00F87578" w:rsidRDefault="00967A40" w:rsidP="00967A40">
            <w:pPr>
              <w:rPr>
                <w:rFonts w:eastAsiaTheme="minorHAnsi"/>
                <w:b/>
                <w:bCs/>
                <w:color w:val="000000"/>
                <w:sz w:val="22"/>
                <w:szCs w:val="22"/>
                <w:lang w:eastAsia="en-US"/>
              </w:rPr>
            </w:pPr>
          </w:p>
          <w:p w:rsidR="00967A40" w:rsidRPr="00F87578" w:rsidRDefault="00967A40" w:rsidP="00967A40">
            <w:pPr>
              <w:rPr>
                <w:rFonts w:eastAsiaTheme="minorHAnsi"/>
                <w:bCs/>
                <w:color w:val="000000"/>
                <w:sz w:val="22"/>
                <w:szCs w:val="22"/>
                <w:lang w:eastAsia="en-US"/>
              </w:rPr>
            </w:pPr>
            <w:r w:rsidRPr="00F87578">
              <w:rPr>
                <w:bCs/>
                <w:color w:val="000000"/>
                <w:sz w:val="22"/>
                <w:szCs w:val="22"/>
              </w:rPr>
              <w:t xml:space="preserve">MP-ledamoten föreslog att utskottet skulle ta ett initiativ om åtgärder för att minska djurförsöken, se bilaga 4. </w:t>
            </w:r>
          </w:p>
          <w:p w:rsidR="00967A40" w:rsidRPr="00F87578" w:rsidRDefault="00967A40" w:rsidP="00967A40">
            <w:pPr>
              <w:pStyle w:val="paragraph"/>
              <w:spacing w:before="0" w:beforeAutospacing="0" w:after="0" w:afterAutospacing="0"/>
              <w:textAlignment w:val="baseline"/>
              <w:rPr>
                <w:rFonts w:ascii="Times New Roman" w:hAnsi="Times New Roman" w:cs="Times New Roman"/>
                <w:bCs/>
                <w:color w:val="000000"/>
              </w:rPr>
            </w:pPr>
          </w:p>
          <w:p w:rsidR="00967A40" w:rsidRPr="00F87578" w:rsidRDefault="00967A40" w:rsidP="00967A40">
            <w:pPr>
              <w:rPr>
                <w:snapToGrid w:val="0"/>
                <w:sz w:val="22"/>
                <w:szCs w:val="22"/>
              </w:rPr>
            </w:pPr>
            <w:r w:rsidRPr="00F87578">
              <w:rPr>
                <w:snapToGrid w:val="0"/>
                <w:sz w:val="22"/>
                <w:szCs w:val="22"/>
              </w:rPr>
              <w:t>Ärendet bordlades.</w:t>
            </w:r>
          </w:p>
          <w:p w:rsidR="006A531C" w:rsidRPr="00F87578" w:rsidRDefault="006A531C" w:rsidP="005343B6">
            <w:pPr>
              <w:widowControl/>
              <w:autoSpaceDE w:val="0"/>
              <w:autoSpaceDN w:val="0"/>
              <w:adjustRightInd w:val="0"/>
              <w:rPr>
                <w:b/>
                <w:bCs/>
                <w:color w:val="000000"/>
                <w:sz w:val="22"/>
                <w:szCs w:val="22"/>
              </w:rPr>
            </w:pPr>
          </w:p>
        </w:tc>
      </w:tr>
      <w:tr w:rsidR="004D5AFA" w:rsidRPr="00F87578" w:rsidTr="00AC2001">
        <w:tc>
          <w:tcPr>
            <w:tcW w:w="567" w:type="dxa"/>
          </w:tcPr>
          <w:p w:rsidR="004D5AFA" w:rsidRPr="00F87578" w:rsidRDefault="004D5AFA" w:rsidP="004D5AFA">
            <w:pPr>
              <w:tabs>
                <w:tab w:val="left" w:pos="1701"/>
              </w:tabs>
              <w:rPr>
                <w:b/>
                <w:snapToGrid w:val="0"/>
                <w:sz w:val="22"/>
                <w:szCs w:val="22"/>
              </w:rPr>
            </w:pPr>
            <w:r w:rsidRPr="00F87578">
              <w:rPr>
                <w:b/>
                <w:snapToGrid w:val="0"/>
                <w:sz w:val="22"/>
                <w:szCs w:val="22"/>
              </w:rPr>
              <w:t xml:space="preserve">§ </w:t>
            </w:r>
            <w:r w:rsidR="00B728C1" w:rsidRPr="00F87578">
              <w:rPr>
                <w:b/>
                <w:snapToGrid w:val="0"/>
                <w:sz w:val="22"/>
                <w:szCs w:val="22"/>
              </w:rPr>
              <w:t>1</w:t>
            </w:r>
            <w:r w:rsidR="006A531C" w:rsidRPr="00F87578">
              <w:rPr>
                <w:b/>
                <w:snapToGrid w:val="0"/>
                <w:sz w:val="22"/>
                <w:szCs w:val="22"/>
              </w:rPr>
              <w:t>3</w:t>
            </w:r>
          </w:p>
        </w:tc>
        <w:tc>
          <w:tcPr>
            <w:tcW w:w="6946" w:type="dxa"/>
            <w:gridSpan w:val="2"/>
          </w:tcPr>
          <w:p w:rsidR="004D5AFA" w:rsidRPr="00F87578" w:rsidRDefault="004D5AFA" w:rsidP="004D5AFA">
            <w:pPr>
              <w:rPr>
                <w:rFonts w:eastAsiaTheme="minorHAnsi"/>
                <w:bCs/>
                <w:color w:val="000000"/>
                <w:sz w:val="22"/>
                <w:szCs w:val="22"/>
                <w:lang w:eastAsia="en-US"/>
              </w:rPr>
            </w:pPr>
            <w:r w:rsidRPr="00F87578">
              <w:rPr>
                <w:b/>
                <w:bCs/>
                <w:color w:val="000000"/>
                <w:sz w:val="22"/>
                <w:szCs w:val="22"/>
              </w:rPr>
              <w:t>Nästa sammanträde</w:t>
            </w:r>
          </w:p>
          <w:p w:rsidR="004D5AFA" w:rsidRPr="00F87578" w:rsidRDefault="004D5AFA" w:rsidP="004D5AFA">
            <w:pPr>
              <w:rPr>
                <w:rFonts w:eastAsiaTheme="minorHAnsi"/>
                <w:bCs/>
                <w:color w:val="000000"/>
                <w:sz w:val="22"/>
                <w:szCs w:val="22"/>
                <w:lang w:eastAsia="en-US"/>
              </w:rPr>
            </w:pPr>
          </w:p>
          <w:p w:rsidR="004D5AFA" w:rsidRPr="00F87578" w:rsidRDefault="004D5AFA" w:rsidP="004D5AFA">
            <w:pPr>
              <w:rPr>
                <w:snapToGrid w:val="0"/>
                <w:sz w:val="22"/>
                <w:szCs w:val="22"/>
              </w:rPr>
            </w:pPr>
            <w:r w:rsidRPr="00F87578">
              <w:rPr>
                <w:snapToGrid w:val="0"/>
                <w:sz w:val="22"/>
                <w:szCs w:val="22"/>
              </w:rPr>
              <w:t>Nästa sammanträde äger rum t</w:t>
            </w:r>
            <w:r w:rsidR="002A2A4C" w:rsidRPr="00F87578">
              <w:rPr>
                <w:snapToGrid w:val="0"/>
                <w:sz w:val="22"/>
                <w:szCs w:val="22"/>
              </w:rPr>
              <w:t>ors</w:t>
            </w:r>
            <w:r w:rsidRPr="00F87578">
              <w:rPr>
                <w:snapToGrid w:val="0"/>
                <w:sz w:val="22"/>
                <w:szCs w:val="22"/>
              </w:rPr>
              <w:t xml:space="preserve">dagen den </w:t>
            </w:r>
            <w:r w:rsidR="00993254" w:rsidRPr="00F87578">
              <w:rPr>
                <w:snapToGrid w:val="0"/>
                <w:sz w:val="22"/>
                <w:szCs w:val="22"/>
              </w:rPr>
              <w:t>24</w:t>
            </w:r>
            <w:r w:rsidRPr="00F87578">
              <w:rPr>
                <w:snapToGrid w:val="0"/>
                <w:sz w:val="22"/>
                <w:szCs w:val="22"/>
              </w:rPr>
              <w:t xml:space="preserve"> februari 2022 kl. </w:t>
            </w:r>
            <w:r w:rsidR="002A2A4C" w:rsidRPr="00F87578">
              <w:rPr>
                <w:snapToGrid w:val="0"/>
                <w:sz w:val="22"/>
                <w:szCs w:val="22"/>
              </w:rPr>
              <w:t>0</w:t>
            </w:r>
            <w:r w:rsidR="009810EF" w:rsidRPr="00F87578">
              <w:rPr>
                <w:snapToGrid w:val="0"/>
                <w:sz w:val="22"/>
                <w:szCs w:val="22"/>
              </w:rPr>
              <w:t>8</w:t>
            </w:r>
            <w:r w:rsidRPr="00F87578">
              <w:rPr>
                <w:snapToGrid w:val="0"/>
                <w:sz w:val="22"/>
                <w:szCs w:val="22"/>
              </w:rPr>
              <w:t>.</w:t>
            </w:r>
            <w:r w:rsidR="009810EF" w:rsidRPr="00F87578">
              <w:rPr>
                <w:snapToGrid w:val="0"/>
                <w:sz w:val="22"/>
                <w:szCs w:val="22"/>
              </w:rPr>
              <w:t>3</w:t>
            </w:r>
            <w:r w:rsidRPr="00F87578">
              <w:rPr>
                <w:snapToGrid w:val="0"/>
                <w:sz w:val="22"/>
                <w:szCs w:val="22"/>
              </w:rPr>
              <w:t>0.</w:t>
            </w:r>
          </w:p>
          <w:p w:rsidR="004D5AFA" w:rsidRPr="00F87578" w:rsidRDefault="004D5AFA" w:rsidP="004D5AFA">
            <w:pPr>
              <w:rPr>
                <w:rFonts w:eastAsiaTheme="minorHAnsi"/>
                <w:bCs/>
                <w:color w:val="000000"/>
                <w:sz w:val="22"/>
                <w:szCs w:val="22"/>
                <w:lang w:eastAsia="en-US"/>
              </w:rPr>
            </w:pPr>
          </w:p>
        </w:tc>
      </w:tr>
      <w:tr w:rsidR="004D5AFA" w:rsidRPr="00F87578" w:rsidTr="002241EF">
        <w:trPr>
          <w:gridAfter w:val="1"/>
          <w:wAfter w:w="357" w:type="dxa"/>
        </w:trPr>
        <w:tc>
          <w:tcPr>
            <w:tcW w:w="7156" w:type="dxa"/>
            <w:gridSpan w:val="2"/>
          </w:tcPr>
          <w:p w:rsidR="004D5AFA" w:rsidRPr="00F87578" w:rsidRDefault="004D5AFA" w:rsidP="004D5AFA">
            <w:pPr>
              <w:tabs>
                <w:tab w:val="left" w:pos="1701"/>
              </w:tabs>
              <w:rPr>
                <w:sz w:val="22"/>
                <w:szCs w:val="22"/>
              </w:rPr>
            </w:pPr>
          </w:p>
          <w:p w:rsidR="004D5AFA" w:rsidRPr="00F87578" w:rsidRDefault="004D5AFA" w:rsidP="004D5AFA">
            <w:pPr>
              <w:tabs>
                <w:tab w:val="left" w:pos="1701"/>
              </w:tabs>
              <w:rPr>
                <w:sz w:val="22"/>
                <w:szCs w:val="22"/>
              </w:rPr>
            </w:pPr>
            <w:r w:rsidRPr="00F87578">
              <w:rPr>
                <w:sz w:val="22"/>
                <w:szCs w:val="22"/>
              </w:rPr>
              <w:t>Vid protokollet</w:t>
            </w:r>
          </w:p>
          <w:p w:rsidR="004D5AFA" w:rsidRPr="00F87578" w:rsidRDefault="004D5AFA" w:rsidP="004D5AFA">
            <w:pPr>
              <w:tabs>
                <w:tab w:val="left" w:pos="1701"/>
              </w:tabs>
              <w:rPr>
                <w:sz w:val="22"/>
                <w:szCs w:val="22"/>
              </w:rPr>
            </w:pPr>
          </w:p>
          <w:p w:rsidR="004D5AFA" w:rsidRPr="00F87578" w:rsidRDefault="004D5AFA" w:rsidP="004D5AFA">
            <w:pPr>
              <w:tabs>
                <w:tab w:val="left" w:pos="1701"/>
              </w:tabs>
              <w:rPr>
                <w:sz w:val="22"/>
                <w:szCs w:val="22"/>
              </w:rPr>
            </w:pPr>
          </w:p>
          <w:p w:rsidR="004D5AFA" w:rsidRPr="00F87578" w:rsidRDefault="004D5AFA" w:rsidP="004D5AFA">
            <w:pPr>
              <w:tabs>
                <w:tab w:val="left" w:pos="1701"/>
              </w:tabs>
              <w:rPr>
                <w:sz w:val="22"/>
                <w:szCs w:val="22"/>
              </w:rPr>
            </w:pPr>
            <w:bookmarkStart w:id="1" w:name="_GoBack"/>
            <w:bookmarkEnd w:id="1"/>
          </w:p>
          <w:p w:rsidR="004D5AFA" w:rsidRPr="00F87578" w:rsidRDefault="004D5AFA" w:rsidP="004D5AFA">
            <w:pPr>
              <w:tabs>
                <w:tab w:val="left" w:pos="1701"/>
              </w:tabs>
              <w:rPr>
                <w:sz w:val="22"/>
                <w:szCs w:val="22"/>
              </w:rPr>
            </w:pPr>
            <w:r w:rsidRPr="00F87578">
              <w:rPr>
                <w:sz w:val="22"/>
                <w:szCs w:val="22"/>
              </w:rPr>
              <w:t xml:space="preserve">Justeras den </w:t>
            </w:r>
            <w:r w:rsidR="000543D9" w:rsidRPr="00F87578">
              <w:rPr>
                <w:sz w:val="22"/>
                <w:szCs w:val="22"/>
              </w:rPr>
              <w:t>3</w:t>
            </w:r>
            <w:r w:rsidR="00993254" w:rsidRPr="00F87578">
              <w:rPr>
                <w:sz w:val="22"/>
                <w:szCs w:val="22"/>
              </w:rPr>
              <w:t xml:space="preserve"> mars</w:t>
            </w:r>
            <w:r w:rsidRPr="00F87578">
              <w:rPr>
                <w:sz w:val="22"/>
                <w:szCs w:val="22"/>
              </w:rPr>
              <w:t xml:space="preserve"> 2022</w:t>
            </w:r>
          </w:p>
          <w:p w:rsidR="004D5AFA" w:rsidRPr="00F87578" w:rsidRDefault="004D5AFA" w:rsidP="004D5AFA">
            <w:pPr>
              <w:tabs>
                <w:tab w:val="left" w:pos="1701"/>
              </w:tabs>
              <w:rPr>
                <w:sz w:val="22"/>
                <w:szCs w:val="22"/>
              </w:rPr>
            </w:pPr>
          </w:p>
          <w:p w:rsidR="004D5AFA" w:rsidRPr="00F87578" w:rsidRDefault="004D5AFA" w:rsidP="004D5AFA">
            <w:pPr>
              <w:tabs>
                <w:tab w:val="left" w:pos="1701"/>
              </w:tabs>
              <w:rPr>
                <w:b/>
                <w:sz w:val="22"/>
                <w:szCs w:val="22"/>
              </w:rPr>
            </w:pPr>
          </w:p>
          <w:p w:rsidR="004D5AFA" w:rsidRPr="00F87578" w:rsidRDefault="004D5AFA" w:rsidP="004D5AFA">
            <w:pPr>
              <w:tabs>
                <w:tab w:val="left" w:pos="1701"/>
              </w:tabs>
              <w:rPr>
                <w:b/>
                <w:sz w:val="22"/>
                <w:szCs w:val="22"/>
              </w:rPr>
            </w:pPr>
          </w:p>
          <w:p w:rsidR="004D5AFA" w:rsidRDefault="004D5AFA" w:rsidP="004D5AFA">
            <w:pPr>
              <w:tabs>
                <w:tab w:val="left" w:pos="1701"/>
              </w:tabs>
              <w:rPr>
                <w:sz w:val="22"/>
                <w:szCs w:val="22"/>
              </w:rPr>
            </w:pPr>
          </w:p>
          <w:p w:rsidR="00A549F6" w:rsidRDefault="00A549F6" w:rsidP="004D5AFA">
            <w:pPr>
              <w:tabs>
                <w:tab w:val="left" w:pos="1701"/>
              </w:tabs>
              <w:rPr>
                <w:sz w:val="22"/>
                <w:szCs w:val="22"/>
              </w:rPr>
            </w:pPr>
          </w:p>
          <w:p w:rsidR="00A549F6" w:rsidRDefault="00A549F6" w:rsidP="004D5AFA">
            <w:pPr>
              <w:tabs>
                <w:tab w:val="left" w:pos="1701"/>
              </w:tabs>
              <w:rPr>
                <w:sz w:val="22"/>
                <w:szCs w:val="22"/>
              </w:rPr>
            </w:pPr>
          </w:p>
          <w:p w:rsidR="00A549F6" w:rsidRPr="00F87578" w:rsidRDefault="00A549F6" w:rsidP="004D5AFA">
            <w:pPr>
              <w:tabs>
                <w:tab w:val="left" w:pos="1701"/>
              </w:tabs>
              <w:rPr>
                <w:sz w:val="22"/>
                <w:szCs w:val="22"/>
              </w:rPr>
            </w:pPr>
            <w:r>
              <w:rPr>
                <w:sz w:val="22"/>
                <w:szCs w:val="22"/>
              </w:rPr>
              <w:t>Kristina Yngwe</w:t>
            </w:r>
          </w:p>
        </w:tc>
      </w:tr>
    </w:tbl>
    <w:p w:rsidR="00177FF8" w:rsidRPr="00F87578" w:rsidRDefault="00177FF8">
      <w:pPr>
        <w:tabs>
          <w:tab w:val="left" w:pos="1701"/>
        </w:tabs>
        <w:rPr>
          <w:sz w:val="22"/>
          <w:szCs w:val="22"/>
        </w:rPr>
      </w:pPr>
    </w:p>
    <w:p w:rsidR="00B96E81" w:rsidRPr="00F87578" w:rsidRDefault="00B96E81" w:rsidP="001806D9">
      <w:pPr>
        <w:pStyle w:val="Brdtext"/>
        <w:rPr>
          <w:sz w:val="22"/>
          <w:szCs w:val="22"/>
        </w:rPr>
        <w:sectPr w:rsidR="00B96E81" w:rsidRPr="00F87578"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F87578" w:rsidTr="00AC2001">
        <w:trPr>
          <w:gridAfter w:val="1"/>
          <w:wAfter w:w="142" w:type="dxa"/>
        </w:trPr>
        <w:tc>
          <w:tcPr>
            <w:tcW w:w="3969" w:type="dxa"/>
            <w:tcBorders>
              <w:top w:val="nil"/>
              <w:left w:val="nil"/>
              <w:bottom w:val="nil"/>
              <w:right w:val="nil"/>
            </w:tcBorders>
          </w:tcPr>
          <w:p w:rsidR="009823FA" w:rsidRPr="00F87578" w:rsidRDefault="009823FA" w:rsidP="00AC2001">
            <w:pPr>
              <w:tabs>
                <w:tab w:val="left" w:pos="1701"/>
              </w:tabs>
              <w:rPr>
                <w:sz w:val="22"/>
                <w:szCs w:val="22"/>
              </w:rPr>
            </w:pPr>
            <w:bookmarkStart w:id="2" w:name="_Hlk94254676"/>
            <w:r w:rsidRPr="00F87578">
              <w:rPr>
                <w:sz w:val="22"/>
                <w:szCs w:val="22"/>
              </w:rPr>
              <w:lastRenderedPageBreak/>
              <w:br w:type="page"/>
            </w:r>
            <w:r w:rsidRPr="00F87578">
              <w:rPr>
                <w:sz w:val="22"/>
                <w:szCs w:val="22"/>
              </w:rPr>
              <w:br w:type="page"/>
              <w:t>MILJÖ- OCH JORDBRUKS- UTSKOTTET</w:t>
            </w:r>
          </w:p>
        </w:tc>
        <w:tc>
          <w:tcPr>
            <w:tcW w:w="3260" w:type="dxa"/>
            <w:gridSpan w:val="8"/>
            <w:tcBorders>
              <w:top w:val="nil"/>
              <w:left w:val="nil"/>
              <w:bottom w:val="nil"/>
              <w:right w:val="nil"/>
            </w:tcBorders>
          </w:tcPr>
          <w:p w:rsidR="009823FA" w:rsidRPr="00F87578" w:rsidRDefault="009823FA" w:rsidP="00AC2001">
            <w:pPr>
              <w:tabs>
                <w:tab w:val="left" w:pos="1701"/>
              </w:tabs>
              <w:rPr>
                <w:b/>
                <w:sz w:val="22"/>
                <w:szCs w:val="22"/>
              </w:rPr>
            </w:pPr>
            <w:r w:rsidRPr="00F87578">
              <w:rPr>
                <w:b/>
                <w:sz w:val="22"/>
                <w:szCs w:val="22"/>
              </w:rPr>
              <w:t>NÄRVAROFÖRTECKNING</w:t>
            </w:r>
          </w:p>
        </w:tc>
        <w:tc>
          <w:tcPr>
            <w:tcW w:w="1843" w:type="dxa"/>
            <w:gridSpan w:val="5"/>
            <w:tcBorders>
              <w:top w:val="nil"/>
              <w:left w:val="nil"/>
              <w:bottom w:val="nil"/>
              <w:right w:val="nil"/>
            </w:tcBorders>
          </w:tcPr>
          <w:p w:rsidR="009823FA" w:rsidRPr="00F87578" w:rsidRDefault="009823FA" w:rsidP="00AC2001">
            <w:pPr>
              <w:tabs>
                <w:tab w:val="left" w:pos="1701"/>
              </w:tabs>
              <w:rPr>
                <w:sz w:val="22"/>
                <w:szCs w:val="22"/>
              </w:rPr>
            </w:pPr>
            <w:r w:rsidRPr="00F87578">
              <w:rPr>
                <w:b/>
                <w:sz w:val="22"/>
                <w:szCs w:val="22"/>
              </w:rPr>
              <w:t xml:space="preserve">Bilaga 1 </w:t>
            </w:r>
            <w:r w:rsidRPr="00F87578">
              <w:rPr>
                <w:sz w:val="22"/>
                <w:szCs w:val="22"/>
              </w:rPr>
              <w:t xml:space="preserve">till </w:t>
            </w:r>
          </w:p>
          <w:p w:rsidR="009823FA" w:rsidRPr="00F87578" w:rsidRDefault="009823FA" w:rsidP="00AC2001">
            <w:pPr>
              <w:tabs>
                <w:tab w:val="left" w:pos="1701"/>
              </w:tabs>
              <w:rPr>
                <w:sz w:val="22"/>
                <w:szCs w:val="22"/>
              </w:rPr>
            </w:pPr>
            <w:r w:rsidRPr="00F87578">
              <w:rPr>
                <w:sz w:val="22"/>
                <w:szCs w:val="22"/>
              </w:rPr>
              <w:t>prot. 20</w:t>
            </w:r>
            <w:r w:rsidR="007A1132" w:rsidRPr="00F87578">
              <w:rPr>
                <w:sz w:val="22"/>
                <w:szCs w:val="22"/>
              </w:rPr>
              <w:t>2</w:t>
            </w:r>
            <w:r w:rsidR="007F4080" w:rsidRPr="00F87578">
              <w:rPr>
                <w:sz w:val="22"/>
                <w:szCs w:val="22"/>
              </w:rPr>
              <w:t>1</w:t>
            </w:r>
            <w:r w:rsidRPr="00F87578">
              <w:rPr>
                <w:sz w:val="22"/>
                <w:szCs w:val="22"/>
              </w:rPr>
              <w:t>/</w:t>
            </w:r>
            <w:r w:rsidR="000E777E" w:rsidRPr="00F87578">
              <w:rPr>
                <w:sz w:val="22"/>
                <w:szCs w:val="22"/>
              </w:rPr>
              <w:t>2</w:t>
            </w:r>
            <w:r w:rsidR="007F4080" w:rsidRPr="00F87578">
              <w:rPr>
                <w:sz w:val="22"/>
                <w:szCs w:val="22"/>
              </w:rPr>
              <w:t>2</w:t>
            </w:r>
            <w:r w:rsidRPr="00F87578">
              <w:rPr>
                <w:sz w:val="22"/>
                <w:szCs w:val="22"/>
              </w:rPr>
              <w:t>:</w:t>
            </w:r>
            <w:r w:rsidR="00033318" w:rsidRPr="00F87578">
              <w:rPr>
                <w:sz w:val="22"/>
                <w:szCs w:val="22"/>
              </w:rPr>
              <w:t>3</w:t>
            </w:r>
            <w:r w:rsidR="00C9733E" w:rsidRPr="00F87578">
              <w:rPr>
                <w:sz w:val="22"/>
                <w:szCs w:val="22"/>
              </w:rPr>
              <w:t>3</w:t>
            </w:r>
          </w:p>
        </w:tc>
      </w:tr>
      <w:tr w:rsidR="009823FA"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F87578" w:rsidRDefault="009823FA" w:rsidP="00AC2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F8757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 xml:space="preserve">§ </w:t>
            </w:r>
            <w:r w:rsidR="006A531C" w:rsidRPr="00F87578">
              <w:rPr>
                <w:sz w:val="22"/>
                <w:szCs w:val="22"/>
              </w:rPr>
              <w:t>1–4</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F87578" w:rsidRDefault="009823FA" w:rsidP="00AC2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 xml:space="preserve"> </w:t>
            </w:r>
            <w:r w:rsidR="006A531C" w:rsidRPr="00F87578">
              <w:rPr>
                <w:sz w:val="22"/>
                <w:szCs w:val="22"/>
              </w:rPr>
              <w:t>§ 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F87578" w:rsidRDefault="006A531C" w:rsidP="00AC2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 6–8</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F87578" w:rsidRDefault="006A531C" w:rsidP="00AC2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 9–11</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F87578" w:rsidRDefault="006A531C" w:rsidP="00AC2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 12–13</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F87578" w:rsidRDefault="009823FA" w:rsidP="00AC20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V</w:t>
            </w: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F87578" w:rsidRDefault="00B40F4D" w:rsidP="00B40F4D">
            <w:pPr>
              <w:spacing w:line="256" w:lineRule="auto"/>
              <w:rPr>
                <w:color w:val="000000"/>
                <w:sz w:val="22"/>
                <w:szCs w:val="22"/>
                <w:lang w:val="en-US"/>
              </w:rPr>
            </w:pPr>
            <w:r w:rsidRPr="00F87578">
              <w:rPr>
                <w:sz w:val="22"/>
                <w:szCs w:val="22"/>
                <w:lang w:eastAsia="en-US"/>
              </w:rPr>
              <w:t>Kristina Yngwe (C),</w:t>
            </w:r>
            <w:r w:rsidRPr="00F87578">
              <w:rPr>
                <w:color w:val="000000"/>
                <w:sz w:val="22"/>
                <w:szCs w:val="22"/>
                <w:lang w:val="en-US"/>
              </w:rPr>
              <w:t xml:space="preserve"> </w:t>
            </w:r>
            <w:proofErr w:type="spellStart"/>
            <w:r w:rsidRPr="00F87578">
              <w:rPr>
                <w:color w:val="000000"/>
                <w:sz w:val="22"/>
                <w:szCs w:val="22"/>
                <w:lang w:val="en-US"/>
              </w:rPr>
              <w:t>ordf</w:t>
            </w:r>
            <w:proofErr w:type="spellEnd"/>
            <w:r w:rsidRPr="00F87578">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val="en-US" w:eastAsia="en-US"/>
              </w:rPr>
            </w:pPr>
            <w:r w:rsidRPr="00F87578">
              <w:rPr>
                <w:sz w:val="22"/>
                <w:szCs w:val="22"/>
                <w:lang w:val="en-US" w:eastAsia="en-US"/>
              </w:rPr>
              <w:t xml:space="preserve">Jessica Rosencrantz (M), </w:t>
            </w:r>
            <w:proofErr w:type="spellStart"/>
            <w:r w:rsidRPr="00F87578">
              <w:rPr>
                <w:sz w:val="22"/>
                <w:szCs w:val="22"/>
                <w:lang w:val="en-US" w:eastAsia="en-US"/>
              </w:rPr>
              <w:t>andre</w:t>
            </w:r>
            <w:proofErr w:type="spellEnd"/>
            <w:r w:rsidRPr="00F87578">
              <w:rPr>
                <w:sz w:val="22"/>
                <w:szCs w:val="22"/>
                <w:lang w:val="en-US" w:eastAsia="en-US"/>
              </w:rPr>
              <w:t xml:space="preserve"> vice </w:t>
            </w:r>
            <w:proofErr w:type="spellStart"/>
            <w:r w:rsidRPr="00F87578">
              <w:rPr>
                <w:sz w:val="22"/>
                <w:szCs w:val="22"/>
                <w:lang w:val="en-US" w:eastAsia="en-US"/>
              </w:rPr>
              <w:t>ordf</w:t>
            </w:r>
            <w:proofErr w:type="spellEnd"/>
            <w:r w:rsidRPr="00F87578">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val="en-US" w:eastAsia="en-US"/>
              </w:rPr>
            </w:pPr>
            <w:r w:rsidRPr="00F87578">
              <w:rPr>
                <w:sz w:val="22"/>
                <w:szCs w:val="22"/>
                <w:lang w:val="en-US" w:eastAsia="en-US"/>
              </w:rPr>
              <w:t xml:space="preserve">Isak </w:t>
            </w:r>
            <w:proofErr w:type="gramStart"/>
            <w:r w:rsidRPr="00F87578">
              <w:rPr>
                <w:sz w:val="22"/>
                <w:szCs w:val="22"/>
                <w:lang w:val="en-US" w:eastAsia="en-US"/>
              </w:rPr>
              <w:t>From</w:t>
            </w:r>
            <w:proofErr w:type="gramEnd"/>
            <w:r w:rsidRPr="00F87578">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87578">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87578">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CA0AAD" w:rsidP="00B40F4D">
            <w:pPr>
              <w:spacing w:line="256" w:lineRule="auto"/>
              <w:rPr>
                <w:sz w:val="22"/>
                <w:szCs w:val="22"/>
                <w:lang w:eastAsia="en-US"/>
              </w:rPr>
            </w:pPr>
            <w:r w:rsidRPr="00F87578">
              <w:rPr>
                <w:sz w:val="22"/>
                <w:szCs w:val="22"/>
                <w:lang w:eastAsia="en-US"/>
              </w:rPr>
              <w:t>Jakob Olofsgård</w:t>
            </w:r>
            <w:r w:rsidR="00B40F4D" w:rsidRPr="00F8757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DC305F" w:rsidP="00B40F4D">
            <w:pPr>
              <w:spacing w:line="256" w:lineRule="auto"/>
              <w:rPr>
                <w:sz w:val="22"/>
                <w:szCs w:val="22"/>
                <w:lang w:eastAsia="en-US"/>
              </w:rPr>
            </w:pPr>
            <w:r w:rsidRPr="00F87578">
              <w:rPr>
                <w:sz w:val="22"/>
                <w:szCs w:val="22"/>
                <w:lang w:val="en-US" w:eastAsia="en-US"/>
              </w:rPr>
              <w:t xml:space="preserve">Staffan Eklöf </w:t>
            </w:r>
            <w:r w:rsidR="00B40F4D" w:rsidRPr="00F8757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sz w:val="22"/>
                <w:szCs w:val="22"/>
                <w:lang w:eastAsia="en-US"/>
              </w:rPr>
            </w:pPr>
            <w:r w:rsidRPr="00F87578">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spacing w:line="256" w:lineRule="auto"/>
              <w:rPr>
                <w:b/>
                <w:i/>
                <w:sz w:val="22"/>
                <w:szCs w:val="22"/>
                <w:lang w:eastAsia="en-US"/>
              </w:rPr>
            </w:pPr>
            <w:r w:rsidRPr="00F87578">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6D5F8F" w:rsidP="00B40F4D">
            <w:pPr>
              <w:tabs>
                <w:tab w:val="left" w:pos="2268"/>
                <w:tab w:val="left" w:pos="2977"/>
                <w:tab w:val="left" w:pos="4536"/>
              </w:tabs>
              <w:spacing w:line="256" w:lineRule="auto"/>
              <w:rPr>
                <w:sz w:val="22"/>
                <w:szCs w:val="22"/>
                <w:lang w:eastAsia="en-US"/>
              </w:rPr>
            </w:pPr>
            <w:r w:rsidRPr="00F87578">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val="en-US" w:eastAsia="en-US"/>
              </w:rPr>
            </w:pPr>
            <w:r w:rsidRPr="00F87578">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87578">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87578">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87578">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87578">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F87578">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val="en-US" w:eastAsia="en-US"/>
              </w:rPr>
            </w:pPr>
            <w:r w:rsidRPr="00F87578">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val="en-US" w:eastAsia="en-US"/>
              </w:rPr>
            </w:pPr>
            <w:r w:rsidRPr="00F87578">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val="en-US" w:eastAsia="en-US"/>
              </w:rPr>
            </w:pPr>
            <w:r w:rsidRPr="00F87578">
              <w:rPr>
                <w:sz w:val="22"/>
                <w:szCs w:val="22"/>
              </w:rPr>
              <w:t xml:space="preserve">Birger </w:t>
            </w:r>
            <w:r w:rsidRPr="00F87578">
              <w:rPr>
                <w:sz w:val="22"/>
                <w:szCs w:val="22"/>
                <w:lang w:eastAsia="en-US"/>
              </w:rPr>
              <w:t>Lahti</w:t>
            </w:r>
            <w:r w:rsidRPr="00F87578">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7C286F" w:rsidP="00B40F4D">
            <w:pPr>
              <w:tabs>
                <w:tab w:val="left" w:pos="2268"/>
                <w:tab w:val="left" w:pos="2977"/>
                <w:tab w:val="left" w:pos="4536"/>
              </w:tabs>
              <w:spacing w:line="256" w:lineRule="auto"/>
              <w:rPr>
                <w:sz w:val="22"/>
                <w:szCs w:val="22"/>
                <w:lang w:val="en-US" w:eastAsia="en-US"/>
              </w:rPr>
            </w:pPr>
            <w:r w:rsidRPr="00F87578">
              <w:rPr>
                <w:sz w:val="22"/>
                <w:szCs w:val="22"/>
                <w:lang w:val="en-US" w:eastAsia="en-US"/>
              </w:rPr>
              <w:t>Mats Nordberg</w:t>
            </w:r>
            <w:r w:rsidR="00B40F4D" w:rsidRPr="00F87578">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val="en-US" w:eastAsia="en-US"/>
              </w:rPr>
            </w:pPr>
            <w:r w:rsidRPr="00F87578">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lang w:eastAsia="en-US"/>
              </w:rPr>
            </w:pPr>
            <w:r w:rsidRPr="00F87578">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2268"/>
                <w:tab w:val="left" w:pos="2977"/>
                <w:tab w:val="left" w:pos="4536"/>
              </w:tabs>
              <w:spacing w:line="256" w:lineRule="auto"/>
              <w:rPr>
                <w:sz w:val="22"/>
                <w:szCs w:val="22"/>
              </w:rPr>
            </w:pPr>
            <w:r w:rsidRPr="00F87578">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87578" w:rsidRDefault="006D5F8F" w:rsidP="00B40F4D">
            <w:pPr>
              <w:tabs>
                <w:tab w:val="left" w:pos="2268"/>
                <w:tab w:val="left" w:pos="2977"/>
                <w:tab w:val="left" w:pos="4536"/>
              </w:tabs>
              <w:spacing w:line="256" w:lineRule="auto"/>
              <w:rPr>
                <w:sz w:val="22"/>
                <w:szCs w:val="22"/>
              </w:rPr>
            </w:pPr>
            <w:r w:rsidRPr="00F87578">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2268"/>
                <w:tab w:val="left" w:pos="2977"/>
                <w:tab w:val="left" w:pos="4536"/>
              </w:tabs>
              <w:spacing w:line="256" w:lineRule="auto"/>
              <w:rPr>
                <w:sz w:val="22"/>
                <w:szCs w:val="22"/>
              </w:rPr>
            </w:pPr>
            <w:r w:rsidRPr="00F87578">
              <w:rPr>
                <w:sz w:val="22"/>
                <w:szCs w:val="22"/>
              </w:rPr>
              <w:t xml:space="preserve">Helena </w:t>
            </w:r>
            <w:r w:rsidR="00BF17F3" w:rsidRPr="00F87578">
              <w:rPr>
                <w:sz w:val="22"/>
                <w:szCs w:val="22"/>
              </w:rPr>
              <w:t>Storckenfeldt</w:t>
            </w:r>
            <w:r w:rsidRPr="00F87578">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87578"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F87578" w:rsidRDefault="00A942DB" w:rsidP="00B40F4D">
            <w:pPr>
              <w:tabs>
                <w:tab w:val="left" w:pos="2268"/>
                <w:tab w:val="left" w:pos="2977"/>
                <w:tab w:val="left" w:pos="4536"/>
              </w:tabs>
              <w:spacing w:line="256" w:lineRule="auto"/>
              <w:rPr>
                <w:sz w:val="22"/>
                <w:szCs w:val="22"/>
              </w:rPr>
            </w:pPr>
            <w:r w:rsidRPr="00F87578">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F87578"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F87578"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F87578"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F87578"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87578" w:rsidRDefault="006A531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8757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F87578"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87578"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87578"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2268"/>
                <w:tab w:val="left" w:pos="2977"/>
                <w:tab w:val="left" w:pos="4536"/>
              </w:tabs>
              <w:spacing w:line="256" w:lineRule="auto"/>
              <w:rPr>
                <w:sz w:val="22"/>
                <w:szCs w:val="22"/>
              </w:rPr>
            </w:pPr>
            <w:r w:rsidRPr="00F87578">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F87578"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87578">
              <w:rPr>
                <w:sz w:val="22"/>
                <w:szCs w:val="22"/>
              </w:rPr>
              <w:t>N = Närvarande</w:t>
            </w:r>
          </w:p>
        </w:tc>
        <w:tc>
          <w:tcPr>
            <w:tcW w:w="5245" w:type="dxa"/>
            <w:gridSpan w:val="14"/>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87578">
              <w:rPr>
                <w:sz w:val="22"/>
                <w:szCs w:val="22"/>
              </w:rPr>
              <w:t>X = ledamöter som deltagit i handläggningen</w:t>
            </w:r>
          </w:p>
        </w:tc>
      </w:tr>
      <w:tr w:rsidR="00B40F4D" w:rsidRPr="00F87578" w:rsidTr="00AC2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87578">
              <w:rPr>
                <w:sz w:val="22"/>
                <w:szCs w:val="22"/>
              </w:rPr>
              <w:t>V = Votering</w:t>
            </w:r>
          </w:p>
        </w:tc>
        <w:tc>
          <w:tcPr>
            <w:tcW w:w="5245" w:type="dxa"/>
            <w:gridSpan w:val="14"/>
          </w:tcPr>
          <w:p w:rsidR="00B40F4D" w:rsidRPr="00F87578"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87578">
              <w:rPr>
                <w:sz w:val="22"/>
                <w:szCs w:val="22"/>
              </w:rPr>
              <w:t>O = ledamöter som härutöver har varit närvarande</w:t>
            </w:r>
          </w:p>
        </w:tc>
      </w:tr>
      <w:bookmarkEnd w:id="2"/>
    </w:tbl>
    <w:p w:rsidR="00AF70B0" w:rsidRPr="00F87578" w:rsidRDefault="00AF70B0">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AF70B0" w:rsidRPr="00F87578" w:rsidTr="00481847">
        <w:trPr>
          <w:tblHeader/>
        </w:trPr>
        <w:tc>
          <w:tcPr>
            <w:tcW w:w="5457" w:type="dxa"/>
          </w:tcPr>
          <w:p w:rsidR="00AF70B0" w:rsidRPr="00F87578" w:rsidRDefault="00AF70B0" w:rsidP="00AC2001">
            <w:pPr>
              <w:tabs>
                <w:tab w:val="left" w:pos="1276"/>
              </w:tabs>
              <w:rPr>
                <w:sz w:val="22"/>
                <w:szCs w:val="22"/>
              </w:rPr>
            </w:pPr>
            <w:bookmarkStart w:id="3" w:name="_Hlk73713493"/>
            <w:r w:rsidRPr="00F87578">
              <w:rPr>
                <w:sz w:val="22"/>
                <w:szCs w:val="22"/>
              </w:rPr>
              <w:br w:type="page"/>
            </w:r>
          </w:p>
          <w:p w:rsidR="00AF70B0" w:rsidRPr="00F87578" w:rsidRDefault="00AF70B0" w:rsidP="00AC2001">
            <w:pPr>
              <w:tabs>
                <w:tab w:val="left" w:pos="1276"/>
              </w:tabs>
              <w:rPr>
                <w:sz w:val="22"/>
                <w:szCs w:val="22"/>
              </w:rPr>
            </w:pPr>
            <w:r w:rsidRPr="00F87578">
              <w:rPr>
                <w:sz w:val="22"/>
                <w:szCs w:val="22"/>
              </w:rPr>
              <w:br w:type="page"/>
              <w:t>MILJÖ- OCH JORDBRUKSUTSKOTTET</w:t>
            </w:r>
          </w:p>
        </w:tc>
        <w:tc>
          <w:tcPr>
            <w:tcW w:w="1843" w:type="dxa"/>
          </w:tcPr>
          <w:p w:rsidR="00AF70B0" w:rsidRPr="00F87578" w:rsidRDefault="00AF70B0" w:rsidP="00AC2001">
            <w:pPr>
              <w:tabs>
                <w:tab w:val="left" w:pos="1276"/>
              </w:tabs>
              <w:rPr>
                <w:sz w:val="22"/>
                <w:szCs w:val="22"/>
              </w:rPr>
            </w:pPr>
          </w:p>
        </w:tc>
        <w:tc>
          <w:tcPr>
            <w:tcW w:w="1701" w:type="dxa"/>
          </w:tcPr>
          <w:p w:rsidR="00AF70B0" w:rsidRPr="00F87578" w:rsidRDefault="00AF70B0" w:rsidP="00AC2001">
            <w:pPr>
              <w:tabs>
                <w:tab w:val="left" w:pos="1276"/>
              </w:tabs>
              <w:ind w:right="-212"/>
              <w:rPr>
                <w:b/>
                <w:sz w:val="22"/>
                <w:szCs w:val="22"/>
              </w:rPr>
            </w:pPr>
            <w:r w:rsidRPr="00F87578">
              <w:rPr>
                <w:b/>
                <w:sz w:val="22"/>
                <w:szCs w:val="22"/>
              </w:rPr>
              <w:t>Bilaga 2</w:t>
            </w:r>
          </w:p>
          <w:p w:rsidR="00AF70B0" w:rsidRPr="00F87578" w:rsidRDefault="00AF70B0" w:rsidP="00AC2001">
            <w:pPr>
              <w:tabs>
                <w:tab w:val="left" w:pos="1276"/>
              </w:tabs>
              <w:ind w:right="-212"/>
              <w:rPr>
                <w:sz w:val="22"/>
                <w:szCs w:val="22"/>
              </w:rPr>
            </w:pPr>
            <w:r w:rsidRPr="00F87578">
              <w:rPr>
                <w:sz w:val="22"/>
                <w:szCs w:val="22"/>
              </w:rPr>
              <w:t>till protokoll</w:t>
            </w:r>
          </w:p>
          <w:p w:rsidR="00AF70B0" w:rsidRPr="00F87578" w:rsidRDefault="00AF70B0" w:rsidP="00AC2001">
            <w:pPr>
              <w:tabs>
                <w:tab w:val="left" w:pos="1276"/>
              </w:tabs>
              <w:ind w:right="-212"/>
              <w:rPr>
                <w:b/>
                <w:sz w:val="22"/>
                <w:szCs w:val="22"/>
              </w:rPr>
            </w:pPr>
            <w:r w:rsidRPr="00F87578">
              <w:rPr>
                <w:sz w:val="22"/>
                <w:szCs w:val="22"/>
              </w:rPr>
              <w:t>202</w:t>
            </w:r>
            <w:r w:rsidR="007F4080" w:rsidRPr="00F87578">
              <w:rPr>
                <w:sz w:val="22"/>
                <w:szCs w:val="22"/>
              </w:rPr>
              <w:t>1</w:t>
            </w:r>
            <w:r w:rsidRPr="00F87578">
              <w:rPr>
                <w:sz w:val="22"/>
                <w:szCs w:val="22"/>
              </w:rPr>
              <w:t>/2</w:t>
            </w:r>
            <w:r w:rsidR="007F4080" w:rsidRPr="00F87578">
              <w:rPr>
                <w:sz w:val="22"/>
                <w:szCs w:val="22"/>
              </w:rPr>
              <w:t>2</w:t>
            </w:r>
            <w:r w:rsidRPr="00F87578">
              <w:rPr>
                <w:sz w:val="22"/>
                <w:szCs w:val="22"/>
              </w:rPr>
              <w:t>:</w:t>
            </w:r>
            <w:r w:rsidR="00993254" w:rsidRPr="00F87578">
              <w:rPr>
                <w:sz w:val="22"/>
                <w:szCs w:val="22"/>
              </w:rPr>
              <w:t>3</w:t>
            </w:r>
            <w:r w:rsidR="00C9733E" w:rsidRPr="00F87578">
              <w:rPr>
                <w:sz w:val="22"/>
                <w:szCs w:val="22"/>
              </w:rPr>
              <w:t>3</w:t>
            </w:r>
          </w:p>
        </w:tc>
      </w:tr>
    </w:tbl>
    <w:p w:rsidR="003A2D61" w:rsidRPr="00F87578" w:rsidRDefault="003A2D61">
      <w:pPr>
        <w:widowControl/>
        <w:rPr>
          <w:sz w:val="22"/>
          <w:szCs w:val="22"/>
        </w:rPr>
      </w:pPr>
    </w:p>
    <w:bookmarkEnd w:id="3"/>
    <w:p w:rsidR="003A2B3F" w:rsidRPr="00F87578" w:rsidRDefault="003A2B3F" w:rsidP="003A2B3F">
      <w:pPr>
        <w:tabs>
          <w:tab w:val="left" w:pos="1701"/>
        </w:tabs>
        <w:rPr>
          <w:b/>
          <w:snapToGrid w:val="0"/>
          <w:sz w:val="22"/>
          <w:szCs w:val="22"/>
        </w:rPr>
      </w:pPr>
      <w:r w:rsidRPr="00F87578">
        <w:rPr>
          <w:b/>
          <w:snapToGrid w:val="0"/>
          <w:sz w:val="22"/>
          <w:szCs w:val="22"/>
        </w:rPr>
        <w:t xml:space="preserve">§ </w:t>
      </w:r>
      <w:r w:rsidR="000D67A6">
        <w:rPr>
          <w:b/>
          <w:snapToGrid w:val="0"/>
          <w:sz w:val="22"/>
          <w:szCs w:val="22"/>
        </w:rPr>
        <w:t>1</w:t>
      </w:r>
      <w:r w:rsidRPr="00F87578">
        <w:rPr>
          <w:b/>
          <w:snapToGrid w:val="0"/>
          <w:sz w:val="22"/>
          <w:szCs w:val="22"/>
        </w:rPr>
        <w:t xml:space="preserve"> </w:t>
      </w:r>
      <w:r w:rsidRPr="00F87578">
        <w:rPr>
          <w:b/>
          <w:bCs/>
          <w:color w:val="000000"/>
          <w:sz w:val="22"/>
          <w:szCs w:val="22"/>
        </w:rPr>
        <w:t>Kommissionens meddelande Hållbara kretslopp för kol</w:t>
      </w:r>
    </w:p>
    <w:p w:rsidR="003A2B3F" w:rsidRPr="00F87578" w:rsidRDefault="003A2B3F" w:rsidP="003A2B3F">
      <w:pPr>
        <w:widowControl/>
        <w:tabs>
          <w:tab w:val="left" w:pos="284"/>
        </w:tabs>
        <w:rPr>
          <w:rFonts w:eastAsiaTheme="minorHAnsi"/>
          <w:b/>
          <w:bCs/>
          <w:color w:val="000000"/>
          <w:sz w:val="22"/>
          <w:szCs w:val="22"/>
          <w:lang w:eastAsia="en-US"/>
        </w:rPr>
      </w:pPr>
    </w:p>
    <w:p w:rsidR="003A2B3F" w:rsidRPr="00F87578" w:rsidRDefault="003A2B3F" w:rsidP="003A2B3F">
      <w:pPr>
        <w:rPr>
          <w:b/>
          <w:bCs/>
          <w:sz w:val="22"/>
          <w:szCs w:val="22"/>
        </w:rPr>
      </w:pPr>
      <w:r w:rsidRPr="00F87578">
        <w:rPr>
          <w:b/>
          <w:bCs/>
          <w:sz w:val="22"/>
          <w:szCs w:val="22"/>
        </w:rPr>
        <w:t xml:space="preserve">Regeringens ståndpunkt </w:t>
      </w:r>
    </w:p>
    <w:p w:rsidR="003A2B3F" w:rsidRPr="00F87578" w:rsidRDefault="003A2B3F" w:rsidP="003A2B3F">
      <w:pPr>
        <w:rPr>
          <w:bCs/>
          <w:sz w:val="22"/>
          <w:szCs w:val="22"/>
        </w:rPr>
      </w:pPr>
    </w:p>
    <w:p w:rsidR="003A2B3F" w:rsidRPr="00F87578" w:rsidRDefault="003A2B3F" w:rsidP="003A2B3F">
      <w:pPr>
        <w:widowControl/>
        <w:autoSpaceDE w:val="0"/>
        <w:autoSpaceDN w:val="0"/>
        <w:adjustRightInd w:val="0"/>
        <w:rPr>
          <w:bCs/>
          <w:color w:val="000000"/>
          <w:sz w:val="22"/>
          <w:szCs w:val="22"/>
        </w:rPr>
      </w:pPr>
      <w:r w:rsidRPr="00F87578">
        <w:rPr>
          <w:bCs/>
          <w:color w:val="000000"/>
          <w:sz w:val="22"/>
          <w:szCs w:val="22"/>
        </w:rPr>
        <w:t xml:space="preserve">Sveriges regering instämmer i att den viktigaste åtgärden för att nå EU:s klimatmål 2050 är att drastiskt minska beroendet av fossila resurser. Regeringen stödjer EU-kommissionens ambition för mer hållbara kolcykler genom upptag, infångning, lagring och återanvändning av kol. </w:t>
      </w:r>
    </w:p>
    <w:p w:rsidR="003A2B3F" w:rsidRPr="00F87578" w:rsidRDefault="003A2B3F" w:rsidP="003A2B3F">
      <w:pPr>
        <w:widowControl/>
        <w:autoSpaceDE w:val="0"/>
        <w:autoSpaceDN w:val="0"/>
        <w:adjustRightInd w:val="0"/>
        <w:rPr>
          <w:bCs/>
          <w:color w:val="000000"/>
          <w:sz w:val="22"/>
          <w:szCs w:val="22"/>
        </w:rPr>
      </w:pPr>
    </w:p>
    <w:p w:rsidR="003A2B3F" w:rsidRPr="00F87578" w:rsidRDefault="003A2B3F" w:rsidP="003A2B3F">
      <w:pPr>
        <w:widowControl/>
        <w:autoSpaceDE w:val="0"/>
        <w:autoSpaceDN w:val="0"/>
        <w:adjustRightInd w:val="0"/>
        <w:rPr>
          <w:bCs/>
          <w:color w:val="000000"/>
          <w:sz w:val="22"/>
          <w:szCs w:val="22"/>
        </w:rPr>
      </w:pPr>
      <w:r w:rsidRPr="00F87578">
        <w:rPr>
          <w:bCs/>
          <w:color w:val="000000"/>
          <w:sz w:val="22"/>
          <w:szCs w:val="22"/>
        </w:rPr>
        <w:t xml:space="preserve">Regeringen välkomnar ambitionen att skapa incitament inom EU:s klimatramverk för kolinfångning och kollagring genom industriell infångning av koldioxid (bio-CCS/DACCS). Ett incitamentssystem är en förutsättning för en framtida storskalig utbyggnad och drift. Ett certifieringssystem kan vara ett sätt men regeringen bedömer att det kan komma att behövas ytterligare ekonomiska incitament på EU-nivå i någon form. Regeringen efterlyser därför analys och förslag om hur ett incitamentsystem för kolupptag, kolinfångning, kollagring och återanvändning kan utformas för Bio-CCS samt andra tekniker där incitament saknas så som DACCS och CCU. Regeringen förordar att incitament för bio-CCS införs inom EU:s klimatramverk redan innan 2030. Regeringen efterlyser också en analys huruvida incitament för bio-CCS inom EU och befintliga regelverk och kriterier för utsläppsminskningsenheter inom ICAO och UNFCCC kan vara kompatibla. </w:t>
      </w:r>
    </w:p>
    <w:p w:rsidR="003A2B3F" w:rsidRPr="00F87578" w:rsidRDefault="003A2B3F" w:rsidP="003A2B3F">
      <w:pPr>
        <w:widowControl/>
        <w:autoSpaceDE w:val="0"/>
        <w:autoSpaceDN w:val="0"/>
        <w:adjustRightInd w:val="0"/>
        <w:rPr>
          <w:bCs/>
          <w:color w:val="000000"/>
          <w:sz w:val="22"/>
          <w:szCs w:val="22"/>
        </w:rPr>
      </w:pPr>
    </w:p>
    <w:p w:rsidR="003A2B3F" w:rsidRPr="00F87578" w:rsidRDefault="003A2B3F" w:rsidP="003A2B3F">
      <w:pPr>
        <w:widowControl/>
        <w:autoSpaceDE w:val="0"/>
        <w:autoSpaceDN w:val="0"/>
        <w:adjustRightInd w:val="0"/>
        <w:rPr>
          <w:bCs/>
          <w:color w:val="000000"/>
          <w:sz w:val="22"/>
          <w:szCs w:val="22"/>
        </w:rPr>
      </w:pPr>
      <w:r w:rsidRPr="00F87578">
        <w:rPr>
          <w:bCs/>
          <w:color w:val="000000"/>
          <w:sz w:val="22"/>
          <w:szCs w:val="22"/>
        </w:rPr>
        <w:t xml:space="preserve">Sveriges regering föreslår en högre ambition för utbyggnaden av </w:t>
      </w:r>
      <w:proofErr w:type="spellStart"/>
      <w:r w:rsidRPr="00F87578">
        <w:rPr>
          <w:bCs/>
          <w:color w:val="000000"/>
          <w:sz w:val="22"/>
          <w:szCs w:val="22"/>
        </w:rPr>
        <w:t>bioCCS</w:t>
      </w:r>
      <w:proofErr w:type="spellEnd"/>
      <w:r w:rsidRPr="00F87578">
        <w:rPr>
          <w:bCs/>
          <w:color w:val="000000"/>
          <w:sz w:val="22"/>
          <w:szCs w:val="22"/>
        </w:rPr>
        <w:t xml:space="preserve">/DACCS än vad som föreslås av EU-kommissionen och efterfrågar en analys om vad som ligger till grund för målsättningarna. Sverige har avsatt medel för att skapa ett system för driftstöd för bio-CCS med inriktningen att 2 miljoner </w:t>
      </w:r>
      <w:proofErr w:type="gramStart"/>
      <w:r w:rsidRPr="00F87578">
        <w:rPr>
          <w:bCs/>
          <w:color w:val="000000"/>
          <w:sz w:val="22"/>
          <w:szCs w:val="22"/>
        </w:rPr>
        <w:t>ton koldioxid</w:t>
      </w:r>
      <w:proofErr w:type="gramEnd"/>
      <w:r w:rsidRPr="00F87578">
        <w:rPr>
          <w:bCs/>
          <w:color w:val="000000"/>
          <w:sz w:val="22"/>
          <w:szCs w:val="22"/>
        </w:rPr>
        <w:t xml:space="preserve"> per år ska fångas upp och lagras år 2030. Mot den bakgrunden anser regeringen att EU tillsammans bör kunna åstadkomma mer än 5 </w:t>
      </w:r>
      <w:proofErr w:type="spellStart"/>
      <w:r w:rsidRPr="00F87578">
        <w:rPr>
          <w:bCs/>
          <w:color w:val="000000"/>
          <w:sz w:val="22"/>
          <w:szCs w:val="22"/>
        </w:rPr>
        <w:t>Mt</w:t>
      </w:r>
      <w:proofErr w:type="spellEnd"/>
      <w:r w:rsidRPr="00F87578">
        <w:rPr>
          <w:bCs/>
          <w:color w:val="000000"/>
          <w:sz w:val="22"/>
          <w:szCs w:val="22"/>
        </w:rPr>
        <w:t xml:space="preserve"> till 2030. Eftersom Sveriges satsning på bio-CCS innebär lagring av biogen koldioxid redan 2026 föreslår regeringen också att systemet för bokföring ska vara på plats 2026 istället för 2028. </w:t>
      </w:r>
    </w:p>
    <w:p w:rsidR="003A2B3F" w:rsidRPr="00F87578" w:rsidRDefault="003A2B3F" w:rsidP="003A2B3F">
      <w:pPr>
        <w:widowControl/>
        <w:autoSpaceDE w:val="0"/>
        <w:autoSpaceDN w:val="0"/>
        <w:adjustRightInd w:val="0"/>
        <w:rPr>
          <w:bCs/>
          <w:color w:val="000000"/>
          <w:sz w:val="22"/>
          <w:szCs w:val="22"/>
        </w:rPr>
      </w:pPr>
    </w:p>
    <w:p w:rsidR="003A2B3F" w:rsidRPr="00F87578" w:rsidRDefault="003A2B3F" w:rsidP="003A2B3F">
      <w:pPr>
        <w:widowControl/>
        <w:autoSpaceDE w:val="0"/>
        <w:autoSpaceDN w:val="0"/>
        <w:adjustRightInd w:val="0"/>
        <w:rPr>
          <w:bCs/>
          <w:color w:val="000000"/>
          <w:sz w:val="22"/>
          <w:szCs w:val="22"/>
        </w:rPr>
      </w:pPr>
      <w:r w:rsidRPr="00F87578">
        <w:rPr>
          <w:bCs/>
          <w:color w:val="000000"/>
          <w:sz w:val="22"/>
          <w:szCs w:val="22"/>
        </w:rPr>
        <w:t xml:space="preserve">Regeringen framhåller bioekonomins viktiga roll för att uppnå klimatneutralitet och lagra kol. Regeringen delar kommissionens syn att ökad andel biobaserade material är angeläget för att minska utsläpp inom byggsektorn. Vidare välkomnar regeringen målsättningar för att öka andelen biobaserat eller återvunnet kol inom industrin, och ser gärna ytterligare analys om ambitionen kan öka liksom avseende vilka verktyg som kan bidra till att nå målsättningen. Regeringen delar inte Kommissionens bild av att bioekonomin utvecklas bäst genom reglering enligt kaskadprincipen och motsätter sig därför en sådan marknadsstörande styrning. </w:t>
      </w:r>
    </w:p>
    <w:p w:rsidR="003A2B3F" w:rsidRPr="00F87578" w:rsidRDefault="003A2B3F" w:rsidP="003A2B3F">
      <w:pPr>
        <w:widowControl/>
        <w:autoSpaceDE w:val="0"/>
        <w:autoSpaceDN w:val="0"/>
        <w:adjustRightInd w:val="0"/>
        <w:rPr>
          <w:bCs/>
          <w:color w:val="000000"/>
          <w:sz w:val="22"/>
          <w:szCs w:val="22"/>
        </w:rPr>
      </w:pPr>
    </w:p>
    <w:p w:rsidR="003A2B3F" w:rsidRPr="00F87578" w:rsidRDefault="003A2B3F" w:rsidP="003A2B3F">
      <w:pPr>
        <w:widowControl/>
        <w:autoSpaceDE w:val="0"/>
        <w:autoSpaceDN w:val="0"/>
        <w:adjustRightInd w:val="0"/>
        <w:rPr>
          <w:bCs/>
          <w:color w:val="000000"/>
          <w:sz w:val="22"/>
          <w:szCs w:val="22"/>
        </w:rPr>
      </w:pPr>
      <w:r w:rsidRPr="00F87578">
        <w:rPr>
          <w:bCs/>
          <w:color w:val="000000"/>
          <w:sz w:val="22"/>
          <w:szCs w:val="22"/>
        </w:rPr>
        <w:t xml:space="preserve">I markanvändningssektorn ser regeringen en potential att minska avgången av växthusgaser från jord- och skogsbrukets organogena jordar och öka kolinlagringen i åker- och betesmark. Regeringen anser att det finns en tydlig skiljelinje mellan å ena sidan industriell kolinfångning och kollagring och å andra sidan så kallad </w:t>
      </w:r>
      <w:proofErr w:type="spellStart"/>
      <w:r w:rsidRPr="00F87578">
        <w:rPr>
          <w:bCs/>
          <w:color w:val="000000"/>
          <w:sz w:val="22"/>
          <w:szCs w:val="22"/>
        </w:rPr>
        <w:t>carbon</w:t>
      </w:r>
      <w:proofErr w:type="spellEnd"/>
      <w:r w:rsidRPr="00F87578">
        <w:rPr>
          <w:bCs/>
          <w:color w:val="000000"/>
          <w:sz w:val="22"/>
          <w:szCs w:val="22"/>
        </w:rPr>
        <w:t xml:space="preserve"> </w:t>
      </w:r>
      <w:proofErr w:type="spellStart"/>
      <w:r w:rsidRPr="00F87578">
        <w:rPr>
          <w:bCs/>
          <w:color w:val="000000"/>
          <w:sz w:val="22"/>
          <w:szCs w:val="22"/>
        </w:rPr>
        <w:t>farming</w:t>
      </w:r>
      <w:proofErr w:type="spellEnd"/>
      <w:r w:rsidRPr="00F87578">
        <w:rPr>
          <w:bCs/>
          <w:color w:val="000000"/>
          <w:sz w:val="22"/>
          <w:szCs w:val="22"/>
        </w:rPr>
        <w:t xml:space="preserve">. Regeringen anser att </w:t>
      </w:r>
      <w:proofErr w:type="spellStart"/>
      <w:r w:rsidRPr="00F87578">
        <w:rPr>
          <w:bCs/>
          <w:color w:val="000000"/>
          <w:sz w:val="22"/>
          <w:szCs w:val="22"/>
        </w:rPr>
        <w:t>carbon</w:t>
      </w:r>
      <w:proofErr w:type="spellEnd"/>
      <w:r w:rsidRPr="00F87578">
        <w:rPr>
          <w:bCs/>
          <w:color w:val="000000"/>
          <w:sz w:val="22"/>
          <w:szCs w:val="22"/>
        </w:rPr>
        <w:t xml:space="preserve"> </w:t>
      </w:r>
      <w:proofErr w:type="spellStart"/>
      <w:r w:rsidRPr="00F87578">
        <w:rPr>
          <w:bCs/>
          <w:color w:val="000000"/>
          <w:sz w:val="22"/>
          <w:szCs w:val="22"/>
        </w:rPr>
        <w:t>farming</w:t>
      </w:r>
      <w:proofErr w:type="spellEnd"/>
      <w:r w:rsidRPr="00F87578">
        <w:rPr>
          <w:bCs/>
          <w:color w:val="000000"/>
          <w:sz w:val="22"/>
          <w:szCs w:val="22"/>
        </w:rPr>
        <w:t xml:space="preserve"> bör genomföras på ett sätt som inte missgynnar den biologiska mångfalden, naturmiljön, livsmedelsproduktion, landsbygds</w:t>
      </w:r>
      <w:r w:rsidRPr="00F87578">
        <w:rPr>
          <w:bCs/>
          <w:color w:val="000000"/>
          <w:sz w:val="22"/>
          <w:szCs w:val="22"/>
        </w:rPr>
        <w:softHyphen/>
        <w:t xml:space="preserve">utveckling och utvecklingen av bioekonomin. Regeringen instämmer i EU-kommissionens analys att både kolupptag och kolinlagring i markanvändningssektorn samt i akvatiska miljöer är förknippad med flera osäkerheter och svårigheter som exempelvis mätning, rapportering, verifiering, trovärdighet, </w:t>
      </w:r>
      <w:proofErr w:type="spellStart"/>
      <w:r w:rsidRPr="00F87578">
        <w:rPr>
          <w:bCs/>
          <w:color w:val="000000"/>
          <w:sz w:val="22"/>
          <w:szCs w:val="22"/>
        </w:rPr>
        <w:t>additionalitet</w:t>
      </w:r>
      <w:proofErr w:type="spellEnd"/>
      <w:r w:rsidRPr="00F87578">
        <w:rPr>
          <w:bCs/>
          <w:color w:val="000000"/>
          <w:sz w:val="22"/>
          <w:szCs w:val="22"/>
        </w:rPr>
        <w:t>, permanens och höga kostnader. Regeringen vill särskilt peka på behovet av en mer långtgående analys om hur certifieringen och verifieringen av kolinlagringskrediter inom markanvänd</w:t>
      </w:r>
      <w:r w:rsidRPr="00F87578">
        <w:rPr>
          <w:bCs/>
          <w:color w:val="000000"/>
          <w:sz w:val="22"/>
          <w:szCs w:val="22"/>
        </w:rPr>
        <w:softHyphen/>
        <w:t>ningssektorn ska hantera de vitt skilda förutsättningarna för permanens som gäller vid olika former och platser för kolinlagring. Regeringen anser att ett system för kolinlagringskrediter måste ha en hög miljöintegritet samt omfatta kvalitetskrav och systemkontroller för att säkerställa att utsläppsminsk-</w:t>
      </w:r>
      <w:proofErr w:type="spellStart"/>
      <w:r w:rsidRPr="00F87578">
        <w:rPr>
          <w:bCs/>
          <w:color w:val="000000"/>
          <w:sz w:val="22"/>
          <w:szCs w:val="22"/>
        </w:rPr>
        <w:t>ningen</w:t>
      </w:r>
      <w:proofErr w:type="spellEnd"/>
      <w:r w:rsidRPr="00F87578">
        <w:rPr>
          <w:bCs/>
          <w:color w:val="000000"/>
          <w:sz w:val="22"/>
          <w:szCs w:val="22"/>
        </w:rPr>
        <w:t xml:space="preserve"> inte tillgodoräknas mer än en gång. Regeringen ser utmaningar i att bedöma och övervaka </w:t>
      </w:r>
      <w:proofErr w:type="spellStart"/>
      <w:r w:rsidRPr="00F87578">
        <w:rPr>
          <w:bCs/>
          <w:color w:val="000000"/>
          <w:sz w:val="22"/>
          <w:szCs w:val="22"/>
        </w:rPr>
        <w:t>kolflöden</w:t>
      </w:r>
      <w:proofErr w:type="spellEnd"/>
      <w:r w:rsidRPr="00F87578">
        <w:rPr>
          <w:bCs/>
          <w:color w:val="000000"/>
          <w:sz w:val="22"/>
          <w:szCs w:val="22"/>
        </w:rPr>
        <w:t xml:space="preserve"> på markägar- och fältnivå och över tid. Att skapa ett system för bokföring som möjliggör en transparent resultatuppföljning som utesluter dubbelräkning får inte leda till orimlig administrativ börda. Försiktighetsprincipen, vetenskaplig grund och att systemet ska leda till kostnadseffektiva åtgärder bör vara vägledande i arbetet med att införa ett system och godkänna kolinlagringskrediter. </w:t>
      </w:r>
    </w:p>
    <w:p w:rsidR="003A2B3F" w:rsidRPr="00F87578" w:rsidRDefault="003A2B3F" w:rsidP="003A2B3F">
      <w:pPr>
        <w:widowControl/>
        <w:autoSpaceDE w:val="0"/>
        <w:autoSpaceDN w:val="0"/>
        <w:adjustRightInd w:val="0"/>
        <w:rPr>
          <w:bCs/>
          <w:color w:val="000000"/>
          <w:sz w:val="22"/>
          <w:szCs w:val="22"/>
        </w:rPr>
      </w:pPr>
    </w:p>
    <w:p w:rsidR="003A2B3F" w:rsidRPr="00F87578" w:rsidRDefault="003A2B3F" w:rsidP="003A2B3F">
      <w:pPr>
        <w:widowControl/>
        <w:autoSpaceDE w:val="0"/>
        <w:autoSpaceDN w:val="0"/>
        <w:adjustRightInd w:val="0"/>
        <w:rPr>
          <w:bCs/>
          <w:color w:val="000000"/>
          <w:sz w:val="22"/>
          <w:szCs w:val="22"/>
        </w:rPr>
      </w:pPr>
      <w:r w:rsidRPr="00F87578">
        <w:rPr>
          <w:bCs/>
          <w:color w:val="000000"/>
          <w:sz w:val="22"/>
          <w:szCs w:val="22"/>
        </w:rPr>
        <w:t xml:space="preserve">Regeringen efterfrågar fördjupade konsekvensbedömningar av vilka ekonomiska och miljömässiga effekter, inklusive risken för koldioxidläckage, som en storskalig implementering av </w:t>
      </w:r>
      <w:proofErr w:type="spellStart"/>
      <w:r w:rsidRPr="00F87578">
        <w:rPr>
          <w:bCs/>
          <w:color w:val="000000"/>
          <w:sz w:val="22"/>
          <w:szCs w:val="22"/>
        </w:rPr>
        <w:t>carbon</w:t>
      </w:r>
      <w:proofErr w:type="spellEnd"/>
      <w:r w:rsidRPr="00F87578">
        <w:rPr>
          <w:bCs/>
          <w:color w:val="000000"/>
          <w:sz w:val="22"/>
          <w:szCs w:val="22"/>
        </w:rPr>
        <w:t xml:space="preserve"> </w:t>
      </w:r>
      <w:proofErr w:type="spellStart"/>
      <w:r w:rsidRPr="00F87578">
        <w:rPr>
          <w:bCs/>
          <w:color w:val="000000"/>
          <w:sz w:val="22"/>
          <w:szCs w:val="22"/>
        </w:rPr>
        <w:t>farming</w:t>
      </w:r>
      <w:proofErr w:type="spellEnd"/>
      <w:r w:rsidRPr="00F87578">
        <w:rPr>
          <w:bCs/>
          <w:color w:val="000000"/>
          <w:sz w:val="22"/>
          <w:szCs w:val="22"/>
        </w:rPr>
        <w:t xml:space="preserve"> kan leda till om </w:t>
      </w:r>
      <w:r w:rsidRPr="00F87578">
        <w:rPr>
          <w:bCs/>
          <w:color w:val="000000"/>
          <w:sz w:val="22"/>
          <w:szCs w:val="22"/>
        </w:rPr>
        <w:lastRenderedPageBreak/>
        <w:t>markförvaltare eller vattenområden skiftar fokus från produktion av till exempel livsmedel, träråvara och biomassa till förmån för ökad kolinlagring. Det är viktigt att värna bioekonomin som en del i klimatomställningen. Regeringen anser också att växthusgasbalans</w:t>
      </w:r>
      <w:r w:rsidRPr="00F87578">
        <w:rPr>
          <w:bCs/>
          <w:color w:val="000000"/>
          <w:sz w:val="22"/>
          <w:szCs w:val="22"/>
        </w:rPr>
        <w:softHyphen/>
        <w:t xml:space="preserve">beräkningar bör ligga till grund för insatser för kolinlagring där den sammanlagda långsiktiga nettoeffekten avseende begränsning av utsläpp av växthusgaser har avgörande betydelse. Nationella och regionala förutsättningar måste beaktas för att säkerställa att åtgärder får en långsiktigt positiv klimateffekt och inte medför signifikanta negativa effekter för andra miljö- och samhällsvärden. Subsidiaritet och nationell kompetens ska därför vara utgångspunkt vid genomförandet. </w:t>
      </w:r>
    </w:p>
    <w:p w:rsidR="003A2B3F" w:rsidRPr="00F87578" w:rsidRDefault="003A2B3F" w:rsidP="003A2B3F">
      <w:pPr>
        <w:widowControl/>
        <w:autoSpaceDE w:val="0"/>
        <w:autoSpaceDN w:val="0"/>
        <w:adjustRightInd w:val="0"/>
        <w:rPr>
          <w:bCs/>
          <w:color w:val="000000"/>
          <w:sz w:val="22"/>
          <w:szCs w:val="22"/>
        </w:rPr>
      </w:pPr>
    </w:p>
    <w:p w:rsidR="003A2B3F" w:rsidRPr="00F87578" w:rsidRDefault="003A2B3F" w:rsidP="003A2B3F">
      <w:pPr>
        <w:widowControl/>
        <w:autoSpaceDE w:val="0"/>
        <w:autoSpaceDN w:val="0"/>
        <w:adjustRightInd w:val="0"/>
        <w:rPr>
          <w:bCs/>
          <w:color w:val="000000"/>
          <w:sz w:val="22"/>
          <w:szCs w:val="22"/>
        </w:rPr>
      </w:pPr>
      <w:r w:rsidRPr="00F87578">
        <w:rPr>
          <w:bCs/>
          <w:color w:val="000000"/>
          <w:sz w:val="22"/>
          <w:szCs w:val="22"/>
        </w:rPr>
        <w:t>Regeringen anser att det behövs en analys av samspelet mellan ett certifieringsramverk och klimatramverkets sektorer ESR, ETS och LULUCF avseende bokföring och effekter för aktörerna som nyttjar certifieringssystemet.</w:t>
      </w:r>
    </w:p>
    <w:p w:rsidR="003A2B3F" w:rsidRPr="00F87578" w:rsidRDefault="003A2B3F" w:rsidP="003A2B3F">
      <w:pPr>
        <w:widowControl/>
        <w:autoSpaceDE w:val="0"/>
        <w:autoSpaceDN w:val="0"/>
        <w:adjustRightInd w:val="0"/>
        <w:rPr>
          <w:bCs/>
          <w:color w:val="000000"/>
          <w:sz w:val="22"/>
          <w:szCs w:val="22"/>
        </w:rPr>
      </w:pPr>
    </w:p>
    <w:p w:rsidR="003A2B3F" w:rsidRPr="00F87578" w:rsidRDefault="003A2B3F" w:rsidP="003A2B3F">
      <w:pPr>
        <w:rPr>
          <w:bCs/>
          <w:sz w:val="22"/>
          <w:szCs w:val="22"/>
        </w:rPr>
      </w:pPr>
    </w:p>
    <w:p w:rsidR="003A2B3F" w:rsidRPr="00F87578" w:rsidRDefault="003A2B3F" w:rsidP="003A2B3F">
      <w:pPr>
        <w:rPr>
          <w:bCs/>
          <w:sz w:val="22"/>
          <w:szCs w:val="22"/>
        </w:rPr>
      </w:pPr>
    </w:p>
    <w:p w:rsidR="003A2D61" w:rsidRPr="00F87578" w:rsidRDefault="003A2D61">
      <w:pPr>
        <w:widowControl/>
        <w:rPr>
          <w:sz w:val="22"/>
          <w:szCs w:val="22"/>
        </w:rPr>
      </w:pPr>
      <w:r w:rsidRPr="00F87578">
        <w:rPr>
          <w:sz w:val="22"/>
          <w:szCs w:val="22"/>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A2D61" w:rsidRPr="00F87578" w:rsidTr="00AC2001">
        <w:tc>
          <w:tcPr>
            <w:tcW w:w="5457" w:type="dxa"/>
          </w:tcPr>
          <w:p w:rsidR="003A2D61" w:rsidRPr="00F87578" w:rsidRDefault="003A2D61" w:rsidP="00AC2001">
            <w:pPr>
              <w:tabs>
                <w:tab w:val="left" w:pos="1276"/>
              </w:tabs>
              <w:rPr>
                <w:sz w:val="22"/>
                <w:szCs w:val="22"/>
              </w:rPr>
            </w:pPr>
            <w:r w:rsidRPr="00F87578">
              <w:rPr>
                <w:sz w:val="22"/>
                <w:szCs w:val="22"/>
              </w:rPr>
              <w:lastRenderedPageBreak/>
              <w:br w:type="page"/>
              <w:t>MILJÖ- OCH JORDBRUKSUTSKOTTET</w:t>
            </w:r>
          </w:p>
        </w:tc>
        <w:tc>
          <w:tcPr>
            <w:tcW w:w="1843" w:type="dxa"/>
          </w:tcPr>
          <w:p w:rsidR="003A2D61" w:rsidRPr="00F87578" w:rsidRDefault="003A2D61" w:rsidP="00AC2001">
            <w:pPr>
              <w:tabs>
                <w:tab w:val="left" w:pos="1276"/>
              </w:tabs>
              <w:rPr>
                <w:sz w:val="22"/>
                <w:szCs w:val="22"/>
              </w:rPr>
            </w:pPr>
          </w:p>
        </w:tc>
        <w:tc>
          <w:tcPr>
            <w:tcW w:w="1701" w:type="dxa"/>
          </w:tcPr>
          <w:p w:rsidR="003A2D61" w:rsidRPr="00F87578" w:rsidRDefault="003A2D61" w:rsidP="00AC2001">
            <w:pPr>
              <w:tabs>
                <w:tab w:val="left" w:pos="1276"/>
              </w:tabs>
              <w:ind w:right="-212"/>
              <w:rPr>
                <w:b/>
                <w:sz w:val="22"/>
                <w:szCs w:val="22"/>
              </w:rPr>
            </w:pPr>
            <w:r w:rsidRPr="00F87578">
              <w:rPr>
                <w:b/>
                <w:sz w:val="22"/>
                <w:szCs w:val="22"/>
              </w:rPr>
              <w:t xml:space="preserve">Bilaga </w:t>
            </w:r>
            <w:r w:rsidR="00FA3E8E" w:rsidRPr="00F87578">
              <w:rPr>
                <w:b/>
                <w:sz w:val="22"/>
                <w:szCs w:val="22"/>
              </w:rPr>
              <w:t>3</w:t>
            </w:r>
          </w:p>
          <w:p w:rsidR="003A2D61" w:rsidRPr="00F87578" w:rsidRDefault="003A2D61" w:rsidP="00AC2001">
            <w:pPr>
              <w:tabs>
                <w:tab w:val="left" w:pos="1276"/>
              </w:tabs>
              <w:ind w:right="-212"/>
              <w:rPr>
                <w:sz w:val="22"/>
                <w:szCs w:val="22"/>
              </w:rPr>
            </w:pPr>
            <w:r w:rsidRPr="00F87578">
              <w:rPr>
                <w:sz w:val="22"/>
                <w:szCs w:val="22"/>
              </w:rPr>
              <w:t>till protokoll</w:t>
            </w:r>
          </w:p>
          <w:p w:rsidR="003A2D61" w:rsidRPr="00F87578" w:rsidRDefault="003A2D61" w:rsidP="00AC2001">
            <w:pPr>
              <w:tabs>
                <w:tab w:val="left" w:pos="1276"/>
              </w:tabs>
              <w:ind w:right="-212"/>
              <w:rPr>
                <w:b/>
                <w:sz w:val="22"/>
                <w:szCs w:val="22"/>
              </w:rPr>
            </w:pPr>
            <w:r w:rsidRPr="00F87578">
              <w:rPr>
                <w:sz w:val="22"/>
                <w:szCs w:val="22"/>
              </w:rPr>
              <w:t>202</w:t>
            </w:r>
            <w:r w:rsidR="007F4080" w:rsidRPr="00F87578">
              <w:rPr>
                <w:sz w:val="22"/>
                <w:szCs w:val="22"/>
              </w:rPr>
              <w:t>1</w:t>
            </w:r>
            <w:r w:rsidRPr="00F87578">
              <w:rPr>
                <w:sz w:val="22"/>
                <w:szCs w:val="22"/>
              </w:rPr>
              <w:t>/2</w:t>
            </w:r>
            <w:r w:rsidR="007F4080" w:rsidRPr="00F87578">
              <w:rPr>
                <w:sz w:val="22"/>
                <w:szCs w:val="22"/>
              </w:rPr>
              <w:t>2</w:t>
            </w:r>
            <w:r w:rsidRPr="00F87578">
              <w:rPr>
                <w:sz w:val="22"/>
                <w:szCs w:val="22"/>
              </w:rPr>
              <w:t>:</w:t>
            </w:r>
            <w:r w:rsidR="00993254" w:rsidRPr="00F87578">
              <w:rPr>
                <w:sz w:val="22"/>
                <w:szCs w:val="22"/>
              </w:rPr>
              <w:t>3</w:t>
            </w:r>
            <w:r w:rsidR="00C9733E" w:rsidRPr="00F87578">
              <w:rPr>
                <w:sz w:val="22"/>
                <w:szCs w:val="22"/>
              </w:rPr>
              <w:t>3</w:t>
            </w:r>
          </w:p>
        </w:tc>
      </w:tr>
    </w:tbl>
    <w:p w:rsidR="003A2D61" w:rsidRPr="00F87578" w:rsidRDefault="003A2D61" w:rsidP="003A2D61">
      <w:pPr>
        <w:tabs>
          <w:tab w:val="left" w:pos="142"/>
          <w:tab w:val="left" w:pos="7655"/>
        </w:tabs>
        <w:ind w:right="-568"/>
        <w:rPr>
          <w:sz w:val="22"/>
          <w:szCs w:val="22"/>
        </w:rPr>
      </w:pPr>
    </w:p>
    <w:p w:rsidR="000552CA" w:rsidRPr="00F87578" w:rsidRDefault="000552CA" w:rsidP="000552CA">
      <w:pPr>
        <w:tabs>
          <w:tab w:val="left" w:pos="1701"/>
        </w:tabs>
        <w:rPr>
          <w:b/>
          <w:bCs/>
          <w:color w:val="000000"/>
          <w:sz w:val="22"/>
          <w:szCs w:val="22"/>
        </w:rPr>
      </w:pPr>
      <w:r w:rsidRPr="00F87578">
        <w:rPr>
          <w:b/>
          <w:snapToGrid w:val="0"/>
          <w:sz w:val="22"/>
          <w:szCs w:val="22"/>
        </w:rPr>
        <w:t xml:space="preserve">§ </w:t>
      </w:r>
      <w:r w:rsidR="000D67A6">
        <w:rPr>
          <w:b/>
          <w:snapToGrid w:val="0"/>
          <w:sz w:val="22"/>
          <w:szCs w:val="22"/>
        </w:rPr>
        <w:t>1</w:t>
      </w:r>
      <w:r w:rsidRPr="00F87578">
        <w:rPr>
          <w:b/>
          <w:snapToGrid w:val="0"/>
          <w:sz w:val="22"/>
          <w:szCs w:val="22"/>
        </w:rPr>
        <w:t xml:space="preserve"> </w:t>
      </w:r>
      <w:r w:rsidRPr="00F87578">
        <w:rPr>
          <w:b/>
          <w:bCs/>
          <w:color w:val="000000"/>
          <w:sz w:val="22"/>
          <w:szCs w:val="22"/>
        </w:rPr>
        <w:t>Kommissionens meddelande Hållbara kretslopp för kol</w:t>
      </w:r>
    </w:p>
    <w:p w:rsidR="000552CA" w:rsidRPr="00F87578" w:rsidRDefault="000552CA" w:rsidP="000552CA">
      <w:pPr>
        <w:tabs>
          <w:tab w:val="left" w:pos="1701"/>
        </w:tabs>
        <w:rPr>
          <w:b/>
          <w:snapToGrid w:val="0"/>
          <w:sz w:val="22"/>
          <w:szCs w:val="22"/>
        </w:rPr>
      </w:pPr>
    </w:p>
    <w:p w:rsidR="000552CA" w:rsidRPr="00F87578" w:rsidRDefault="000552CA" w:rsidP="000552CA">
      <w:pPr>
        <w:tabs>
          <w:tab w:val="left" w:pos="1701"/>
        </w:tabs>
        <w:rPr>
          <w:b/>
          <w:snapToGrid w:val="0"/>
          <w:sz w:val="22"/>
          <w:szCs w:val="22"/>
        </w:rPr>
      </w:pPr>
      <w:r w:rsidRPr="00F87578">
        <w:rPr>
          <w:b/>
          <w:sz w:val="22"/>
          <w:szCs w:val="22"/>
        </w:rPr>
        <w:t>Avvikande ståndpunkt (C)</w:t>
      </w:r>
    </w:p>
    <w:p w:rsidR="000552CA" w:rsidRPr="00F87578" w:rsidRDefault="000552CA" w:rsidP="000552CA">
      <w:pPr>
        <w:tabs>
          <w:tab w:val="left" w:pos="1701"/>
        </w:tabs>
        <w:rPr>
          <w:b/>
          <w:snapToGrid w:val="0"/>
          <w:sz w:val="22"/>
          <w:szCs w:val="22"/>
        </w:rPr>
      </w:pPr>
    </w:p>
    <w:p w:rsidR="000552CA" w:rsidRPr="00F87578" w:rsidRDefault="000552CA" w:rsidP="000552CA">
      <w:pPr>
        <w:rPr>
          <w:sz w:val="22"/>
          <w:szCs w:val="22"/>
        </w:rPr>
      </w:pPr>
      <w:r w:rsidRPr="00F87578">
        <w:rPr>
          <w:sz w:val="22"/>
          <w:szCs w:val="22"/>
        </w:rPr>
        <w:t xml:space="preserve">Minusutsläppstekniken är avgörande för att vi ska nå klimatmålen inom såväl Sverige och i EU. Ambitionerna för teknikutvecklingen och målen för infångad och lagrad koldioxid per år borde därför vara höga. Enligt klimatpolitiska vägvalsutredningen är potentialen i Sverige hög, eftersom vi har en stor andel biogena källor. Den räknar på en potential om minst 10 miljoner ton co2 per år. Vi anser att detta borde vara det nationella målet till 2030. Regeringens mål om 2 ton infångad och lagrad koldioxid per år är alldeles för lågt räknat. I EU har man som mål att 5 miljoner </w:t>
      </w:r>
      <w:proofErr w:type="gramStart"/>
      <w:r w:rsidRPr="00F87578">
        <w:rPr>
          <w:sz w:val="22"/>
          <w:szCs w:val="22"/>
        </w:rPr>
        <w:t>ton koldioxid</w:t>
      </w:r>
      <w:proofErr w:type="gramEnd"/>
      <w:r w:rsidRPr="00F87578">
        <w:rPr>
          <w:sz w:val="22"/>
          <w:szCs w:val="22"/>
        </w:rPr>
        <w:t xml:space="preserve"> ska infångas och lagras årligen. Även detta mål är för lågt ställt och vi vill därför se en konsekvensanalys som utreder den verkliga potentialen för minusutsläpp i EU.  </w:t>
      </w:r>
    </w:p>
    <w:p w:rsidR="000552CA" w:rsidRPr="00F87578" w:rsidRDefault="000552CA" w:rsidP="000552CA">
      <w:pPr>
        <w:rPr>
          <w:sz w:val="22"/>
          <w:szCs w:val="22"/>
        </w:rPr>
      </w:pPr>
      <w:r w:rsidRPr="00F87578">
        <w:rPr>
          <w:sz w:val="22"/>
          <w:szCs w:val="22"/>
        </w:rPr>
        <w:t> </w:t>
      </w:r>
    </w:p>
    <w:p w:rsidR="000552CA" w:rsidRPr="00F87578" w:rsidRDefault="000552CA" w:rsidP="000552CA">
      <w:pPr>
        <w:spacing w:after="120" w:line="276" w:lineRule="auto"/>
        <w:jc w:val="both"/>
        <w:rPr>
          <w:b/>
          <w:sz w:val="22"/>
          <w:szCs w:val="22"/>
        </w:rPr>
      </w:pPr>
      <w:bookmarkStart w:id="4" w:name="_Hlk96516224"/>
      <w:r w:rsidRPr="00F87578">
        <w:rPr>
          <w:b/>
          <w:sz w:val="22"/>
          <w:szCs w:val="22"/>
        </w:rPr>
        <w:t xml:space="preserve">Avvikande ståndpunkt </w:t>
      </w:r>
      <w:bookmarkEnd w:id="4"/>
      <w:r w:rsidRPr="00F87578">
        <w:rPr>
          <w:b/>
          <w:sz w:val="22"/>
          <w:szCs w:val="22"/>
        </w:rPr>
        <w:t>(L)</w:t>
      </w:r>
    </w:p>
    <w:p w:rsidR="000552CA" w:rsidRPr="00F87578" w:rsidRDefault="000552CA" w:rsidP="000552CA">
      <w:pPr>
        <w:spacing w:after="120" w:line="276" w:lineRule="auto"/>
        <w:jc w:val="both"/>
        <w:rPr>
          <w:b/>
          <w:sz w:val="22"/>
          <w:szCs w:val="22"/>
        </w:rPr>
      </w:pPr>
      <w:r w:rsidRPr="00F87578">
        <w:rPr>
          <w:sz w:val="22"/>
          <w:szCs w:val="22"/>
        </w:rPr>
        <w:t xml:space="preserve">Sveriges regering föreslår en högre ambition för utbyggnaden av bio CCS/DACCS än vad som föreslås av EU-kommissionen och efterfrågar en analys om vad som ligger till grund för målsättningarna. Sverige har avsatt medel för att skapa ett system för driftstöd för bio-CCS med inriktningen att 2 miljoner </w:t>
      </w:r>
      <w:proofErr w:type="gramStart"/>
      <w:r w:rsidRPr="00F87578">
        <w:rPr>
          <w:sz w:val="22"/>
          <w:szCs w:val="22"/>
        </w:rPr>
        <w:t>ton koldioxid</w:t>
      </w:r>
      <w:proofErr w:type="gramEnd"/>
      <w:r w:rsidRPr="00F87578">
        <w:rPr>
          <w:sz w:val="22"/>
          <w:szCs w:val="22"/>
        </w:rPr>
        <w:t xml:space="preserve"> per år ska fångas upp och lagras år 2030. </w:t>
      </w:r>
      <w:r w:rsidRPr="00F87578">
        <w:rPr>
          <w:color w:val="FF0000"/>
          <w:sz w:val="22"/>
          <w:szCs w:val="22"/>
        </w:rPr>
        <w:t xml:space="preserve">Med en EU-gemensam marknad för negativa utsläpp på plats skulle Sverige kunna åstadkomma betydligt mer negativa utsläpp än så, vi kan klara att samla in 10 miljoner </w:t>
      </w:r>
      <w:proofErr w:type="gramStart"/>
      <w:r w:rsidRPr="00F87578">
        <w:rPr>
          <w:color w:val="FF0000"/>
          <w:sz w:val="22"/>
          <w:szCs w:val="22"/>
        </w:rPr>
        <w:t>ton koldioxid</w:t>
      </w:r>
      <w:proofErr w:type="gramEnd"/>
      <w:r w:rsidRPr="00F87578">
        <w:rPr>
          <w:color w:val="FF0000"/>
          <w:sz w:val="22"/>
          <w:szCs w:val="22"/>
        </w:rPr>
        <w:t xml:space="preserve"> 2030. </w:t>
      </w:r>
      <w:r w:rsidRPr="00F87578">
        <w:rPr>
          <w:sz w:val="22"/>
          <w:szCs w:val="22"/>
        </w:rPr>
        <w:t xml:space="preserve">Mot den bakgrunden anser regeringen att EU tillsammans bör kunna åstadkomma mer än 5 </w:t>
      </w:r>
      <w:proofErr w:type="spellStart"/>
      <w:r w:rsidRPr="00F87578">
        <w:rPr>
          <w:sz w:val="22"/>
          <w:szCs w:val="22"/>
        </w:rPr>
        <w:t>Mt</w:t>
      </w:r>
      <w:proofErr w:type="spellEnd"/>
      <w:r w:rsidRPr="00F87578">
        <w:rPr>
          <w:sz w:val="22"/>
          <w:szCs w:val="22"/>
        </w:rPr>
        <w:t xml:space="preserve"> till 2030. Eftersom Sveriges satsning på bio-CCS innebär lagring av biogen koldioxid redan 2026 föreslår regeringen också att systemet för bokföring ska vara på plats 2026 </w:t>
      </w:r>
      <w:r w:rsidRPr="00F87578">
        <w:rPr>
          <w:color w:val="FF0000"/>
          <w:sz w:val="22"/>
          <w:szCs w:val="22"/>
        </w:rPr>
        <w:t>för att senast 2028 omfatta all infångad koldioxid.</w:t>
      </w:r>
    </w:p>
    <w:p w:rsidR="006F18A1" w:rsidRPr="007F4652" w:rsidRDefault="006F18A1" w:rsidP="006F18A1">
      <w:pPr>
        <w:rPr>
          <w:b/>
          <w:sz w:val="22"/>
          <w:szCs w:val="22"/>
        </w:rPr>
      </w:pPr>
      <w:r w:rsidRPr="007F4652">
        <w:rPr>
          <w:b/>
          <w:sz w:val="22"/>
          <w:szCs w:val="22"/>
        </w:rPr>
        <w:t>Avvikande ståndpunkt (MP)</w:t>
      </w:r>
    </w:p>
    <w:p w:rsidR="006F18A1" w:rsidRPr="007F4652" w:rsidRDefault="006F18A1" w:rsidP="006F18A1">
      <w:pPr>
        <w:rPr>
          <w:sz w:val="22"/>
          <w:szCs w:val="22"/>
        </w:rPr>
      </w:pPr>
    </w:p>
    <w:p w:rsidR="006F18A1" w:rsidRPr="007F4652" w:rsidRDefault="006F18A1" w:rsidP="006F18A1">
      <w:pPr>
        <w:rPr>
          <w:sz w:val="22"/>
          <w:szCs w:val="22"/>
        </w:rPr>
      </w:pPr>
      <w:r w:rsidRPr="007F4652">
        <w:rPr>
          <w:sz w:val="22"/>
          <w:szCs w:val="22"/>
        </w:rPr>
        <w:t>Sveriges regering måste inta en mer klimatpositiv hållning, både sett till att nå målsättningen om att bli klimatpositiv, dvs att få negativa utsläpp, men det krävs också en tydligare klimatpositiv attityd från regeringens sida för att vara pådrivande i klimatomställningen. Sverige får inte riskera att mista det viktiga klimatledarskapet.</w:t>
      </w:r>
    </w:p>
    <w:p w:rsidR="006F18A1" w:rsidRPr="007F4652" w:rsidRDefault="006F18A1" w:rsidP="006F18A1">
      <w:pPr>
        <w:rPr>
          <w:sz w:val="22"/>
          <w:szCs w:val="22"/>
        </w:rPr>
      </w:pPr>
      <w:r w:rsidRPr="007F4652">
        <w:rPr>
          <w:sz w:val="22"/>
          <w:szCs w:val="22"/>
        </w:rPr>
        <w:t>EU:s och Sveriges klimatpolitik har hittills varit inriktad på att minska utsläppen av koldioxid från fossila källor. Även om den huvudsakliga prioriteringen måste fortsätta vara att ännu snabbare fasa ut fossil energi måste klimatpolitiken bli mer mångfacetterad. Många konservativa grupper i EU har sett kolinlagring som ett sätt att skjuta klimatomställningen och utfasningen av fossil energi framåt. Den inställningen måste starkt ifrågasättas. Det är i själva verket viktigt att både prioritera minskade utsläpp och kolinlagring. Energibeskattningen kommer i stigande grad behöva omfatta även förnybara energikällor. Det kommer bli en tvingande konsekvens av reformeringen av EU:s energiskattedirektiv, som även hållbarhetsrangordnar förnybar energi.</w:t>
      </w:r>
    </w:p>
    <w:p w:rsidR="006F18A1" w:rsidRPr="007F4652" w:rsidRDefault="006F18A1" w:rsidP="006F18A1">
      <w:pPr>
        <w:rPr>
          <w:sz w:val="22"/>
          <w:szCs w:val="22"/>
        </w:rPr>
      </w:pPr>
      <w:r w:rsidRPr="007F4652">
        <w:rPr>
          <w:sz w:val="22"/>
          <w:szCs w:val="22"/>
        </w:rPr>
        <w:t xml:space="preserve">Konjunkturinstitutet har i 2021 års miljöekonomiska rapport beskrivit hur ökad kolinlagring i skogsbruket kan ske. </w:t>
      </w:r>
      <w:r w:rsidRPr="007F4652">
        <w:rPr>
          <w:rStyle w:val="Slutnotsreferens"/>
          <w:sz w:val="22"/>
          <w:szCs w:val="22"/>
        </w:rPr>
        <w:endnoteReference w:id="1"/>
      </w:r>
      <w:r w:rsidRPr="007F4652">
        <w:rPr>
          <w:sz w:val="22"/>
          <w:szCs w:val="22"/>
        </w:rPr>
        <w:t xml:space="preserve"> Prissättning av förbränning skulle skapa incitament till ökad cirkulation av skogsfiber och till kolinlagring i långlivade produkter. Ett tydligt användningsområde är spånplattor och andra träbaserade skivor, där produktionen av träbaserade skivor i Sverige har drabbats hårt av stöd och skattelättnader till olika biobränslen.</w:t>
      </w:r>
      <w:r w:rsidRPr="007F4652">
        <w:rPr>
          <w:rStyle w:val="Slutnotsreferens"/>
          <w:sz w:val="22"/>
          <w:szCs w:val="22"/>
        </w:rPr>
        <w:endnoteReference w:id="2"/>
      </w:r>
      <w:r w:rsidRPr="007F4652">
        <w:rPr>
          <w:sz w:val="22"/>
          <w:szCs w:val="22"/>
        </w:rPr>
        <w:t xml:space="preserve"> </w:t>
      </w:r>
    </w:p>
    <w:p w:rsidR="006F18A1" w:rsidRPr="007F4652" w:rsidRDefault="006F18A1" w:rsidP="006F18A1">
      <w:pPr>
        <w:rPr>
          <w:sz w:val="22"/>
          <w:szCs w:val="22"/>
        </w:rPr>
      </w:pPr>
      <w:r w:rsidRPr="007F4652">
        <w:rPr>
          <w:sz w:val="22"/>
          <w:szCs w:val="22"/>
        </w:rPr>
        <w:t xml:space="preserve">I motsats till regeringen ser Miljöpartiet att kaskadprincipen visst kan vara ändamålsenlig för att uppnå effektiva och hållbara kretslopp för kol. Regeringen skriver att kaskadprincipen kan bli marknadsstörande. Miljöpartiet anser att det är önskvärt för att åstadkomma större systemskiften, som omställning till mer cirkulär ekonomi, vilket trots allt kan kräva viss marknadsstörning. Istället för att göra kortlivade produkter av jungfrulig skogsråvara behövs fler långlivade produkter. Styrning till vissa branscher och användningsområden kan bli nödvändigt då ”business as </w:t>
      </w:r>
      <w:proofErr w:type="spellStart"/>
      <w:r w:rsidRPr="007F4652">
        <w:rPr>
          <w:sz w:val="22"/>
          <w:szCs w:val="22"/>
        </w:rPr>
        <w:t>usual</w:t>
      </w:r>
      <w:proofErr w:type="spellEnd"/>
      <w:r w:rsidRPr="007F4652">
        <w:rPr>
          <w:sz w:val="22"/>
          <w:szCs w:val="22"/>
        </w:rPr>
        <w:t>” inte är önskvärt. Bioekonomin är viktig, men det vore bättre om regeringen särskilt betonar att bioekonomin ska vara cirkulär och att substitution måste kombineras med kolinlagring och främjandet av biodiversitet för att optimera klimatnyttan. Utöver det behövs hushållning och förändrade konsumtionsmönster som också innebär förändring av marknaden.</w:t>
      </w:r>
    </w:p>
    <w:p w:rsidR="006F18A1" w:rsidRPr="007F4652" w:rsidRDefault="006F18A1" w:rsidP="006F18A1">
      <w:pPr>
        <w:rPr>
          <w:sz w:val="22"/>
          <w:szCs w:val="22"/>
        </w:rPr>
      </w:pPr>
      <w:r w:rsidRPr="007F4652">
        <w:rPr>
          <w:sz w:val="22"/>
          <w:szCs w:val="22"/>
        </w:rPr>
        <w:t xml:space="preserve">Sveriges skogar måste skötas på ett mer naturnära sätt, till exempel hyggesfritt skogsbruk, vilket inte ytterligare skulle utarma den biologiska mångfalden. Naturnära skogsbruk kommer även stärka skogens resiliens mot klimatförändringarna. Flera principer för ett mer naturnära skogsbruk samverkar dessutom med minskad klimatpåverkan från skogsbruket. Exempelvis bidrar mer skonsamma metoder med mindre </w:t>
      </w:r>
      <w:r w:rsidRPr="007F4652">
        <w:rPr>
          <w:sz w:val="22"/>
          <w:szCs w:val="22"/>
        </w:rPr>
        <w:lastRenderedPageBreak/>
        <w:t xml:space="preserve">markpåverkan och att mer kol lagras i marken. Likaså bidrar förlängda omloppstider till ökad kolinlagring i skogens biomassa. </w:t>
      </w:r>
    </w:p>
    <w:p w:rsidR="006F18A1" w:rsidRPr="007F4652" w:rsidRDefault="006F18A1" w:rsidP="006F18A1">
      <w:pPr>
        <w:rPr>
          <w:sz w:val="22"/>
          <w:szCs w:val="22"/>
        </w:rPr>
      </w:pPr>
      <w:r w:rsidRPr="007F4652">
        <w:rPr>
          <w:sz w:val="22"/>
          <w:szCs w:val="22"/>
        </w:rPr>
        <w:t>Regeringen lyfter upp ett antal negativa aspekter med ”</w:t>
      </w:r>
      <w:proofErr w:type="spellStart"/>
      <w:r w:rsidRPr="007F4652">
        <w:rPr>
          <w:sz w:val="22"/>
          <w:szCs w:val="22"/>
        </w:rPr>
        <w:t>carbon</w:t>
      </w:r>
      <w:proofErr w:type="spellEnd"/>
      <w:r w:rsidRPr="007F4652">
        <w:rPr>
          <w:sz w:val="22"/>
          <w:szCs w:val="22"/>
        </w:rPr>
        <w:t xml:space="preserve"> </w:t>
      </w:r>
      <w:proofErr w:type="spellStart"/>
      <w:r w:rsidRPr="007F4652">
        <w:rPr>
          <w:sz w:val="22"/>
          <w:szCs w:val="22"/>
        </w:rPr>
        <w:t>farming</w:t>
      </w:r>
      <w:proofErr w:type="spellEnd"/>
      <w:r w:rsidRPr="007F4652">
        <w:rPr>
          <w:sz w:val="22"/>
          <w:szCs w:val="22"/>
        </w:rPr>
        <w:t xml:space="preserve">” som att biologisk mångfald, naturmiljö, livsmedelsproduktion och landsbygdsutveckling skulle hotas. Miljöpartiet delar inte denna ensidiga bild. Biologisk mångfald och ökad produktion kan många gånger gå hand i hand med kolinlagring och ökad bördighet. Det finns dock olika slags målkonflikter mellan klimat, miljö och djurvälfärd. </w:t>
      </w:r>
      <w:r w:rsidRPr="007F4652">
        <w:rPr>
          <w:rStyle w:val="Slutnotsreferens"/>
          <w:sz w:val="22"/>
          <w:szCs w:val="22"/>
        </w:rPr>
        <w:endnoteReference w:id="3"/>
      </w:r>
      <w:r w:rsidRPr="007F4652">
        <w:rPr>
          <w:sz w:val="22"/>
          <w:szCs w:val="22"/>
        </w:rPr>
        <w:t xml:space="preserve"> Forskningen visar också att en ökad kolsänka kan ses som en investering i åkerjorden genom att till exempel optimera växtföljder. </w:t>
      </w:r>
      <w:r w:rsidRPr="007F4652">
        <w:rPr>
          <w:rStyle w:val="Slutnotsreferens"/>
          <w:sz w:val="22"/>
          <w:szCs w:val="22"/>
        </w:rPr>
        <w:endnoteReference w:id="4"/>
      </w:r>
      <w:r w:rsidRPr="007F4652">
        <w:rPr>
          <w:sz w:val="22"/>
          <w:szCs w:val="22"/>
        </w:rPr>
        <w:t xml:space="preserve"> Om man ser på kolinlagring i kombination med livsmedelsproduktion och främjande av ekosystemtjänster kan det definitivt motivera stöd. Miljöpartiet anser att kolinlagring ska ingå i den gemensamma jordbrukspolitiken, CAP. Och vi menar att en större andel av </w:t>
      </w:r>
      <w:proofErr w:type="gramStart"/>
      <w:r w:rsidRPr="007F4652">
        <w:rPr>
          <w:sz w:val="22"/>
          <w:szCs w:val="22"/>
        </w:rPr>
        <w:t>EUs</w:t>
      </w:r>
      <w:proofErr w:type="gramEnd"/>
      <w:r w:rsidRPr="007F4652">
        <w:rPr>
          <w:sz w:val="22"/>
          <w:szCs w:val="22"/>
        </w:rPr>
        <w:t xml:space="preserve"> jordbruksstöd ska överföras till miljö- och klimatersättningar samtidigt som gårdsstöden minskar.</w:t>
      </w:r>
    </w:p>
    <w:p w:rsidR="006F18A1" w:rsidRPr="007F4652" w:rsidRDefault="006F18A1" w:rsidP="006F18A1">
      <w:pPr>
        <w:rPr>
          <w:sz w:val="22"/>
          <w:szCs w:val="22"/>
        </w:rPr>
      </w:pPr>
      <w:r w:rsidRPr="007F4652">
        <w:rPr>
          <w:sz w:val="22"/>
          <w:szCs w:val="22"/>
        </w:rPr>
        <w:t>WWF visar i en ny rapport att genom att återställa natur- och livsmiljöer i EU kan koldioxidutsläpp på 300 miljoner ton sparas varje år.</w:t>
      </w:r>
      <w:r w:rsidRPr="007F4652">
        <w:rPr>
          <w:rStyle w:val="Slutnotsreferens"/>
          <w:sz w:val="22"/>
          <w:szCs w:val="22"/>
        </w:rPr>
        <w:endnoteReference w:id="5"/>
      </w:r>
      <w:r w:rsidRPr="007F4652">
        <w:rPr>
          <w:sz w:val="22"/>
          <w:szCs w:val="22"/>
        </w:rPr>
        <w:t xml:space="preserve"> Det finns en mycket stor potential för ökad kolinlagring även i ett kortare tidsperspektiv genom naturnära brukningsmetoder, restaurering, skydd av skog och </w:t>
      </w:r>
      <w:proofErr w:type="spellStart"/>
      <w:r w:rsidRPr="007F4652">
        <w:rPr>
          <w:sz w:val="22"/>
          <w:szCs w:val="22"/>
        </w:rPr>
        <w:t>återvätning</w:t>
      </w:r>
      <w:proofErr w:type="spellEnd"/>
      <w:r w:rsidRPr="007F4652">
        <w:rPr>
          <w:sz w:val="22"/>
          <w:szCs w:val="22"/>
        </w:rPr>
        <w:t xml:space="preserve"> mm. Naturbaserade lösningar ger de snabbaste insatserna, även om man inte ska underskatta möjligheterna med Bio-CCS heller. Ambitionsnivåerna i regeringens ståndpunkt bör höjas.</w:t>
      </w:r>
    </w:p>
    <w:p w:rsidR="006F18A1" w:rsidRPr="007F4652" w:rsidRDefault="006F18A1" w:rsidP="006F18A1">
      <w:pPr>
        <w:rPr>
          <w:sz w:val="22"/>
          <w:szCs w:val="22"/>
        </w:rPr>
      </w:pPr>
      <w:r w:rsidRPr="007F4652">
        <w:rPr>
          <w:sz w:val="22"/>
          <w:szCs w:val="22"/>
        </w:rPr>
        <w:t>De initiativ för kolinlagringskrediter som finns i dag bör utvecklas och samordnas genom bland annat certifiering och ackreditering. Markförvaltare kommer att få en allt viktigare roll och Miljöpartiet anser att affärsmodeller ska kunna gynna lönsamheten för enskilda lantbrukare med hållbart jordbruk och skogsbruk, samtidigt som kolinlagringen bidrar till att klimatmålen ska kunna nås inom lantbruket och i respektive medlemsland i EU.</w:t>
      </w:r>
    </w:p>
    <w:p w:rsidR="006F18A1" w:rsidRPr="007F4652" w:rsidRDefault="006F18A1" w:rsidP="006F18A1">
      <w:pPr>
        <w:rPr>
          <w:sz w:val="22"/>
          <w:szCs w:val="22"/>
        </w:rPr>
      </w:pPr>
      <w:r w:rsidRPr="007F4652">
        <w:rPr>
          <w:sz w:val="22"/>
          <w:szCs w:val="22"/>
        </w:rPr>
        <w:t>Miljöpartiet ifrågasätter inte allt i regeringens ståndpunkt. Mer ser behov att regeringen ser mer positivt på kolsänkor, ”</w:t>
      </w:r>
      <w:proofErr w:type="spellStart"/>
      <w:r w:rsidRPr="007F4652">
        <w:rPr>
          <w:sz w:val="22"/>
          <w:szCs w:val="22"/>
        </w:rPr>
        <w:t>carbon</w:t>
      </w:r>
      <w:proofErr w:type="spellEnd"/>
      <w:r w:rsidRPr="007F4652">
        <w:rPr>
          <w:sz w:val="22"/>
          <w:szCs w:val="22"/>
        </w:rPr>
        <w:t xml:space="preserve"> </w:t>
      </w:r>
      <w:proofErr w:type="spellStart"/>
      <w:r w:rsidRPr="007F4652">
        <w:rPr>
          <w:sz w:val="22"/>
          <w:szCs w:val="22"/>
        </w:rPr>
        <w:t>farming</w:t>
      </w:r>
      <w:proofErr w:type="spellEnd"/>
      <w:r w:rsidRPr="007F4652">
        <w:rPr>
          <w:sz w:val="22"/>
          <w:szCs w:val="22"/>
        </w:rPr>
        <w:t>” och innovation som ger förändrade brukningsmetoder som gynnar klimatet.</w:t>
      </w:r>
    </w:p>
    <w:p w:rsidR="006F18A1" w:rsidRPr="007F4652" w:rsidRDefault="006F18A1" w:rsidP="006F18A1">
      <w:pPr>
        <w:rPr>
          <w:sz w:val="22"/>
          <w:szCs w:val="22"/>
        </w:rPr>
      </w:pPr>
    </w:p>
    <w:sectPr w:rsidR="006F18A1" w:rsidRPr="007F4652"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001" w:rsidRDefault="00AC2001">
      <w:r>
        <w:separator/>
      </w:r>
    </w:p>
  </w:endnote>
  <w:endnote w:type="continuationSeparator" w:id="0">
    <w:p w:rsidR="00AC2001" w:rsidRDefault="00AC2001">
      <w:r>
        <w:continuationSeparator/>
      </w:r>
    </w:p>
  </w:endnote>
  <w:endnote w:id="1">
    <w:p w:rsidR="00AC2001" w:rsidRPr="00063B37" w:rsidRDefault="00AC2001" w:rsidP="006F18A1">
      <w:pPr>
        <w:pStyle w:val="Slutnotstext"/>
        <w:rPr>
          <w:rFonts w:ascii="Times New Roman" w:hAnsi="Times New Roman" w:cs="Times New Roman"/>
          <w:sz w:val="18"/>
          <w:szCs w:val="18"/>
        </w:rPr>
      </w:pPr>
      <w:r>
        <w:rPr>
          <w:rStyle w:val="Slutnotsreferens"/>
        </w:rPr>
        <w:endnoteRef/>
      </w:r>
      <w:r>
        <w:t xml:space="preserve"> </w:t>
      </w:r>
      <w:r w:rsidRPr="00063B37">
        <w:rPr>
          <w:rFonts w:ascii="Times New Roman" w:hAnsi="Times New Roman" w:cs="Times New Roman"/>
          <w:sz w:val="18"/>
          <w:szCs w:val="18"/>
        </w:rPr>
        <w:t>Konjunkturinstitutet, 2021. Svensk skog behöver en starkare klimatpolitik. Årlig rapport: Miljö, ekonomi och politik. https://www.konj.se/download/18.10535f7c17db81574dd22fb/1639490341602/%C3%85rlig%20rapport%20sammanlagd.pdf</w:t>
      </w:r>
    </w:p>
  </w:endnote>
  <w:endnote w:id="2">
    <w:p w:rsidR="00AC2001" w:rsidRPr="00063B37" w:rsidRDefault="00AC2001" w:rsidP="006F18A1">
      <w:pPr>
        <w:pStyle w:val="Slutnotstext"/>
        <w:rPr>
          <w:rFonts w:ascii="Times New Roman" w:hAnsi="Times New Roman" w:cs="Times New Roman"/>
          <w:sz w:val="18"/>
          <w:szCs w:val="18"/>
        </w:rPr>
      </w:pPr>
      <w:r w:rsidRPr="00063B37">
        <w:rPr>
          <w:rStyle w:val="Slutnotsreferens"/>
          <w:rFonts w:ascii="Times New Roman" w:hAnsi="Times New Roman" w:cs="Times New Roman"/>
          <w:sz w:val="18"/>
          <w:szCs w:val="18"/>
        </w:rPr>
        <w:endnoteRef/>
      </w:r>
      <w:r w:rsidRPr="00063B37">
        <w:rPr>
          <w:rFonts w:ascii="Times New Roman" w:hAnsi="Times New Roman" w:cs="Times New Roman"/>
          <w:sz w:val="18"/>
          <w:szCs w:val="18"/>
        </w:rPr>
        <w:t xml:space="preserve"> Nilsson, S. B, 2021. Systemskiftet i skogen. Det är lätt att komma bort i skogen. Förlags AB Björnen.  https://bjornen.se/produktfiler/systemskifteiskogsnaringen_orig.pdf </w:t>
      </w:r>
    </w:p>
  </w:endnote>
  <w:endnote w:id="3">
    <w:p w:rsidR="00AC2001" w:rsidRPr="00063B37" w:rsidRDefault="00AC2001" w:rsidP="006F18A1">
      <w:pPr>
        <w:pStyle w:val="Slutnotstext"/>
        <w:rPr>
          <w:rFonts w:ascii="Times New Roman" w:hAnsi="Times New Roman" w:cs="Times New Roman"/>
          <w:sz w:val="18"/>
          <w:szCs w:val="18"/>
          <w:lang w:val="en-GB"/>
        </w:rPr>
      </w:pPr>
      <w:r w:rsidRPr="00063B37">
        <w:rPr>
          <w:rStyle w:val="Slutnotsreferens"/>
          <w:rFonts w:ascii="Times New Roman" w:hAnsi="Times New Roman" w:cs="Times New Roman"/>
          <w:sz w:val="18"/>
          <w:szCs w:val="18"/>
        </w:rPr>
        <w:endnoteRef/>
      </w:r>
      <w:r w:rsidRPr="00063B37">
        <w:rPr>
          <w:rFonts w:ascii="Times New Roman" w:hAnsi="Times New Roman" w:cs="Times New Roman"/>
          <w:sz w:val="18"/>
          <w:szCs w:val="18"/>
          <w:lang w:val="en-GB"/>
        </w:rPr>
        <w:t xml:space="preserve"> Carbon Farming – Making Agriculture Fit for 2030, Study for the committee on Environment, Public Health</w:t>
      </w:r>
    </w:p>
    <w:p w:rsidR="00AC2001" w:rsidRPr="00063B37" w:rsidRDefault="00AC2001" w:rsidP="006F18A1">
      <w:pPr>
        <w:pStyle w:val="Slutnotstext"/>
        <w:rPr>
          <w:rFonts w:ascii="Times New Roman" w:hAnsi="Times New Roman" w:cs="Times New Roman"/>
          <w:sz w:val="18"/>
          <w:szCs w:val="18"/>
          <w:lang w:val="en-GB"/>
        </w:rPr>
      </w:pPr>
      <w:r w:rsidRPr="00063B37">
        <w:rPr>
          <w:rFonts w:ascii="Times New Roman" w:hAnsi="Times New Roman" w:cs="Times New Roman"/>
          <w:sz w:val="18"/>
          <w:szCs w:val="18"/>
          <w:lang w:val="en-GB"/>
        </w:rPr>
        <w:t>and Food Safety (ENVI), Policy Department for Economic, Scientific and Quality of Life Policies, European Parliament, Luxembourg, 2021.</w:t>
      </w:r>
    </w:p>
  </w:endnote>
  <w:endnote w:id="4">
    <w:p w:rsidR="00AC2001" w:rsidRPr="00063B37" w:rsidRDefault="00AC2001" w:rsidP="006F18A1">
      <w:pPr>
        <w:pStyle w:val="Slutnotstext"/>
        <w:rPr>
          <w:rFonts w:ascii="Times New Roman" w:hAnsi="Times New Roman" w:cs="Times New Roman"/>
          <w:sz w:val="18"/>
          <w:szCs w:val="18"/>
          <w:lang w:val="en-GB"/>
        </w:rPr>
      </w:pPr>
      <w:r w:rsidRPr="00063B37">
        <w:rPr>
          <w:rStyle w:val="Slutnotsreferens"/>
          <w:rFonts w:ascii="Times New Roman" w:hAnsi="Times New Roman" w:cs="Times New Roman"/>
          <w:sz w:val="18"/>
          <w:szCs w:val="18"/>
        </w:rPr>
        <w:endnoteRef/>
      </w:r>
      <w:r w:rsidRPr="00063B37">
        <w:rPr>
          <w:rFonts w:ascii="Times New Roman" w:hAnsi="Times New Roman" w:cs="Times New Roman"/>
          <w:sz w:val="18"/>
          <w:szCs w:val="18"/>
          <w:lang w:val="en-GB"/>
        </w:rPr>
        <w:t xml:space="preserve"> https://formas.se/download/18.453f3191784aec71fd3e990/1622192325983/f1-2021-vaxtfoljders-paverkan-pa-inlagring-av-organiskt-kol.pdf</w:t>
      </w:r>
    </w:p>
  </w:endnote>
  <w:endnote w:id="5">
    <w:p w:rsidR="00AC2001" w:rsidRPr="00063B37" w:rsidRDefault="00AC2001" w:rsidP="006F18A1">
      <w:pPr>
        <w:pStyle w:val="Slutnotstext"/>
        <w:rPr>
          <w:rFonts w:ascii="Times New Roman" w:hAnsi="Times New Roman" w:cs="Times New Roman"/>
          <w:sz w:val="18"/>
          <w:szCs w:val="18"/>
          <w:lang w:val="en-GB"/>
        </w:rPr>
      </w:pPr>
      <w:r w:rsidRPr="00063B37">
        <w:rPr>
          <w:rStyle w:val="Slutnotsreferens"/>
          <w:rFonts w:ascii="Times New Roman" w:hAnsi="Times New Roman" w:cs="Times New Roman"/>
          <w:sz w:val="18"/>
          <w:szCs w:val="18"/>
        </w:rPr>
        <w:endnoteRef/>
      </w:r>
      <w:r w:rsidRPr="00063B37">
        <w:rPr>
          <w:rFonts w:ascii="Times New Roman" w:hAnsi="Times New Roman" w:cs="Times New Roman"/>
          <w:sz w:val="18"/>
          <w:szCs w:val="18"/>
          <w:lang w:val="en-GB"/>
        </w:rPr>
        <w:t xml:space="preserve"> https://ieep.eu/uploads/articles/attachments/0a93c31d-7046-4626-b207-a66e4b6f1ff6/Climate%20mitigation%20potential%20of%20large-scale%20nature%20restoration_IEEP%20(2022).pdf?v=63811439074</w:t>
      </w: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p w:rsidR="00AC2001" w:rsidRDefault="00AC2001" w:rsidP="006F18A1">
      <w:pPr>
        <w:pStyle w:val="Slutnotstext"/>
        <w:rPr>
          <w:lang w:val="en-GB"/>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AC2001" w:rsidRPr="00F87578" w:rsidTr="00AC2001">
        <w:tc>
          <w:tcPr>
            <w:tcW w:w="5457" w:type="dxa"/>
          </w:tcPr>
          <w:p w:rsidR="00AC2001" w:rsidRPr="00F87578" w:rsidRDefault="00AC2001" w:rsidP="00063B37">
            <w:pPr>
              <w:tabs>
                <w:tab w:val="left" w:pos="1276"/>
              </w:tabs>
              <w:rPr>
                <w:sz w:val="22"/>
                <w:szCs w:val="22"/>
              </w:rPr>
            </w:pPr>
            <w:r w:rsidRPr="00F87578">
              <w:rPr>
                <w:sz w:val="22"/>
                <w:szCs w:val="22"/>
              </w:rPr>
              <w:br w:type="page"/>
              <w:t>MILJÖ- OCH JORDBRUKSUTSKOTTET</w:t>
            </w:r>
          </w:p>
        </w:tc>
        <w:tc>
          <w:tcPr>
            <w:tcW w:w="1843" w:type="dxa"/>
          </w:tcPr>
          <w:p w:rsidR="00AC2001" w:rsidRPr="00F87578" w:rsidRDefault="00AC2001" w:rsidP="00063B37">
            <w:pPr>
              <w:tabs>
                <w:tab w:val="left" w:pos="1276"/>
              </w:tabs>
              <w:rPr>
                <w:sz w:val="22"/>
                <w:szCs w:val="22"/>
              </w:rPr>
            </w:pPr>
          </w:p>
        </w:tc>
        <w:tc>
          <w:tcPr>
            <w:tcW w:w="1701" w:type="dxa"/>
          </w:tcPr>
          <w:p w:rsidR="00AC2001" w:rsidRPr="00F87578" w:rsidRDefault="00AC2001" w:rsidP="00063B37">
            <w:pPr>
              <w:tabs>
                <w:tab w:val="left" w:pos="1276"/>
              </w:tabs>
              <w:ind w:right="-212"/>
              <w:rPr>
                <w:b/>
                <w:sz w:val="22"/>
                <w:szCs w:val="22"/>
              </w:rPr>
            </w:pPr>
            <w:r w:rsidRPr="00F87578">
              <w:rPr>
                <w:b/>
                <w:sz w:val="22"/>
                <w:szCs w:val="22"/>
              </w:rPr>
              <w:t xml:space="preserve">Bilaga </w:t>
            </w:r>
            <w:r>
              <w:rPr>
                <w:b/>
                <w:sz w:val="22"/>
                <w:szCs w:val="22"/>
              </w:rPr>
              <w:t>4</w:t>
            </w:r>
          </w:p>
          <w:p w:rsidR="00AC2001" w:rsidRPr="00F87578" w:rsidRDefault="00AC2001" w:rsidP="00063B37">
            <w:pPr>
              <w:tabs>
                <w:tab w:val="left" w:pos="1276"/>
              </w:tabs>
              <w:ind w:right="-212"/>
              <w:rPr>
                <w:sz w:val="22"/>
                <w:szCs w:val="22"/>
              </w:rPr>
            </w:pPr>
            <w:r w:rsidRPr="00F87578">
              <w:rPr>
                <w:sz w:val="22"/>
                <w:szCs w:val="22"/>
              </w:rPr>
              <w:t>till protokoll</w:t>
            </w:r>
          </w:p>
          <w:p w:rsidR="00AC2001" w:rsidRPr="00F87578" w:rsidRDefault="00AC2001" w:rsidP="00063B37">
            <w:pPr>
              <w:tabs>
                <w:tab w:val="left" w:pos="1276"/>
              </w:tabs>
              <w:ind w:right="-212"/>
              <w:rPr>
                <w:b/>
                <w:sz w:val="22"/>
                <w:szCs w:val="22"/>
              </w:rPr>
            </w:pPr>
            <w:r w:rsidRPr="00F87578">
              <w:rPr>
                <w:sz w:val="22"/>
                <w:szCs w:val="22"/>
              </w:rPr>
              <w:t>2021/22:33</w:t>
            </w:r>
          </w:p>
        </w:tc>
      </w:tr>
    </w:tbl>
    <w:p w:rsidR="00AC2001" w:rsidRDefault="00AC2001" w:rsidP="006F18A1">
      <w:pPr>
        <w:pStyle w:val="Slutnotstext"/>
        <w:rPr>
          <w:lang w:val="en-GB"/>
        </w:rPr>
      </w:pPr>
    </w:p>
    <w:p w:rsidR="00AC2001" w:rsidRPr="00063B37" w:rsidRDefault="00AC2001" w:rsidP="00063B37">
      <w:pPr>
        <w:rPr>
          <w:b/>
          <w:sz w:val="22"/>
          <w:szCs w:val="22"/>
          <w:lang w:val="sv"/>
        </w:rPr>
      </w:pPr>
      <w:r w:rsidRPr="00063B37">
        <w:rPr>
          <w:b/>
          <w:sz w:val="22"/>
          <w:szCs w:val="22"/>
          <w:lang w:val="sv"/>
        </w:rPr>
        <w:t>Förslag till utskottsinitiativ - Åtgärder för att minska djurförsöken</w:t>
      </w:r>
      <w:r>
        <w:rPr>
          <w:b/>
          <w:sz w:val="22"/>
          <w:szCs w:val="22"/>
          <w:lang w:val="sv"/>
        </w:rPr>
        <w:t xml:space="preserve"> (MP)</w:t>
      </w:r>
    </w:p>
    <w:p w:rsidR="00AC2001" w:rsidRPr="00063B37" w:rsidRDefault="00AC2001" w:rsidP="00063B37">
      <w:pPr>
        <w:rPr>
          <w:sz w:val="22"/>
          <w:szCs w:val="22"/>
          <w:lang w:val="sv"/>
        </w:rPr>
      </w:pPr>
    </w:p>
    <w:p w:rsidR="00AC2001" w:rsidRPr="00063B37" w:rsidRDefault="00AC2001" w:rsidP="00063B37">
      <w:pPr>
        <w:rPr>
          <w:b/>
          <w:sz w:val="22"/>
          <w:szCs w:val="22"/>
          <w:lang w:val="sv"/>
        </w:rPr>
      </w:pPr>
      <w:r w:rsidRPr="00063B37">
        <w:rPr>
          <w:b/>
          <w:sz w:val="22"/>
          <w:szCs w:val="22"/>
          <w:lang w:val="sv"/>
        </w:rPr>
        <w:t>Förslag</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Miljö- och jordbruksutskottet bör med stöd av sin initiativrätt enligt 9 kap. 16 § första stycket riksdagsordningen föreslå att riksdagen tillkännager för regeringen att den ska:</w:t>
      </w:r>
    </w:p>
    <w:p w:rsidR="00AC2001" w:rsidRPr="00063B37" w:rsidRDefault="00AC2001" w:rsidP="00063B37">
      <w:pPr>
        <w:rPr>
          <w:sz w:val="22"/>
          <w:szCs w:val="22"/>
          <w:lang w:val="sv"/>
        </w:rPr>
      </w:pPr>
    </w:p>
    <w:p w:rsidR="00AC2001" w:rsidRPr="00063B37" w:rsidRDefault="00AC2001" w:rsidP="00063B37">
      <w:pPr>
        <w:widowControl/>
        <w:numPr>
          <w:ilvl w:val="0"/>
          <w:numId w:val="5"/>
        </w:numPr>
        <w:rPr>
          <w:sz w:val="22"/>
          <w:szCs w:val="22"/>
          <w:lang w:val="sv"/>
        </w:rPr>
      </w:pPr>
      <w:r w:rsidRPr="00063B37">
        <w:rPr>
          <w:sz w:val="22"/>
          <w:szCs w:val="22"/>
          <w:lang w:val="sv"/>
        </w:rPr>
        <w:t>Återkomma till riksdagen med ett förslag på åtgärder för att finansiera utfasningen av djurförsök med utgångspunkt i de finansieringsåtgärder 3R-centret identifierat i sin rapport.</w:t>
      </w:r>
      <w:r w:rsidRPr="00063B37">
        <w:rPr>
          <w:sz w:val="22"/>
          <w:szCs w:val="22"/>
          <w:lang w:val="sv"/>
        </w:rPr>
        <w:br/>
      </w:r>
    </w:p>
    <w:p w:rsidR="00AC2001" w:rsidRPr="00063B37" w:rsidRDefault="00AC2001" w:rsidP="00063B37">
      <w:pPr>
        <w:widowControl/>
        <w:numPr>
          <w:ilvl w:val="0"/>
          <w:numId w:val="5"/>
        </w:numPr>
        <w:rPr>
          <w:sz w:val="22"/>
          <w:szCs w:val="22"/>
          <w:lang w:val="sv"/>
        </w:rPr>
      </w:pPr>
      <w:r w:rsidRPr="00063B37">
        <w:rPr>
          <w:sz w:val="22"/>
          <w:szCs w:val="22"/>
          <w:lang w:val="sv"/>
        </w:rPr>
        <w:t>Ge landets lärosäten i uppdrag att utveckla strategier för utfasning av djurförsöken som inkluderar såväl långsiktiga planer för övergång till djurfri forskning som mer omedelbara strategier för att utbilda framtidens forskare i djurförsöksfria metoder.</w:t>
      </w:r>
      <w:r w:rsidRPr="00063B37">
        <w:rPr>
          <w:sz w:val="22"/>
          <w:szCs w:val="22"/>
          <w:lang w:val="sv"/>
        </w:rPr>
        <w:br/>
      </w:r>
    </w:p>
    <w:p w:rsidR="00AC2001" w:rsidRPr="00063B37" w:rsidRDefault="00AC2001" w:rsidP="00063B37">
      <w:pPr>
        <w:widowControl/>
        <w:numPr>
          <w:ilvl w:val="0"/>
          <w:numId w:val="5"/>
        </w:numPr>
        <w:rPr>
          <w:sz w:val="22"/>
          <w:szCs w:val="22"/>
          <w:lang w:val="sv"/>
        </w:rPr>
      </w:pPr>
      <w:r w:rsidRPr="00063B37">
        <w:rPr>
          <w:sz w:val="22"/>
          <w:szCs w:val="22"/>
          <w:lang w:val="sv"/>
        </w:rPr>
        <w:t>Ge de statliga forskningsfinansiärerna i uppdrag att utreda hur de i sina utlysningar kan verka för att utfasningen av djurförsöken påskyndas.</w:t>
      </w:r>
      <w:r w:rsidRPr="00063B37">
        <w:rPr>
          <w:sz w:val="22"/>
          <w:szCs w:val="22"/>
          <w:lang w:val="sv"/>
        </w:rPr>
        <w:br/>
      </w:r>
    </w:p>
    <w:p w:rsidR="00AC2001" w:rsidRPr="00063B37" w:rsidRDefault="00AC2001" w:rsidP="00063B37">
      <w:pPr>
        <w:widowControl/>
        <w:numPr>
          <w:ilvl w:val="0"/>
          <w:numId w:val="5"/>
        </w:numPr>
        <w:rPr>
          <w:sz w:val="22"/>
          <w:szCs w:val="22"/>
          <w:lang w:val="sv"/>
        </w:rPr>
      </w:pPr>
      <w:r w:rsidRPr="00063B37">
        <w:rPr>
          <w:sz w:val="22"/>
          <w:szCs w:val="22"/>
          <w:lang w:val="sv"/>
        </w:rPr>
        <w:t>Ge Sveriges 3R-center i uppdrag att genomföra de initiativ som de identifierat i sin rapport och som ligger inom deras kompetens.</w:t>
      </w:r>
      <w:r w:rsidRPr="00063B37">
        <w:rPr>
          <w:sz w:val="22"/>
          <w:szCs w:val="22"/>
          <w:lang w:val="sv"/>
        </w:rPr>
        <w:br/>
      </w:r>
    </w:p>
    <w:p w:rsidR="00AC2001" w:rsidRPr="00063B37" w:rsidRDefault="00AC2001" w:rsidP="00063B37">
      <w:pPr>
        <w:widowControl/>
        <w:numPr>
          <w:ilvl w:val="0"/>
          <w:numId w:val="5"/>
        </w:numPr>
        <w:rPr>
          <w:sz w:val="22"/>
          <w:szCs w:val="22"/>
          <w:lang w:val="sv"/>
        </w:rPr>
      </w:pPr>
      <w:r w:rsidRPr="00063B37">
        <w:rPr>
          <w:sz w:val="22"/>
          <w:szCs w:val="22"/>
          <w:lang w:val="sv"/>
        </w:rPr>
        <w:t>Med utgångspunkt i 3R-centrets rapport ta initiativ till ytterligare åtgärder för att påskynda utfasningen av djurförsök.</w:t>
      </w:r>
    </w:p>
    <w:p w:rsidR="00AC2001" w:rsidRPr="00063B37" w:rsidRDefault="00AC2001" w:rsidP="00063B37">
      <w:pPr>
        <w:rPr>
          <w:sz w:val="22"/>
          <w:szCs w:val="22"/>
          <w:lang w:val="sv"/>
        </w:rPr>
      </w:pPr>
    </w:p>
    <w:p w:rsidR="00AC2001" w:rsidRPr="00063B37" w:rsidRDefault="00AC2001" w:rsidP="00063B37">
      <w:pPr>
        <w:rPr>
          <w:b/>
          <w:sz w:val="22"/>
          <w:szCs w:val="22"/>
          <w:lang w:val="sv"/>
        </w:rPr>
      </w:pPr>
      <w:r w:rsidRPr="00063B37">
        <w:rPr>
          <w:b/>
          <w:sz w:val="22"/>
          <w:szCs w:val="22"/>
          <w:lang w:val="sv"/>
        </w:rPr>
        <w:t>Bakgrund</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I snitt avslutas djurförsök på knapp 450 000 försöksdjur i Sveriges försöksanläggningar och drygt 6 000 000 vilda fiskar i Sverige varje år. Utvecklingen av djurfria metoder går sakta men säkert framåt men djurförsöken ersätts inte i den utsträckning som de hade kunnat.</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En klar majoritet av såväl EU:s vuxna befolkning och de folkvalda europaparlamentarikerna vill påskynda utfasningen av djurförsöken. Enligt försöksdjursdirektivet ska alla medlemsstater också bidra till utvecklingen av alternativa metoder för att det EU-gemensamma målet om att alla försök på levande djur ska ersättas så snart det är vetenskapligt möjligt. Ändå har antalet djur som används i försök knappt minskat sedan direktivet trädde i kraft.</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I den senast antagna forskningspropositionen uttalas att Sverige kan bli ett föregångsland när det gäller alternativa metoder till djurförsök. Det är en välkommen målsättning inte minst för att djurfria innovation kommer att bli ett viktigt exportområde i framtiden och dessutom bidrar djurfria alternativ till snabbare och säkrare läkemedelsutveckling. Att vara i fronten för utveckling av djurfri innovation är alltså inte bara bra för djuren utan kommer få positiva effekter för både Sveriges ekonomi och för vårt anseende som forskningsnation. I dagsläget har Sverige som forskningsnation en lång väg kvar innan vi kan sägas vara ledande på området och flera andra länder arbetar med liknande ambitioner.</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Att Sverige bildat ett kompetenscentrum för 3R-frågor och genom Vetenskapsrådet delar ut 15 miljoner kronor till 3R-forskning och validering av alternativa metoder årligen är välkomna initiativ men räcker inte för att åstadkomma någon verklig förändring.</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Förra året fick Jordbruksverkets 3R-center genom regleringsbrevet i uppgift att kartlägga åtgärder för att begränsa användningen av försöksdjur så långt som möjligt. De har nu återrapporterat uppdraget och identifierat flera viktiga åtgärder för att minska djurförsöken i Sverige. Centret sammanfattar åtgärderna i följande fyra punkter:</w:t>
      </w:r>
    </w:p>
    <w:p w:rsidR="00AC2001" w:rsidRPr="00063B37" w:rsidRDefault="00AC2001" w:rsidP="00063B37">
      <w:pPr>
        <w:rPr>
          <w:sz w:val="22"/>
          <w:szCs w:val="22"/>
          <w:lang w:val="sv"/>
        </w:rPr>
      </w:pPr>
    </w:p>
    <w:p w:rsidR="00AC2001" w:rsidRPr="00063B37" w:rsidRDefault="00AC2001" w:rsidP="00063B37">
      <w:pPr>
        <w:widowControl/>
        <w:numPr>
          <w:ilvl w:val="0"/>
          <w:numId w:val="4"/>
        </w:numPr>
        <w:rPr>
          <w:sz w:val="22"/>
          <w:szCs w:val="22"/>
          <w:lang w:val="sv"/>
        </w:rPr>
      </w:pPr>
      <w:r w:rsidRPr="00063B37">
        <w:rPr>
          <w:sz w:val="22"/>
          <w:szCs w:val="22"/>
          <w:lang w:val="sv"/>
        </w:rPr>
        <w:t>Ökad finansiering och ett större incitament för utveckling, utvärdering och användning av djurförsöksfria och helt djurfria metoder.</w:t>
      </w:r>
    </w:p>
    <w:p w:rsidR="00AC2001" w:rsidRPr="00063B37" w:rsidRDefault="00AC2001" w:rsidP="00063B37">
      <w:pPr>
        <w:widowControl/>
        <w:numPr>
          <w:ilvl w:val="0"/>
          <w:numId w:val="4"/>
        </w:numPr>
        <w:rPr>
          <w:sz w:val="22"/>
          <w:szCs w:val="22"/>
          <w:lang w:val="sv"/>
        </w:rPr>
      </w:pPr>
      <w:r w:rsidRPr="00063B37">
        <w:rPr>
          <w:sz w:val="22"/>
          <w:szCs w:val="22"/>
          <w:lang w:val="sv"/>
        </w:rPr>
        <w:t>Ökad kunskap och tillgång till relevant information om djurförsöksfria metoder.</w:t>
      </w:r>
    </w:p>
    <w:p w:rsidR="00AC2001" w:rsidRPr="00063B37" w:rsidRDefault="00AC2001" w:rsidP="00063B37">
      <w:pPr>
        <w:widowControl/>
        <w:numPr>
          <w:ilvl w:val="0"/>
          <w:numId w:val="4"/>
        </w:numPr>
        <w:rPr>
          <w:sz w:val="22"/>
          <w:szCs w:val="22"/>
          <w:lang w:val="sv"/>
        </w:rPr>
      </w:pPr>
      <w:r w:rsidRPr="00063B37">
        <w:rPr>
          <w:sz w:val="22"/>
          <w:szCs w:val="22"/>
          <w:lang w:val="sv"/>
        </w:rPr>
        <w:t>Ökat samarbete och diskussion mellan aktörer som berörs av frågan om att ersätta och minska djurförsök.</w:t>
      </w:r>
    </w:p>
    <w:p w:rsidR="00AC2001" w:rsidRPr="00063B37" w:rsidRDefault="00AC2001" w:rsidP="00063B37">
      <w:pPr>
        <w:widowControl/>
        <w:numPr>
          <w:ilvl w:val="0"/>
          <w:numId w:val="6"/>
        </w:numPr>
        <w:rPr>
          <w:sz w:val="22"/>
          <w:szCs w:val="22"/>
          <w:lang w:val="sv"/>
        </w:rPr>
      </w:pPr>
      <w:r w:rsidRPr="00063B37">
        <w:rPr>
          <w:sz w:val="22"/>
          <w:szCs w:val="22"/>
          <w:lang w:val="sv"/>
        </w:rPr>
        <w:t>Ökat fokus på insatser som kan minska och förfina de djurförsök som fortfarande behöver utföras.</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Flera av de åtgärder 3R-centret identifierar under de här fyra sammanfattande kategorierna är inte åtgärder som riksdagen eller regeringen kan genomföra utan riktar sig till forskningen och industrin. Många av de åtgärder centret föreslår kan dessutom redan idag utföras av centret själva men det kräver att deras uppdrag förtydligas i enlighet med vad som framkommer av deras rapport.</w:t>
      </w:r>
    </w:p>
    <w:p w:rsidR="00AC2001" w:rsidRPr="00063B37" w:rsidRDefault="00AC2001" w:rsidP="00063B37">
      <w:pPr>
        <w:rPr>
          <w:sz w:val="22"/>
          <w:szCs w:val="22"/>
          <w:lang w:val="sv"/>
        </w:rPr>
      </w:pPr>
    </w:p>
    <w:p w:rsidR="00AC2001" w:rsidRPr="00063B37" w:rsidRDefault="00AC2001" w:rsidP="00063B37">
      <w:pPr>
        <w:rPr>
          <w:b/>
          <w:sz w:val="22"/>
          <w:szCs w:val="22"/>
          <w:lang w:val="sv"/>
        </w:rPr>
      </w:pPr>
      <w:r w:rsidRPr="00063B37">
        <w:rPr>
          <w:b/>
          <w:sz w:val="22"/>
          <w:szCs w:val="22"/>
          <w:lang w:val="sv"/>
        </w:rPr>
        <w:t>Ökad finansiering</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 xml:space="preserve">När det gäller finansiering för utveckling, utvärdering och användning av djurförsöksfria metoder skriver 3R-centret i sin rapport att </w:t>
      </w:r>
      <w:r w:rsidRPr="00063B37">
        <w:rPr>
          <w:i/>
          <w:sz w:val="22"/>
          <w:szCs w:val="22"/>
          <w:lang w:val="sv"/>
        </w:rPr>
        <w:t>“Direkta åtgärder för att öka finansiering är en avgörande faktor i arbetet med att ersätta djurförsök”.</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 xml:space="preserve">I dagsläget fördelas de 13+2 miljoner kronor som kan sökas till 3R-forskning och validering av nya metoder genom Vetenskapsrådet. Anslaget fördelas enligt VR varje år på ett antal projekt fördelade ungefär jämt på de respektive tre R:en. Det innebär att majoriteten av pengarna går till att utveckla djurförsöksmetoder för att minska lidandet hos djuren och att effektivisera metoderna så att färre djur kan användas i djurförsöken. </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Detta är viktigt men innebär också att bara en mindre del av pengarna blir kvar till projekt ämnade att utveckla metoder som kan ersätta djurförsök. Eftersom den totala summan som satsas är förhållandevis låg delar VR maximalt ut 800 000 kr per projekt och år. I många fall räcker de pengarna inte ens till en forskarlön och det framstår därför som självklart att nuvarande satsning på 3R-forskning inte kommer att leda till några större genombrott eller sätta Sverige på kartan som föregångsland vad gäller alternativa metoder till djurförsök.</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Utöver de medel som idag fördelas genom vetenskapsrådet behövs direkta satsningar på att ta fram alternativa metoder till djurförsök. 3R-centret identifierar bland annat ett behov av finansiering specifikt för utveckling och utvärdering av djurförsöksfria metoder. Det är därför inte tillräckligt att öka det befintliga 3R-anslaget som fördelas genom VR.</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Regeringen bör därför återkomma till riksdagen med ett förslag på finansieringsmodell som baseras på de åtgärder 3R-centret identifierat som viktiga i sin rapport.</w:t>
      </w:r>
    </w:p>
    <w:p w:rsidR="00AC2001" w:rsidRPr="00063B37" w:rsidRDefault="00AC2001" w:rsidP="00063B37">
      <w:pPr>
        <w:rPr>
          <w:sz w:val="22"/>
          <w:szCs w:val="22"/>
          <w:lang w:val="sv"/>
        </w:rPr>
      </w:pPr>
    </w:p>
    <w:p w:rsidR="00AC2001" w:rsidRPr="00063B37" w:rsidRDefault="00AC2001" w:rsidP="00063B37">
      <w:pPr>
        <w:rPr>
          <w:b/>
          <w:sz w:val="22"/>
          <w:szCs w:val="22"/>
          <w:lang w:val="sv"/>
        </w:rPr>
      </w:pPr>
      <w:r w:rsidRPr="00063B37">
        <w:rPr>
          <w:b/>
          <w:sz w:val="22"/>
          <w:szCs w:val="22"/>
          <w:lang w:val="sv"/>
        </w:rPr>
        <w:t>Uppdrag till Sveriges lärosäten</w:t>
      </w:r>
    </w:p>
    <w:p w:rsidR="00AC2001" w:rsidRPr="00063B37" w:rsidRDefault="00AC2001" w:rsidP="00063B37">
      <w:pPr>
        <w:rPr>
          <w:sz w:val="22"/>
          <w:szCs w:val="22"/>
          <w:lang w:val="sv"/>
        </w:rPr>
      </w:pPr>
      <w:r w:rsidRPr="00063B37">
        <w:rPr>
          <w:sz w:val="22"/>
          <w:szCs w:val="22"/>
          <w:lang w:val="sv"/>
        </w:rPr>
        <w:t>3R-centret skriver i sin rapport att en “</w:t>
      </w:r>
      <w:r w:rsidRPr="00063B37">
        <w:rPr>
          <w:i/>
          <w:sz w:val="22"/>
          <w:szCs w:val="22"/>
          <w:lang w:val="sv"/>
        </w:rPr>
        <w:t xml:space="preserve">attitydförändring behöver komma till stånd, där djurmodeller inte längre ses som en gyllene standard som den djurfria forskningen ställs mot – utan att bästa tillgängliga metod alltid står i fokus”. </w:t>
      </w:r>
    </w:p>
    <w:p w:rsidR="00AC2001" w:rsidRPr="00063B37" w:rsidRDefault="00AC2001" w:rsidP="00063B37">
      <w:pPr>
        <w:rPr>
          <w:sz w:val="22"/>
          <w:szCs w:val="22"/>
          <w:lang w:val="sv"/>
        </w:rPr>
      </w:pPr>
    </w:p>
    <w:p w:rsidR="00AC2001" w:rsidRPr="00063B37" w:rsidRDefault="00AC2001" w:rsidP="00063B37">
      <w:pPr>
        <w:rPr>
          <w:i/>
          <w:sz w:val="22"/>
          <w:szCs w:val="22"/>
          <w:lang w:val="sv"/>
        </w:rPr>
      </w:pPr>
      <w:r w:rsidRPr="00063B37">
        <w:rPr>
          <w:sz w:val="22"/>
          <w:szCs w:val="22"/>
          <w:lang w:val="sv"/>
        </w:rPr>
        <w:t>De skriver även att “</w:t>
      </w:r>
      <w:r w:rsidRPr="00063B37">
        <w:rPr>
          <w:i/>
          <w:sz w:val="22"/>
          <w:szCs w:val="22"/>
          <w:lang w:val="sv"/>
        </w:rPr>
        <w:t>[k]unskap om nya metoder kan också öka genom att nya forskare – dagens skolelever, studenter och forskarstuderande – får utbildning i och om djurförsöksfria metoder och utmanas att tänka i nya banor.”</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Regeringen bör därför ge sveriges lärosäten i uppdrag att utveckla strategier för utfasning av djurförsöken som innefattar såväl långsiktiga planer för övergång till djurfri forskning som mer omedelbara strategier för att utbilda framtidens forskare i djurförsöksfria metoder.</w:t>
      </w:r>
    </w:p>
    <w:p w:rsidR="00AC2001" w:rsidRPr="00063B37" w:rsidRDefault="00AC2001" w:rsidP="00063B37">
      <w:pPr>
        <w:rPr>
          <w:sz w:val="22"/>
          <w:szCs w:val="22"/>
          <w:lang w:val="sv"/>
        </w:rPr>
      </w:pPr>
    </w:p>
    <w:p w:rsidR="00AC2001" w:rsidRPr="00063B37" w:rsidRDefault="00AC2001" w:rsidP="00063B37">
      <w:pPr>
        <w:rPr>
          <w:b/>
          <w:sz w:val="22"/>
          <w:szCs w:val="22"/>
          <w:lang w:val="sv"/>
        </w:rPr>
      </w:pPr>
      <w:r w:rsidRPr="00063B37">
        <w:rPr>
          <w:b/>
          <w:sz w:val="22"/>
          <w:szCs w:val="22"/>
          <w:lang w:val="sv"/>
        </w:rPr>
        <w:t>Uppdrag till statliga forskningsfinansiärer</w:t>
      </w:r>
    </w:p>
    <w:p w:rsidR="00AC2001" w:rsidRPr="00063B37" w:rsidRDefault="00AC2001" w:rsidP="00063B37">
      <w:pPr>
        <w:rPr>
          <w:sz w:val="22"/>
          <w:szCs w:val="22"/>
          <w:lang w:val="sv"/>
        </w:rPr>
      </w:pPr>
      <w:r w:rsidRPr="00063B37">
        <w:rPr>
          <w:sz w:val="22"/>
          <w:szCs w:val="22"/>
          <w:lang w:val="sv"/>
        </w:rPr>
        <w:t>I relation till de pengar som årligen satsas på 3R-forskning är den statliga finansieringen av djurförsök samt uppbyggnad och underhåll av forskningsinfrastruktur för djurförsöksverksamhet enorm. Riktade satsningar på finansiering av utveckling av djurfri forskning är viktig men det är också viktigt att finansiering av djurförsök inte fortsätter ske slentrianmässigt under utfasningsperioden.</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Genom strategiskt arbete hos de statliga forskningsfinansiärerna kan forskning som på kort sikt har potential att inte bara ersätta djurförsök utan också ta fram bättre forskningsmetodik premieras och leda till större, snabbare och bättre forskningsresultat inom berörda forskningsområden.</w:t>
      </w:r>
    </w:p>
    <w:p w:rsidR="00AC2001" w:rsidRPr="00063B37" w:rsidRDefault="00AC2001" w:rsidP="00063B37">
      <w:pPr>
        <w:rPr>
          <w:sz w:val="22"/>
          <w:szCs w:val="22"/>
          <w:lang w:val="sv"/>
        </w:rPr>
      </w:pPr>
    </w:p>
    <w:p w:rsidR="00AC2001" w:rsidRPr="00063B37" w:rsidRDefault="00AC2001" w:rsidP="00063B37">
      <w:pPr>
        <w:rPr>
          <w:sz w:val="22"/>
          <w:szCs w:val="22"/>
          <w:lang w:val="sv"/>
        </w:rPr>
      </w:pPr>
      <w:r w:rsidRPr="00063B37">
        <w:rPr>
          <w:sz w:val="22"/>
          <w:szCs w:val="22"/>
          <w:lang w:val="sv"/>
        </w:rPr>
        <w:t>De statliga forskningsfinansiärerna bör därför få i uppdrag att utreda hur de i samtliga utlysningar kan verka för att utfasningen av djurförsöken påskyndas.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01" w:rsidRDefault="00AC200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AC2001" w:rsidRDefault="00AC200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01" w:rsidRDefault="00AC200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AC2001" w:rsidRDefault="00AC2001">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001" w:rsidRDefault="00AC2001">
      <w:r>
        <w:separator/>
      </w:r>
    </w:p>
  </w:footnote>
  <w:footnote w:type="continuationSeparator" w:id="0">
    <w:p w:rsidR="00AC2001" w:rsidRDefault="00AC2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243F3C"/>
    <w:multiLevelType w:val="multilevel"/>
    <w:tmpl w:val="3070B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CC4534"/>
    <w:multiLevelType w:val="multilevel"/>
    <w:tmpl w:val="52889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8B45C3"/>
    <w:multiLevelType w:val="multilevel"/>
    <w:tmpl w:val="F8706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318"/>
    <w:rsid w:val="00033928"/>
    <w:rsid w:val="000340CE"/>
    <w:rsid w:val="0003479D"/>
    <w:rsid w:val="00034F00"/>
    <w:rsid w:val="00040A3C"/>
    <w:rsid w:val="000459DE"/>
    <w:rsid w:val="000467A5"/>
    <w:rsid w:val="000516B4"/>
    <w:rsid w:val="000543D9"/>
    <w:rsid w:val="000552CA"/>
    <w:rsid w:val="000604E3"/>
    <w:rsid w:val="00061437"/>
    <w:rsid w:val="00063B37"/>
    <w:rsid w:val="00064523"/>
    <w:rsid w:val="00070A5C"/>
    <w:rsid w:val="00071FBC"/>
    <w:rsid w:val="00073D84"/>
    <w:rsid w:val="00076BDD"/>
    <w:rsid w:val="00086A67"/>
    <w:rsid w:val="00087ADB"/>
    <w:rsid w:val="00091EA6"/>
    <w:rsid w:val="000A29E4"/>
    <w:rsid w:val="000B4757"/>
    <w:rsid w:val="000D67A6"/>
    <w:rsid w:val="000E349B"/>
    <w:rsid w:val="000E402E"/>
    <w:rsid w:val="000E777E"/>
    <w:rsid w:val="000F6792"/>
    <w:rsid w:val="000F7D9B"/>
    <w:rsid w:val="00102D5B"/>
    <w:rsid w:val="00102F93"/>
    <w:rsid w:val="001107C9"/>
    <w:rsid w:val="00111773"/>
    <w:rsid w:val="001201A1"/>
    <w:rsid w:val="001238B9"/>
    <w:rsid w:val="00134B2F"/>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C3AAE"/>
    <w:rsid w:val="001D7100"/>
    <w:rsid w:val="001E1F27"/>
    <w:rsid w:val="001E4BA9"/>
    <w:rsid w:val="001F0044"/>
    <w:rsid w:val="001F3F30"/>
    <w:rsid w:val="001F587E"/>
    <w:rsid w:val="001F641B"/>
    <w:rsid w:val="00200F8B"/>
    <w:rsid w:val="0021176A"/>
    <w:rsid w:val="00212A8D"/>
    <w:rsid w:val="00214162"/>
    <w:rsid w:val="00216669"/>
    <w:rsid w:val="00216C70"/>
    <w:rsid w:val="002241EF"/>
    <w:rsid w:val="0023053D"/>
    <w:rsid w:val="00231475"/>
    <w:rsid w:val="0023528F"/>
    <w:rsid w:val="002378CC"/>
    <w:rsid w:val="00251478"/>
    <w:rsid w:val="00251487"/>
    <w:rsid w:val="0025203B"/>
    <w:rsid w:val="00254C5A"/>
    <w:rsid w:val="0025725D"/>
    <w:rsid w:val="00267A73"/>
    <w:rsid w:val="002802D7"/>
    <w:rsid w:val="002830F4"/>
    <w:rsid w:val="00286C79"/>
    <w:rsid w:val="00287223"/>
    <w:rsid w:val="002968EE"/>
    <w:rsid w:val="002A14AC"/>
    <w:rsid w:val="002A2A4C"/>
    <w:rsid w:val="002A3C5F"/>
    <w:rsid w:val="002A527A"/>
    <w:rsid w:val="002C1D92"/>
    <w:rsid w:val="002C5FED"/>
    <w:rsid w:val="002D06F9"/>
    <w:rsid w:val="002D20B8"/>
    <w:rsid w:val="002D5CC4"/>
    <w:rsid w:val="002E536D"/>
    <w:rsid w:val="002F25FD"/>
    <w:rsid w:val="00302EBE"/>
    <w:rsid w:val="00305501"/>
    <w:rsid w:val="0030674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B3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41822"/>
    <w:rsid w:val="00441F4F"/>
    <w:rsid w:val="00451DB7"/>
    <w:rsid w:val="00463E6E"/>
    <w:rsid w:val="00470F4B"/>
    <w:rsid w:val="004763AE"/>
    <w:rsid w:val="0047654D"/>
    <w:rsid w:val="0047701D"/>
    <w:rsid w:val="00481847"/>
    <w:rsid w:val="00481A80"/>
    <w:rsid w:val="00481AE3"/>
    <w:rsid w:val="00482D9A"/>
    <w:rsid w:val="00485C5B"/>
    <w:rsid w:val="004945A7"/>
    <w:rsid w:val="004A223F"/>
    <w:rsid w:val="004A5400"/>
    <w:rsid w:val="004B1E7E"/>
    <w:rsid w:val="004C58F4"/>
    <w:rsid w:val="004D49CC"/>
    <w:rsid w:val="004D5AFA"/>
    <w:rsid w:val="004D6725"/>
    <w:rsid w:val="004E030E"/>
    <w:rsid w:val="004E0E27"/>
    <w:rsid w:val="004E4C8B"/>
    <w:rsid w:val="004E60B7"/>
    <w:rsid w:val="004E7DCE"/>
    <w:rsid w:val="004F07B5"/>
    <w:rsid w:val="004F6CCF"/>
    <w:rsid w:val="00501F97"/>
    <w:rsid w:val="00505A58"/>
    <w:rsid w:val="005118EF"/>
    <w:rsid w:val="00512799"/>
    <w:rsid w:val="0051377A"/>
    <w:rsid w:val="00515AC5"/>
    <w:rsid w:val="00523D80"/>
    <w:rsid w:val="005249C1"/>
    <w:rsid w:val="00530BD4"/>
    <w:rsid w:val="005343B6"/>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5F77D4"/>
    <w:rsid w:val="0060083A"/>
    <w:rsid w:val="00603453"/>
    <w:rsid w:val="006135A6"/>
    <w:rsid w:val="006227E2"/>
    <w:rsid w:val="00623CB2"/>
    <w:rsid w:val="006241B5"/>
    <w:rsid w:val="00624DF2"/>
    <w:rsid w:val="00626575"/>
    <w:rsid w:val="00631728"/>
    <w:rsid w:val="00632A02"/>
    <w:rsid w:val="00635CA6"/>
    <w:rsid w:val="00640EEA"/>
    <w:rsid w:val="0064109C"/>
    <w:rsid w:val="00641497"/>
    <w:rsid w:val="00641A46"/>
    <w:rsid w:val="00646730"/>
    <w:rsid w:val="00647558"/>
    <w:rsid w:val="0065168B"/>
    <w:rsid w:val="00657FD1"/>
    <w:rsid w:val="006719BC"/>
    <w:rsid w:val="0067328E"/>
    <w:rsid w:val="00675F6F"/>
    <w:rsid w:val="0069597E"/>
    <w:rsid w:val="006A531C"/>
    <w:rsid w:val="006A63A7"/>
    <w:rsid w:val="006B0B04"/>
    <w:rsid w:val="006C1EB7"/>
    <w:rsid w:val="006D05CF"/>
    <w:rsid w:val="006D0FD8"/>
    <w:rsid w:val="006D312E"/>
    <w:rsid w:val="006D4530"/>
    <w:rsid w:val="006D5F8F"/>
    <w:rsid w:val="006E15D9"/>
    <w:rsid w:val="006F18A1"/>
    <w:rsid w:val="006F4672"/>
    <w:rsid w:val="007027D6"/>
    <w:rsid w:val="00716686"/>
    <w:rsid w:val="00721C53"/>
    <w:rsid w:val="00734D53"/>
    <w:rsid w:val="007453FF"/>
    <w:rsid w:val="00754C4A"/>
    <w:rsid w:val="007555BE"/>
    <w:rsid w:val="00762508"/>
    <w:rsid w:val="007719E4"/>
    <w:rsid w:val="00783165"/>
    <w:rsid w:val="00796426"/>
    <w:rsid w:val="007A1132"/>
    <w:rsid w:val="007B1F72"/>
    <w:rsid w:val="007B26F0"/>
    <w:rsid w:val="007C286F"/>
    <w:rsid w:val="007C4920"/>
    <w:rsid w:val="007C7CDB"/>
    <w:rsid w:val="007E14E2"/>
    <w:rsid w:val="007E6B83"/>
    <w:rsid w:val="007F12BB"/>
    <w:rsid w:val="007F3EB0"/>
    <w:rsid w:val="007F4080"/>
    <w:rsid w:val="007F4652"/>
    <w:rsid w:val="007F7A91"/>
    <w:rsid w:val="00800F79"/>
    <w:rsid w:val="008032FE"/>
    <w:rsid w:val="008072FF"/>
    <w:rsid w:val="008124A2"/>
    <w:rsid w:val="00821792"/>
    <w:rsid w:val="00834E22"/>
    <w:rsid w:val="0084464A"/>
    <w:rsid w:val="008458B4"/>
    <w:rsid w:val="008504EB"/>
    <w:rsid w:val="00856389"/>
    <w:rsid w:val="00865092"/>
    <w:rsid w:val="00865C85"/>
    <w:rsid w:val="00867CAF"/>
    <w:rsid w:val="00872ECF"/>
    <w:rsid w:val="008856C5"/>
    <w:rsid w:val="00886349"/>
    <w:rsid w:val="00894936"/>
    <w:rsid w:val="0089673E"/>
    <w:rsid w:val="0089697F"/>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34B9A"/>
    <w:rsid w:val="00940C78"/>
    <w:rsid w:val="009442D4"/>
    <w:rsid w:val="00952893"/>
    <w:rsid w:val="00955CA2"/>
    <w:rsid w:val="009653D4"/>
    <w:rsid w:val="00967A40"/>
    <w:rsid w:val="009802CA"/>
    <w:rsid w:val="00980A86"/>
    <w:rsid w:val="009810EF"/>
    <w:rsid w:val="009823FA"/>
    <w:rsid w:val="009843D0"/>
    <w:rsid w:val="00985BD1"/>
    <w:rsid w:val="00993254"/>
    <w:rsid w:val="00994906"/>
    <w:rsid w:val="009959C7"/>
    <w:rsid w:val="009A0C25"/>
    <w:rsid w:val="009A1E20"/>
    <w:rsid w:val="009B0A47"/>
    <w:rsid w:val="009B1CDF"/>
    <w:rsid w:val="009B1EEE"/>
    <w:rsid w:val="009B38A7"/>
    <w:rsid w:val="009C0C9D"/>
    <w:rsid w:val="009D0D45"/>
    <w:rsid w:val="009D2985"/>
    <w:rsid w:val="009D4D1A"/>
    <w:rsid w:val="009D6236"/>
    <w:rsid w:val="009E0D7F"/>
    <w:rsid w:val="009E181C"/>
    <w:rsid w:val="009E2FEF"/>
    <w:rsid w:val="009E3810"/>
    <w:rsid w:val="009F0021"/>
    <w:rsid w:val="009F1689"/>
    <w:rsid w:val="00A03943"/>
    <w:rsid w:val="00A25D52"/>
    <w:rsid w:val="00A27786"/>
    <w:rsid w:val="00A34130"/>
    <w:rsid w:val="00A375CF"/>
    <w:rsid w:val="00A37731"/>
    <w:rsid w:val="00A51307"/>
    <w:rsid w:val="00A549F6"/>
    <w:rsid w:val="00A633CA"/>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C2001"/>
    <w:rsid w:val="00AD2143"/>
    <w:rsid w:val="00AD2B50"/>
    <w:rsid w:val="00AD4D95"/>
    <w:rsid w:val="00AE0071"/>
    <w:rsid w:val="00AE6FBC"/>
    <w:rsid w:val="00AF70B0"/>
    <w:rsid w:val="00B02783"/>
    <w:rsid w:val="00B0296A"/>
    <w:rsid w:val="00B03D1F"/>
    <w:rsid w:val="00B04E15"/>
    <w:rsid w:val="00B10BE1"/>
    <w:rsid w:val="00B144F4"/>
    <w:rsid w:val="00B16C18"/>
    <w:rsid w:val="00B22F3B"/>
    <w:rsid w:val="00B24B9D"/>
    <w:rsid w:val="00B26D29"/>
    <w:rsid w:val="00B3182D"/>
    <w:rsid w:val="00B35D41"/>
    <w:rsid w:val="00B40F4D"/>
    <w:rsid w:val="00B419CA"/>
    <w:rsid w:val="00B54123"/>
    <w:rsid w:val="00B54A57"/>
    <w:rsid w:val="00B5691D"/>
    <w:rsid w:val="00B579F1"/>
    <w:rsid w:val="00B62905"/>
    <w:rsid w:val="00B664F7"/>
    <w:rsid w:val="00B7289B"/>
    <w:rsid w:val="00B728C1"/>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209C"/>
    <w:rsid w:val="00BF0D09"/>
    <w:rsid w:val="00BF17F3"/>
    <w:rsid w:val="00C013F6"/>
    <w:rsid w:val="00C11E5F"/>
    <w:rsid w:val="00C20B9F"/>
    <w:rsid w:val="00C20F78"/>
    <w:rsid w:val="00C22E5F"/>
    <w:rsid w:val="00C367C6"/>
    <w:rsid w:val="00C55553"/>
    <w:rsid w:val="00C65F27"/>
    <w:rsid w:val="00C6697A"/>
    <w:rsid w:val="00C674DC"/>
    <w:rsid w:val="00C80EBD"/>
    <w:rsid w:val="00C9733E"/>
    <w:rsid w:val="00C97BFE"/>
    <w:rsid w:val="00CA0AAD"/>
    <w:rsid w:val="00CA234B"/>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269D"/>
    <w:rsid w:val="00D46465"/>
    <w:rsid w:val="00D51132"/>
    <w:rsid w:val="00D5250E"/>
    <w:rsid w:val="00D75A18"/>
    <w:rsid w:val="00D830E6"/>
    <w:rsid w:val="00D87D66"/>
    <w:rsid w:val="00D94F64"/>
    <w:rsid w:val="00D95C10"/>
    <w:rsid w:val="00DA2C47"/>
    <w:rsid w:val="00DA34F3"/>
    <w:rsid w:val="00DA5AAC"/>
    <w:rsid w:val="00DA5DCC"/>
    <w:rsid w:val="00DA627C"/>
    <w:rsid w:val="00DB1D54"/>
    <w:rsid w:val="00DB491C"/>
    <w:rsid w:val="00DC305F"/>
    <w:rsid w:val="00DC46BF"/>
    <w:rsid w:val="00DC48A8"/>
    <w:rsid w:val="00DC7CE4"/>
    <w:rsid w:val="00DD06D6"/>
    <w:rsid w:val="00DD56AB"/>
    <w:rsid w:val="00DD7DD7"/>
    <w:rsid w:val="00DE45E6"/>
    <w:rsid w:val="00DF1920"/>
    <w:rsid w:val="00DF2A5B"/>
    <w:rsid w:val="00DF4E44"/>
    <w:rsid w:val="00DF69C9"/>
    <w:rsid w:val="00E0771A"/>
    <w:rsid w:val="00E1579E"/>
    <w:rsid w:val="00E20F9E"/>
    <w:rsid w:val="00E2386B"/>
    <w:rsid w:val="00E32CDB"/>
    <w:rsid w:val="00E43C72"/>
    <w:rsid w:val="00E44E30"/>
    <w:rsid w:val="00E47577"/>
    <w:rsid w:val="00E53E73"/>
    <w:rsid w:val="00E54743"/>
    <w:rsid w:val="00E54E79"/>
    <w:rsid w:val="00E60AE8"/>
    <w:rsid w:val="00EA5C1E"/>
    <w:rsid w:val="00EB5801"/>
    <w:rsid w:val="00EC7E9B"/>
    <w:rsid w:val="00EE0BF7"/>
    <w:rsid w:val="00EE1713"/>
    <w:rsid w:val="00EE6E7B"/>
    <w:rsid w:val="00EF1B0A"/>
    <w:rsid w:val="00EF4ADF"/>
    <w:rsid w:val="00EF4B6A"/>
    <w:rsid w:val="00F0680D"/>
    <w:rsid w:val="00F143DB"/>
    <w:rsid w:val="00F175DA"/>
    <w:rsid w:val="00F25AFF"/>
    <w:rsid w:val="00F33CB4"/>
    <w:rsid w:val="00F52E1E"/>
    <w:rsid w:val="00F54B7B"/>
    <w:rsid w:val="00F60E19"/>
    <w:rsid w:val="00F6549A"/>
    <w:rsid w:val="00F65F54"/>
    <w:rsid w:val="00F66FF9"/>
    <w:rsid w:val="00F73CB8"/>
    <w:rsid w:val="00F73D67"/>
    <w:rsid w:val="00F73D97"/>
    <w:rsid w:val="00F755B2"/>
    <w:rsid w:val="00F82610"/>
    <w:rsid w:val="00F832D2"/>
    <w:rsid w:val="00F86DDF"/>
    <w:rsid w:val="00F87578"/>
    <w:rsid w:val="00F902C3"/>
    <w:rsid w:val="00F97D4A"/>
    <w:rsid w:val="00FA24D6"/>
    <w:rsid w:val="00FA3E8E"/>
    <w:rsid w:val="00FA6C99"/>
    <w:rsid w:val="00FB0559"/>
    <w:rsid w:val="00FB5AF3"/>
    <w:rsid w:val="00FC1B12"/>
    <w:rsid w:val="00FC47A3"/>
    <w:rsid w:val="00FE6C70"/>
    <w:rsid w:val="00FF1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F745C"/>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44F4"/>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967A40"/>
    <w:pPr>
      <w:widowControl/>
      <w:spacing w:before="100" w:beforeAutospacing="1" w:after="100" w:afterAutospacing="1"/>
    </w:pPr>
    <w:rPr>
      <w:rFonts w:ascii="Calibri" w:eastAsiaTheme="minorHAnsi" w:hAnsi="Calibri" w:cs="Calibri"/>
      <w:sz w:val="22"/>
      <w:szCs w:val="22"/>
    </w:rPr>
  </w:style>
  <w:style w:type="paragraph" w:styleId="Slutnotstext">
    <w:name w:val="endnote text"/>
    <w:basedOn w:val="Normal"/>
    <w:link w:val="SlutnotstextChar"/>
    <w:uiPriority w:val="99"/>
    <w:unhideWhenUsed/>
    <w:rsid w:val="000552CA"/>
    <w:pPr>
      <w:widowControl/>
    </w:pPr>
    <w:rPr>
      <w:rFonts w:asciiTheme="minorHAnsi" w:eastAsiaTheme="minorHAnsi" w:hAnsiTheme="minorHAnsi" w:cstheme="minorBidi"/>
      <w:sz w:val="20"/>
      <w:lang w:eastAsia="en-US"/>
    </w:rPr>
  </w:style>
  <w:style w:type="character" w:customStyle="1" w:styleId="SlutnotstextChar">
    <w:name w:val="Slutnotstext Char"/>
    <w:basedOn w:val="Standardstycketeckensnitt"/>
    <w:link w:val="Slutnotstext"/>
    <w:uiPriority w:val="99"/>
    <w:rsid w:val="000552CA"/>
    <w:rPr>
      <w:rFonts w:asciiTheme="minorHAnsi" w:eastAsiaTheme="minorHAnsi" w:hAnsiTheme="minorHAnsi" w:cstheme="minorBidi"/>
      <w:lang w:eastAsia="en-US"/>
    </w:rPr>
  </w:style>
  <w:style w:type="character" w:styleId="Slutnotsreferens">
    <w:name w:val="endnote reference"/>
    <w:basedOn w:val="Standardstycketeckensnitt"/>
    <w:uiPriority w:val="99"/>
    <w:unhideWhenUsed/>
    <w:rsid w:val="000552CA"/>
    <w:rPr>
      <w:vertAlign w:val="superscript"/>
    </w:rPr>
  </w:style>
  <w:style w:type="character" w:styleId="Olstomnmnande">
    <w:name w:val="Unresolved Mention"/>
    <w:basedOn w:val="Standardstycketeckensnitt"/>
    <w:uiPriority w:val="99"/>
    <w:semiHidden/>
    <w:unhideWhenUsed/>
    <w:rsid w:val="006F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E38A-D008-4F74-B872-8DFE6652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2762</Words>
  <Characters>17422</Characters>
  <Application>Microsoft Office Word</Application>
  <DocSecurity>0</DocSecurity>
  <Lines>1088</Lines>
  <Paragraphs>342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2</cp:revision>
  <cp:lastPrinted>2020-10-20T07:22:00Z</cp:lastPrinted>
  <dcterms:created xsi:type="dcterms:W3CDTF">2022-05-17T12:46:00Z</dcterms:created>
  <dcterms:modified xsi:type="dcterms:W3CDTF">2022-05-17T12:46:00Z</dcterms:modified>
</cp:coreProperties>
</file>