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C67E56">
        <w:tblPrEx>
          <w:tblCellMar>
            <w:top w:w="0" w:type="dxa"/>
            <w:bottom w:w="0" w:type="dxa"/>
          </w:tblCellMar>
        </w:tblPrEx>
        <w:tc>
          <w:tcPr>
            <w:tcW w:w="2268" w:type="dxa"/>
          </w:tcPr>
          <w:p w:rsidR="00026311" w:rsidRPr="00C67E56" w:rsidRDefault="00026311">
            <w:pPr>
              <w:framePr w:w="4400" w:h="1644" w:wrap="notBeside" w:vAnchor="page" w:hAnchor="page" w:x="6573" w:y="721"/>
              <w:rPr>
                <w:rFonts w:ascii="TradeGothic" w:hAnsi="TradeGothic"/>
                <w:i/>
                <w:sz w:val="18"/>
              </w:rPr>
            </w:pPr>
          </w:p>
        </w:tc>
        <w:tc>
          <w:tcPr>
            <w:tcW w:w="2347" w:type="dxa"/>
            <w:gridSpan w:val="2"/>
          </w:tcPr>
          <w:p w:rsidR="00026311" w:rsidRPr="00C67E56" w:rsidRDefault="00026311">
            <w:pPr>
              <w:framePr w:w="4400" w:h="1644" w:wrap="notBeside" w:vAnchor="page" w:hAnchor="page" w:x="6573" w:y="721"/>
              <w:rPr>
                <w:rFonts w:ascii="TradeGothic" w:hAnsi="TradeGothic"/>
                <w:i/>
                <w:sz w:val="18"/>
              </w:rPr>
            </w:pPr>
          </w:p>
        </w:tc>
      </w:tr>
      <w:tr w:rsidR="00026311" w:rsidRPr="00C67E56">
        <w:tblPrEx>
          <w:tblCellMar>
            <w:top w:w="0" w:type="dxa"/>
            <w:bottom w:w="0" w:type="dxa"/>
          </w:tblCellMar>
        </w:tblPrEx>
        <w:tc>
          <w:tcPr>
            <w:tcW w:w="4615" w:type="dxa"/>
            <w:gridSpan w:val="3"/>
          </w:tcPr>
          <w:p w:rsidR="00026311" w:rsidRPr="00C67E56" w:rsidRDefault="00026311">
            <w:pPr>
              <w:framePr w:w="4400" w:h="1644" w:wrap="notBeside" w:vAnchor="page" w:hAnchor="page" w:x="6573" w:y="721"/>
              <w:rPr>
                <w:rFonts w:ascii="TradeGothic" w:hAnsi="TradeGothic"/>
                <w:b/>
                <w:sz w:val="22"/>
              </w:rPr>
            </w:pPr>
            <w:r w:rsidRPr="00C67E56">
              <w:rPr>
                <w:rFonts w:ascii="TradeGothic" w:hAnsi="TradeGothic"/>
                <w:b/>
                <w:sz w:val="22"/>
              </w:rPr>
              <w:t>Kommenterad dagordning</w:t>
            </w:r>
          </w:p>
        </w:tc>
      </w:tr>
      <w:tr w:rsidR="00026311" w:rsidRPr="00C67E56">
        <w:tblPrEx>
          <w:tblCellMar>
            <w:top w:w="0" w:type="dxa"/>
            <w:bottom w:w="0" w:type="dxa"/>
          </w:tblCellMar>
        </w:tblPrEx>
        <w:tc>
          <w:tcPr>
            <w:tcW w:w="3402" w:type="dxa"/>
            <w:gridSpan w:val="2"/>
          </w:tcPr>
          <w:p w:rsidR="00026311" w:rsidRPr="00C67E56" w:rsidRDefault="00026311">
            <w:pPr>
              <w:framePr w:w="4400" w:h="1644" w:wrap="notBeside" w:vAnchor="page" w:hAnchor="page" w:x="6573" w:y="721"/>
              <w:rPr>
                <w:rFonts w:ascii="TradeGothic" w:hAnsi="TradeGothic"/>
                <w:b/>
                <w:sz w:val="22"/>
              </w:rPr>
            </w:pPr>
            <w:r w:rsidRPr="00C67E56">
              <w:rPr>
                <w:rFonts w:ascii="TradeGothic" w:hAnsi="TradeGothic"/>
                <w:b/>
                <w:sz w:val="22"/>
              </w:rPr>
              <w:t>rådet</w:t>
            </w:r>
          </w:p>
        </w:tc>
        <w:tc>
          <w:tcPr>
            <w:tcW w:w="1213" w:type="dxa"/>
          </w:tcPr>
          <w:p w:rsidR="00026311" w:rsidRPr="00C67E56" w:rsidRDefault="00026311">
            <w:pPr>
              <w:framePr w:w="4400" w:h="1644" w:wrap="notBeside" w:vAnchor="page" w:hAnchor="page" w:x="6573" w:y="721"/>
            </w:pPr>
          </w:p>
        </w:tc>
      </w:tr>
      <w:tr w:rsidR="00026311" w:rsidRPr="00C67E56">
        <w:tblPrEx>
          <w:tblCellMar>
            <w:top w:w="0" w:type="dxa"/>
            <w:bottom w:w="0" w:type="dxa"/>
          </w:tblCellMar>
        </w:tblPrEx>
        <w:tc>
          <w:tcPr>
            <w:tcW w:w="2268" w:type="dxa"/>
          </w:tcPr>
          <w:p w:rsidR="00026311" w:rsidRPr="00C67E56" w:rsidRDefault="00E91F4B">
            <w:pPr>
              <w:framePr w:w="4400" w:h="1644" w:wrap="notBeside" w:vAnchor="page" w:hAnchor="page" w:x="6573" w:y="721"/>
            </w:pPr>
            <w:r w:rsidRPr="00C67E56">
              <w:t>2010-11</w:t>
            </w:r>
            <w:r w:rsidR="00056D03" w:rsidRPr="00C67E56">
              <w:t>-</w:t>
            </w:r>
            <w:r w:rsidRPr="00C67E56">
              <w:t>19</w:t>
            </w:r>
          </w:p>
        </w:tc>
        <w:tc>
          <w:tcPr>
            <w:tcW w:w="2347" w:type="dxa"/>
            <w:gridSpan w:val="2"/>
          </w:tcPr>
          <w:p w:rsidR="00026311" w:rsidRPr="00C67E56" w:rsidRDefault="00026311">
            <w:pPr>
              <w:framePr w:w="4400" w:h="1644" w:wrap="notBeside" w:vAnchor="page" w:hAnchor="page" w:x="6573" w:y="721"/>
            </w:pPr>
          </w:p>
        </w:tc>
      </w:tr>
      <w:tr w:rsidR="00026311" w:rsidRPr="00C67E56">
        <w:tblPrEx>
          <w:tblCellMar>
            <w:top w:w="0" w:type="dxa"/>
            <w:bottom w:w="0" w:type="dxa"/>
          </w:tblCellMar>
        </w:tblPrEx>
        <w:tc>
          <w:tcPr>
            <w:tcW w:w="2268" w:type="dxa"/>
          </w:tcPr>
          <w:p w:rsidR="00026311" w:rsidRPr="00C67E56" w:rsidRDefault="00026311">
            <w:pPr>
              <w:framePr w:w="4400" w:h="1644" w:wrap="notBeside" w:vAnchor="page" w:hAnchor="page" w:x="6573" w:y="721"/>
            </w:pPr>
          </w:p>
        </w:tc>
        <w:tc>
          <w:tcPr>
            <w:tcW w:w="2347" w:type="dxa"/>
            <w:gridSpan w:val="2"/>
          </w:tcPr>
          <w:p w:rsidR="00026311" w:rsidRPr="00C67E56"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C67E56">
        <w:tblPrEx>
          <w:tblCellMar>
            <w:top w:w="0" w:type="dxa"/>
            <w:bottom w:w="0" w:type="dxa"/>
          </w:tblCellMar>
        </w:tblPrEx>
        <w:trPr>
          <w:trHeight w:val="284"/>
        </w:trPr>
        <w:tc>
          <w:tcPr>
            <w:tcW w:w="4911" w:type="dxa"/>
          </w:tcPr>
          <w:p w:rsidR="00026311" w:rsidRPr="00C67E56" w:rsidRDefault="00056D03">
            <w:pPr>
              <w:pStyle w:val="Avsndare"/>
              <w:framePr w:h="2483" w:wrap="notBeside" w:x="1504"/>
              <w:rPr>
                <w:b/>
                <w:i w:val="0"/>
                <w:sz w:val="22"/>
              </w:rPr>
            </w:pPr>
            <w:r w:rsidRPr="00C67E56">
              <w:rPr>
                <w:b/>
                <w:i w:val="0"/>
                <w:sz w:val="22"/>
              </w:rPr>
              <w:t>Näringsdepartementet</w:t>
            </w: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56D03">
            <w:pPr>
              <w:pStyle w:val="Avsndare"/>
              <w:framePr w:h="2483" w:wrap="notBeside" w:x="1504"/>
              <w:rPr>
                <w:bCs/>
                <w:iCs/>
              </w:rPr>
            </w:pPr>
            <w:r w:rsidRPr="00C67E56">
              <w:rPr>
                <w:bCs/>
                <w:iCs/>
              </w:rPr>
              <w:t>Internationella sekretariatet</w:t>
            </w: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r w:rsidR="00026311" w:rsidRPr="00C67E56">
        <w:tblPrEx>
          <w:tblCellMar>
            <w:top w:w="0" w:type="dxa"/>
            <w:bottom w:w="0" w:type="dxa"/>
          </w:tblCellMar>
        </w:tblPrEx>
        <w:trPr>
          <w:trHeight w:val="284"/>
        </w:trPr>
        <w:tc>
          <w:tcPr>
            <w:tcW w:w="4911" w:type="dxa"/>
          </w:tcPr>
          <w:p w:rsidR="00026311" w:rsidRPr="00C67E56" w:rsidRDefault="00026311">
            <w:pPr>
              <w:pStyle w:val="Avsndare"/>
              <w:framePr w:h="2483" w:wrap="notBeside" w:x="1504"/>
              <w:rPr>
                <w:bCs/>
                <w:iCs/>
              </w:rPr>
            </w:pPr>
          </w:p>
        </w:tc>
      </w:tr>
    </w:tbl>
    <w:p w:rsidR="00026311" w:rsidRPr="00C67E56" w:rsidRDefault="00026311">
      <w:pPr>
        <w:framePr w:w="4400" w:h="2523" w:wrap="notBeside" w:vAnchor="page" w:hAnchor="page" w:x="6453" w:y="2445"/>
        <w:ind w:left="142"/>
        <w:rPr>
          <w:b/>
        </w:rPr>
      </w:pPr>
    </w:p>
    <w:p w:rsidR="00056D03" w:rsidRPr="00C67E56" w:rsidRDefault="00EC07F6" w:rsidP="00056D03">
      <w:pPr>
        <w:pStyle w:val="RKrubrik"/>
        <w:pBdr>
          <w:bottom w:val="single" w:sz="6" w:space="1" w:color="auto"/>
        </w:pBdr>
        <w:ind w:left="-567"/>
      </w:pPr>
      <w:bookmarkStart w:id="0" w:name="bRubrik"/>
      <w:bookmarkEnd w:id="0"/>
      <w:r w:rsidRPr="00C67E56">
        <w:t xml:space="preserve">TTE-rådet </w:t>
      </w:r>
      <w:r w:rsidR="00056D03" w:rsidRPr="00C67E56">
        <w:t xml:space="preserve">den </w:t>
      </w:r>
      <w:r w:rsidR="00E91F4B" w:rsidRPr="00C67E56">
        <w:t>2</w:t>
      </w:r>
      <w:r w:rsidRPr="00C67E56">
        <w:t>-3</w:t>
      </w:r>
      <w:r w:rsidR="00E91F4B" w:rsidRPr="00C67E56">
        <w:t xml:space="preserve"> december</w:t>
      </w:r>
      <w:r w:rsidR="00056D03" w:rsidRPr="00C67E56">
        <w:t xml:space="preserve"> 2010</w:t>
      </w:r>
    </w:p>
    <w:p w:rsidR="00056D03" w:rsidRPr="00C67E56" w:rsidRDefault="00056D03" w:rsidP="00056D03">
      <w:pPr>
        <w:pStyle w:val="RKrubrik"/>
        <w:ind w:left="-567"/>
      </w:pPr>
      <w:r w:rsidRPr="00C67E56">
        <w:t xml:space="preserve">Kommenterad dagordning </w:t>
      </w:r>
      <w:r w:rsidR="00E91F4B" w:rsidRPr="00C67E56">
        <w:t>inför samråd med EU-nämnden 26 november</w:t>
      </w:r>
      <w:r w:rsidRPr="00C67E56">
        <w:t xml:space="preserve"> 2010</w:t>
      </w:r>
    </w:p>
    <w:p w:rsidR="00056D03" w:rsidRPr="00C67E56" w:rsidRDefault="00056D03" w:rsidP="00056D03">
      <w:pPr>
        <w:pStyle w:val="RKnormal"/>
        <w:ind w:left="-567"/>
      </w:pPr>
    </w:p>
    <w:p w:rsidR="00EC07F6" w:rsidRPr="00C67E56" w:rsidRDefault="00EC07F6" w:rsidP="00EC07F6">
      <w:pPr>
        <w:spacing w:line="240" w:lineRule="auto"/>
        <w:ind w:left="-567"/>
        <w:rPr>
          <w:b/>
        </w:rPr>
      </w:pPr>
      <w:r w:rsidRPr="00C67E56">
        <w:rPr>
          <w:b/>
        </w:rPr>
        <w:t>1.</w:t>
      </w:r>
      <w:r w:rsidRPr="00C67E56">
        <w:rPr>
          <w:b/>
        </w:rPr>
        <w:tab/>
        <w:t>Godkännande av dagordningen</w:t>
      </w:r>
    </w:p>
    <w:p w:rsidR="00EC07F6" w:rsidRPr="00C67E56" w:rsidRDefault="00EC07F6" w:rsidP="00EC07F6">
      <w:pPr>
        <w:spacing w:line="240" w:lineRule="auto"/>
        <w:ind w:left="-567"/>
        <w:rPr>
          <w:b/>
        </w:rPr>
      </w:pPr>
    </w:p>
    <w:p w:rsidR="00EC07F6" w:rsidRPr="00C67E56" w:rsidRDefault="00EC07F6" w:rsidP="00EC07F6">
      <w:pPr>
        <w:spacing w:line="240" w:lineRule="auto"/>
        <w:ind w:left="-567"/>
        <w:rPr>
          <w:b/>
          <w:i/>
        </w:rPr>
      </w:pPr>
      <w:r w:rsidRPr="00C67E56">
        <w:rPr>
          <w:b/>
          <w:i/>
        </w:rPr>
        <w:t>Lagstiftning</w:t>
      </w:r>
    </w:p>
    <w:p w:rsidR="00EC07F6" w:rsidRPr="00C67E56" w:rsidRDefault="00EC07F6" w:rsidP="00EC07F6">
      <w:pPr>
        <w:spacing w:line="240" w:lineRule="auto"/>
        <w:ind w:left="-567"/>
        <w:rPr>
          <w:b/>
        </w:rPr>
      </w:pPr>
    </w:p>
    <w:p w:rsidR="00EC07F6" w:rsidRPr="00C67E56" w:rsidRDefault="00EC07F6" w:rsidP="00EC07F6">
      <w:pPr>
        <w:spacing w:line="240" w:lineRule="auto"/>
        <w:ind w:left="-567"/>
        <w:rPr>
          <w:b/>
        </w:rPr>
      </w:pPr>
      <w:r w:rsidRPr="00C67E56">
        <w:rPr>
          <w:b/>
        </w:rPr>
        <w:t>2.</w:t>
      </w:r>
      <w:r w:rsidRPr="00C67E56">
        <w:rPr>
          <w:b/>
        </w:rPr>
        <w:tab/>
        <w:t>(ev.) Godkännande av A-punktslistan</w:t>
      </w:r>
    </w:p>
    <w:p w:rsidR="00EC07F6" w:rsidRPr="00C67E56" w:rsidRDefault="00EC07F6" w:rsidP="00EC07F6">
      <w:pPr>
        <w:spacing w:line="240" w:lineRule="auto"/>
        <w:ind w:left="-567"/>
      </w:pPr>
    </w:p>
    <w:p w:rsidR="00EC07F6" w:rsidRPr="00C67E56" w:rsidRDefault="00EC07F6" w:rsidP="00EC07F6">
      <w:pPr>
        <w:spacing w:line="240" w:lineRule="auto"/>
        <w:ind w:left="-567"/>
        <w:rPr>
          <w:b/>
          <w:u w:val="single"/>
        </w:rPr>
      </w:pPr>
      <w:r w:rsidRPr="00C67E56">
        <w:rPr>
          <w:b/>
          <w:u w:val="single"/>
        </w:rPr>
        <w:t>Landstransporter</w:t>
      </w:r>
    </w:p>
    <w:p w:rsidR="00EC07F6" w:rsidRPr="00C67E56" w:rsidRDefault="00EC07F6" w:rsidP="00EC07F6">
      <w:pPr>
        <w:spacing w:line="240" w:lineRule="auto"/>
        <w:ind w:left="-567"/>
        <w:rPr>
          <w:b/>
        </w:rPr>
      </w:pPr>
    </w:p>
    <w:p w:rsidR="00EC07F6" w:rsidRPr="00C67E56" w:rsidRDefault="00EC07F6" w:rsidP="00EC07F6">
      <w:pPr>
        <w:spacing w:line="240" w:lineRule="auto"/>
        <w:ind w:left="-567"/>
        <w:rPr>
          <w:b/>
        </w:rPr>
      </w:pPr>
      <w:r w:rsidRPr="00C67E56">
        <w:rPr>
          <w:b/>
        </w:rPr>
        <w:t>3.</w:t>
      </w:r>
      <w:r w:rsidRPr="00C67E56">
        <w:rPr>
          <w:b/>
        </w:rPr>
        <w:tab/>
        <w:t xml:space="preserve"> Förslag till Europaparlamentets och rådets direktiv om att underlätta </w:t>
      </w:r>
      <w:r w:rsidRPr="00C67E56">
        <w:rPr>
          <w:b/>
        </w:rPr>
        <w:tab/>
        <w:t xml:space="preserve"> gränsöverskridande uppföljning av trafikförseelser</w:t>
      </w:r>
    </w:p>
    <w:p w:rsidR="00EC07F6" w:rsidRPr="00C67E56" w:rsidRDefault="00EC07F6" w:rsidP="00EC07F6">
      <w:pPr>
        <w:spacing w:line="240" w:lineRule="auto"/>
        <w:ind w:left="567"/>
        <w:rPr>
          <w:i/>
        </w:rPr>
      </w:pPr>
      <w:r w:rsidRPr="00C67E56">
        <w:rPr>
          <w:i/>
        </w:rPr>
        <w:sym w:font="Symbol" w:char="F02D"/>
      </w:r>
      <w:r w:rsidRPr="00C67E56">
        <w:rPr>
          <w:i/>
        </w:rPr>
        <w:tab/>
        <w:t>Slutsatser om politisk överenskommelse</w:t>
      </w:r>
    </w:p>
    <w:p w:rsidR="00EC07F6" w:rsidRPr="00C67E56" w:rsidRDefault="00EC07F6" w:rsidP="00EC07F6">
      <w:pPr>
        <w:spacing w:line="240" w:lineRule="auto"/>
        <w:ind w:left="-567"/>
        <w:rPr>
          <w:i/>
        </w:rPr>
      </w:pPr>
    </w:p>
    <w:p w:rsidR="00EC07F6" w:rsidRPr="00C67E56" w:rsidRDefault="00EC07F6" w:rsidP="00EC07F6">
      <w:pPr>
        <w:spacing w:line="240" w:lineRule="auto"/>
        <w:ind w:left="2268" w:hanging="567"/>
      </w:pPr>
      <w:r w:rsidRPr="00C67E56">
        <w:t>dok: 7984/08 TRANS 100 CODEC 416</w:t>
      </w:r>
    </w:p>
    <w:p w:rsidR="00EC07F6" w:rsidRPr="00C67E56" w:rsidRDefault="00EC07F6" w:rsidP="00EC07F6">
      <w:pPr>
        <w:spacing w:line="240" w:lineRule="auto"/>
        <w:ind w:left="2268" w:hanging="567"/>
      </w:pPr>
      <w:r w:rsidRPr="00C67E56">
        <w:tab/>
        <w:t>16309/10 TRANS 333 CODEC 1265</w:t>
      </w:r>
    </w:p>
    <w:p w:rsidR="00EC07F6" w:rsidRPr="00C67E56" w:rsidRDefault="00EC07F6" w:rsidP="00EC07F6">
      <w:pPr>
        <w:spacing w:line="240" w:lineRule="auto"/>
        <w:ind w:left="-567"/>
      </w:pPr>
    </w:p>
    <w:p w:rsidR="00EC07F6" w:rsidRPr="00C67E56" w:rsidRDefault="00EC07F6" w:rsidP="00EC07F6">
      <w:pPr>
        <w:spacing w:line="240" w:lineRule="auto"/>
        <w:ind w:left="-567"/>
        <w:rPr>
          <w:color w:val="000000"/>
        </w:rPr>
      </w:pPr>
      <w:r w:rsidRPr="00C67E56">
        <w:rPr>
          <w:color w:val="000000"/>
        </w:rPr>
        <w:t>Förslaget har tidigare behandlats i EU-nämnden 3 oktober och 5 december 2008.</w:t>
      </w:r>
    </w:p>
    <w:p w:rsidR="00EC07F6" w:rsidRPr="00C67E56" w:rsidRDefault="00EC07F6" w:rsidP="00EC07F6">
      <w:pPr>
        <w:spacing w:line="240" w:lineRule="auto"/>
        <w:ind w:left="-567"/>
      </w:pPr>
    </w:p>
    <w:p w:rsidR="00EC07F6" w:rsidRPr="00C67E56" w:rsidRDefault="00EC07F6" w:rsidP="00EC07F6">
      <w:pPr>
        <w:spacing w:line="240" w:lineRule="auto"/>
        <w:ind w:left="-567"/>
        <w:rPr>
          <w:b/>
        </w:rPr>
      </w:pPr>
      <w:r w:rsidRPr="00C67E56">
        <w:rPr>
          <w:b/>
        </w:rPr>
        <w:t>Bakgrund</w:t>
      </w:r>
    </w:p>
    <w:p w:rsidR="00EC07F6" w:rsidRPr="00C67E56" w:rsidRDefault="00EC07F6" w:rsidP="00EC07F6">
      <w:pPr>
        <w:pStyle w:val="RKnormal"/>
        <w:ind w:left="-567"/>
      </w:pPr>
      <w:r w:rsidRPr="00C67E56">
        <w:t xml:space="preserve">Förslaget syftar till att göra det lättare att över landsgränserna följa upp vissa brott mot trafiklagstiftningen vilka särskilt hotar trafiksäkerheten. Det ursprungliga direktivförslaget som lades fram 2008 innehöll regler med krav på MS att tillhandahålla information från fordonsregistret, att efterfråga sådan information, att följa upp trafikförseelser genom att sända en bifogad blankett till ägaren av det inblandade fordonet m.m. Förslaget har legat på is i rådet sedan FR under hösten 2008 inte lyckades få igenom något beslut. EP har avslutat sin första behandling av förslaget. </w:t>
      </w:r>
    </w:p>
    <w:p w:rsidR="00EC07F6" w:rsidRPr="00C67E56" w:rsidRDefault="00EC07F6" w:rsidP="00EC07F6">
      <w:pPr>
        <w:spacing w:line="240" w:lineRule="auto"/>
        <w:ind w:left="-567"/>
      </w:pPr>
    </w:p>
    <w:p w:rsidR="00EC07F6" w:rsidRPr="00C67E56" w:rsidRDefault="00EC07F6" w:rsidP="00EC07F6">
      <w:pPr>
        <w:spacing w:line="240" w:lineRule="auto"/>
        <w:ind w:left="-567"/>
      </w:pPr>
      <w:r w:rsidRPr="00C67E56">
        <w:t xml:space="preserve">Förslaget innebär i nuvarande lydelse att MS skall kunna ha möjlighet till utbyte av fordons- och fordonsägaruppgifter mellan MS för uppföljning av </w:t>
      </w:r>
      <w:r w:rsidRPr="00C67E56">
        <w:lastRenderedPageBreak/>
        <w:t xml:space="preserve">trafikförseelser. Den MS där förseelsen begåtts kan bestämma om det finns behov av att efterfråga information. Det innehåller även en möjlighet för de MS som vill att använda sig av en mall för att skriva ett informationsbrev till ägaren/innehavaren av det fordon som varit inblandat i en förseelse. </w:t>
      </w:r>
    </w:p>
    <w:p w:rsidR="00EC07F6" w:rsidRPr="00C67E56" w:rsidRDefault="00EC07F6" w:rsidP="00EC07F6">
      <w:pPr>
        <w:spacing w:line="240" w:lineRule="auto"/>
        <w:ind w:left="-567"/>
      </w:pPr>
    </w:p>
    <w:p w:rsidR="00EC07F6" w:rsidRPr="00C67E56" w:rsidRDefault="00EC07F6" w:rsidP="00EC07F6">
      <w:pPr>
        <w:spacing w:line="240" w:lineRule="auto"/>
        <w:ind w:left="-567"/>
        <w:rPr>
          <w:u w:val="single"/>
        </w:rPr>
      </w:pPr>
      <w:r w:rsidRPr="00C67E56">
        <w:rPr>
          <w:u w:val="single"/>
        </w:rPr>
        <w:t xml:space="preserve">Förslag till svensk ståndpunkt: </w:t>
      </w:r>
    </w:p>
    <w:p w:rsidR="00EC07F6" w:rsidRPr="00C67E56" w:rsidRDefault="00EC07F6" w:rsidP="00EC07F6">
      <w:pPr>
        <w:spacing w:line="240" w:lineRule="auto"/>
        <w:ind w:left="-567"/>
        <w:rPr>
          <w:lang w:eastAsia="sv-SE"/>
        </w:rPr>
      </w:pPr>
      <w:r w:rsidRPr="00C67E56">
        <w:rPr>
          <w:lang w:eastAsia="sv-SE"/>
        </w:rPr>
        <w:t xml:space="preserve">Ett utbyte av fordons- och fordonsägaruppgifter mellan MS bör samordnas med lösningar för informationsutbyte som redan finns eller är under utveckling. </w:t>
      </w:r>
      <w:r w:rsidRPr="00C67E56">
        <w:t>När det gäller tillämpningsområdet anser SE att de förseelser som kan följas upp enligt direktivet ska vara förseelser som kan upptäckas med kamera eller radar. SE motsätter det föreslagna informationsbrevet då det inte kan ses som något informationsbrev utan mer ett föreläggande till mottagaren att betala böterna inom en viss tid.</w:t>
      </w:r>
    </w:p>
    <w:p w:rsidR="00EC07F6" w:rsidRPr="00C67E56" w:rsidRDefault="00EC07F6" w:rsidP="00EC07F6">
      <w:pPr>
        <w:spacing w:line="240" w:lineRule="auto"/>
        <w:ind w:left="-567"/>
      </w:pPr>
    </w:p>
    <w:p w:rsidR="00EC07F6" w:rsidRPr="00C67E56" w:rsidRDefault="00EC07F6" w:rsidP="00EC07F6">
      <w:pPr>
        <w:spacing w:line="240" w:lineRule="auto"/>
        <w:ind w:left="-567"/>
        <w:rPr>
          <w:i/>
        </w:rPr>
      </w:pPr>
      <w:r w:rsidRPr="00C67E56">
        <w:rPr>
          <w:i/>
        </w:rPr>
        <w:t>Se vidare rådspromemoria</w:t>
      </w:r>
    </w:p>
    <w:p w:rsidR="00EC07F6" w:rsidRPr="00C67E56" w:rsidRDefault="00EC07F6" w:rsidP="00EC07F6">
      <w:pPr>
        <w:spacing w:line="240" w:lineRule="auto"/>
        <w:ind w:left="-567"/>
      </w:pPr>
    </w:p>
    <w:p w:rsidR="00EC07F6" w:rsidRPr="00C67E56" w:rsidRDefault="00EC07F6" w:rsidP="00EC07F6">
      <w:pPr>
        <w:spacing w:line="240" w:lineRule="auto"/>
        <w:ind w:left="-567"/>
      </w:pPr>
    </w:p>
    <w:p w:rsidR="00EC07F6" w:rsidRPr="00C67E56" w:rsidRDefault="00EC07F6" w:rsidP="00EC07F6">
      <w:pPr>
        <w:spacing w:line="240" w:lineRule="auto"/>
        <w:ind w:left="-567"/>
        <w:rPr>
          <w:b/>
        </w:rPr>
      </w:pPr>
      <w:r w:rsidRPr="00C67E56">
        <w:rPr>
          <w:b/>
        </w:rPr>
        <w:t xml:space="preserve">4. </w:t>
      </w:r>
      <w:r w:rsidRPr="00C67E56">
        <w:rPr>
          <w:b/>
        </w:rPr>
        <w:tab/>
        <w:t xml:space="preserve">Förslag till Europaparlamentets och rådets direktiv om inrättandet av </w:t>
      </w:r>
      <w:r w:rsidRPr="00C67E56">
        <w:rPr>
          <w:b/>
        </w:rPr>
        <w:tab/>
        <w:t>ett gemensamt europeiskt järnvägsområde (omarbetning)</w:t>
      </w:r>
    </w:p>
    <w:p w:rsidR="00EC07F6" w:rsidRPr="00C67E56" w:rsidRDefault="00EC07F6" w:rsidP="00EC07F6">
      <w:pPr>
        <w:spacing w:line="240" w:lineRule="auto"/>
        <w:ind w:left="567"/>
        <w:rPr>
          <w:i/>
          <w:iCs/>
        </w:rPr>
      </w:pPr>
      <w:r w:rsidRPr="00C67E56">
        <w:rPr>
          <w:i/>
          <w:iCs/>
        </w:rPr>
        <w:t xml:space="preserve">– Lägesrapport </w:t>
      </w:r>
    </w:p>
    <w:p w:rsidR="00EC07F6" w:rsidRPr="00C67E56" w:rsidRDefault="00EC07F6" w:rsidP="00EC07F6">
      <w:pPr>
        <w:spacing w:line="240" w:lineRule="auto"/>
        <w:ind w:left="567"/>
        <w:rPr>
          <w:i/>
        </w:rPr>
      </w:pPr>
      <w:r w:rsidRPr="00C67E56">
        <w:rPr>
          <w:i/>
          <w:iCs/>
        </w:rPr>
        <w:t>–</w:t>
      </w:r>
      <w:r w:rsidRPr="00C67E56">
        <w:rPr>
          <w:i/>
          <w:iCs/>
        </w:rPr>
        <w:tab/>
        <w:t xml:space="preserve"> </w:t>
      </w:r>
      <w:r w:rsidRPr="00C67E56">
        <w:rPr>
          <w:i/>
          <w:color w:val="000000"/>
        </w:rPr>
        <w:t>Riktlinjedebatt</w:t>
      </w:r>
    </w:p>
    <w:p w:rsidR="00EC07F6" w:rsidRPr="00C67E56" w:rsidRDefault="00EC07F6" w:rsidP="00EC07F6">
      <w:pPr>
        <w:spacing w:line="240" w:lineRule="auto"/>
        <w:ind w:left="567"/>
        <w:rPr>
          <w:i/>
        </w:rPr>
      </w:pPr>
    </w:p>
    <w:p w:rsidR="00EC07F6" w:rsidRPr="00C67E56" w:rsidRDefault="00EC07F6" w:rsidP="00EC07F6">
      <w:pPr>
        <w:spacing w:line="240" w:lineRule="auto"/>
        <w:ind w:left="567"/>
        <w:rPr>
          <w:i/>
        </w:rPr>
      </w:pPr>
      <w:r w:rsidRPr="00C67E56">
        <w:tab/>
      </w:r>
      <w:r w:rsidRPr="00C67E56">
        <w:tab/>
        <w:t xml:space="preserve">dok: </w:t>
      </w:r>
      <w:r w:rsidRPr="00C67E56">
        <w:tab/>
        <w:t>13789/10 TRANS 238 CODEC 862</w:t>
      </w:r>
    </w:p>
    <w:p w:rsidR="00EC07F6" w:rsidRPr="00C67E56" w:rsidRDefault="00EC07F6" w:rsidP="00EC07F6">
      <w:pPr>
        <w:spacing w:line="240" w:lineRule="auto"/>
        <w:ind w:left="2268"/>
      </w:pPr>
      <w:r w:rsidRPr="00C67E56">
        <w:t>+ COR 1</w:t>
      </w:r>
    </w:p>
    <w:p w:rsidR="00EC07F6" w:rsidRPr="00C67E56" w:rsidRDefault="00EC07F6" w:rsidP="00EC07F6">
      <w:pPr>
        <w:spacing w:line="240" w:lineRule="auto"/>
        <w:ind w:left="2268"/>
      </w:pPr>
      <w:r w:rsidRPr="00C67E56">
        <w:rPr>
          <w:iCs/>
        </w:rPr>
        <w:t>16308/10 TRANS 332 CODEC 1264</w:t>
      </w:r>
    </w:p>
    <w:p w:rsidR="00EC07F6" w:rsidRPr="00C67E56" w:rsidRDefault="00EC07F6" w:rsidP="00EC07F6">
      <w:pPr>
        <w:spacing w:line="240" w:lineRule="auto"/>
        <w:ind w:left="-567"/>
      </w:pPr>
    </w:p>
    <w:p w:rsidR="00EC07F6" w:rsidRPr="00C67E56" w:rsidRDefault="00EC07F6" w:rsidP="00EC07F6">
      <w:pPr>
        <w:spacing w:line="240" w:lineRule="auto"/>
        <w:ind w:left="-567"/>
      </w:pPr>
      <w:r w:rsidRPr="00C67E56">
        <w:t>Förslaget har inte tidigare behandlats i EU-nämnden.</w:t>
      </w:r>
    </w:p>
    <w:p w:rsidR="00EC07F6" w:rsidRPr="00C67E56" w:rsidRDefault="00EC07F6" w:rsidP="00EC07F6">
      <w:pPr>
        <w:spacing w:line="240" w:lineRule="auto"/>
        <w:ind w:left="-567"/>
      </w:pPr>
    </w:p>
    <w:p w:rsidR="00EC07F6" w:rsidRPr="00C67E56" w:rsidRDefault="00EC07F6" w:rsidP="00EC07F6">
      <w:pPr>
        <w:spacing w:line="240" w:lineRule="auto"/>
        <w:ind w:left="-567"/>
        <w:rPr>
          <w:b/>
          <w:i/>
        </w:rPr>
      </w:pPr>
      <w:r w:rsidRPr="00C67E56">
        <w:rPr>
          <w:b/>
          <w:i/>
        </w:rPr>
        <w:t>Bakgrund</w:t>
      </w:r>
    </w:p>
    <w:p w:rsidR="00511663" w:rsidRPr="00C67E56" w:rsidRDefault="00511663" w:rsidP="00511663">
      <w:pPr>
        <w:spacing w:line="240" w:lineRule="auto"/>
        <w:ind w:left="-567"/>
      </w:pPr>
      <w:r w:rsidRPr="00C67E56">
        <w:t xml:space="preserve">Kommissionens förslag, som presenterades den 17 september 2010, innebär att direktiven i det s.k. första järnvägspaketet slås ihop till ett samlat direktiv. Behandlingen av förslaget i rådets landtransportarbetsgrupp har inletts under hösten 2010 och arbetet avses fortsätta under 2011. Vid TTE-rådsmötet den 2 december planerar ordförandeskapet att presentera en rapport om förhandlingsarbetet så här långt samt att hålla en debatt om några utvalda frågor. Preliminärt kommer debatten att handla om strategier för utveckling av järnvägsinfrastrukturen, rabatterad avgift för lågbullrande tåg samt rabatterad avgift för lok som utrustats med fordonsmodulen av trafikstyrnings- och signalsystemet ERTMS. </w:t>
      </w:r>
    </w:p>
    <w:p w:rsidR="00511663" w:rsidRPr="00C67E56" w:rsidRDefault="00511663" w:rsidP="00511663">
      <w:pPr>
        <w:spacing w:line="240" w:lineRule="auto"/>
        <w:ind w:left="-567"/>
      </w:pPr>
    </w:p>
    <w:p w:rsidR="00511663" w:rsidRPr="00C67E56" w:rsidRDefault="00511663" w:rsidP="00511663">
      <w:pPr>
        <w:spacing w:line="240" w:lineRule="auto"/>
        <w:ind w:left="-567"/>
        <w:rPr>
          <w:u w:val="single"/>
        </w:rPr>
      </w:pPr>
      <w:r w:rsidRPr="00C67E56">
        <w:rPr>
          <w:u w:val="single"/>
        </w:rPr>
        <w:t xml:space="preserve">Förslag till svensk ståndpunkt: </w:t>
      </w:r>
    </w:p>
    <w:p w:rsidR="00EC07F6" w:rsidRPr="00C67E56" w:rsidRDefault="00511663" w:rsidP="00511663">
      <w:pPr>
        <w:spacing w:line="240" w:lineRule="auto"/>
        <w:ind w:left="-567"/>
      </w:pPr>
      <w:r w:rsidRPr="00C67E56">
        <w:t>Regeringen anser att publicering av infrastrukturutvecklingsstrategier kan ge positiva effekter i form av ökad transparens och möjligheter till samverkan. Vad gäller rabatt för lågbullrande tåg anser regeringen att fokus bör vidgas från godsvagnars bromsteknologi till den störning som järnvägsbullret innebär. Regeringen är tveksam till om ytterligare stimulanser behövs för att påskynda införandet av ERTMS och om den föreslagna rabatten ger avsedd effekt.</w:t>
      </w:r>
    </w:p>
    <w:p w:rsidR="00EC07F6" w:rsidRPr="00C67E56" w:rsidRDefault="00EC07F6" w:rsidP="00EC07F6">
      <w:pPr>
        <w:spacing w:line="240" w:lineRule="auto"/>
        <w:ind w:left="-567"/>
        <w:rPr>
          <w:i/>
        </w:rPr>
      </w:pPr>
    </w:p>
    <w:p w:rsidR="00EC07F6" w:rsidRPr="00C67E56" w:rsidRDefault="00EC07F6" w:rsidP="00EC07F6">
      <w:pPr>
        <w:spacing w:line="240" w:lineRule="auto"/>
        <w:ind w:left="-567"/>
        <w:rPr>
          <w:i/>
        </w:rPr>
      </w:pPr>
      <w:r w:rsidRPr="00C67E56">
        <w:rPr>
          <w:i/>
        </w:rPr>
        <w:t>Se vidare rådspromemoria</w:t>
      </w:r>
    </w:p>
    <w:p w:rsidR="00EC07F6" w:rsidRPr="00C67E56" w:rsidRDefault="00EC07F6" w:rsidP="00EC07F6">
      <w:pPr>
        <w:spacing w:line="240" w:lineRule="auto"/>
        <w:ind w:left="-567"/>
        <w:rPr>
          <w:b/>
          <w:color w:val="000000"/>
        </w:rPr>
      </w:pPr>
    </w:p>
    <w:p w:rsidR="00EC07F6" w:rsidRPr="00C67E56" w:rsidRDefault="00EC07F6" w:rsidP="00EC07F6">
      <w:pPr>
        <w:spacing w:line="240" w:lineRule="auto"/>
        <w:ind w:left="-567"/>
        <w:rPr>
          <w:b/>
          <w:color w:val="000000"/>
        </w:rPr>
      </w:pPr>
    </w:p>
    <w:p w:rsidR="00EC07F6" w:rsidRPr="00C67E56" w:rsidRDefault="00EC07F6" w:rsidP="00EC07F6">
      <w:pPr>
        <w:spacing w:line="240" w:lineRule="auto"/>
        <w:ind w:left="-567"/>
        <w:rPr>
          <w:b/>
          <w:i/>
          <w:u w:val="single"/>
        </w:rPr>
      </w:pPr>
      <w:r w:rsidRPr="00C67E56">
        <w:rPr>
          <w:b/>
          <w:color w:val="000000"/>
          <w:u w:val="single"/>
        </w:rPr>
        <w:t>Intermodala frågor</w:t>
      </w:r>
    </w:p>
    <w:p w:rsidR="00EC07F6" w:rsidRPr="00C67E56" w:rsidRDefault="00EC07F6" w:rsidP="00EC07F6">
      <w:pPr>
        <w:spacing w:line="240" w:lineRule="auto"/>
        <w:ind w:left="-567"/>
        <w:rPr>
          <w:i/>
        </w:rPr>
      </w:pPr>
    </w:p>
    <w:p w:rsidR="00EC07F6" w:rsidRPr="00C67E56" w:rsidRDefault="00EC07F6" w:rsidP="00EC07F6">
      <w:pPr>
        <w:spacing w:line="240" w:lineRule="auto"/>
        <w:ind w:left="-567"/>
        <w:rPr>
          <w:b/>
          <w:i/>
        </w:rPr>
      </w:pPr>
      <w:r w:rsidRPr="00C67E56">
        <w:rPr>
          <w:b/>
          <w:szCs w:val="24"/>
        </w:rPr>
        <w:t>5.</w:t>
      </w:r>
      <w:r w:rsidRPr="00C67E56">
        <w:rPr>
          <w:b/>
          <w:szCs w:val="24"/>
        </w:rPr>
        <w:tab/>
      </w:r>
      <w:r w:rsidRPr="00C67E56">
        <w:rPr>
          <w:b/>
        </w:rPr>
        <w:t xml:space="preserve">Förslag till Europaparlamentets och rådets beslut om närmare </w:t>
      </w:r>
      <w:r w:rsidRPr="00C67E56">
        <w:rPr>
          <w:b/>
        </w:rPr>
        <w:tab/>
        <w:t xml:space="preserve">föreskrifter för den offentliga reglerade tjänst (PRS) som erbjuds via </w:t>
      </w:r>
      <w:r w:rsidRPr="00C67E56">
        <w:rPr>
          <w:b/>
        </w:rPr>
        <w:tab/>
        <w:t xml:space="preserve">det globala satellitnavigeringssystem via satellit som upprättats </w:t>
      </w:r>
      <w:r w:rsidRPr="00C67E56">
        <w:rPr>
          <w:b/>
        </w:rPr>
        <w:tab/>
        <w:t>genom Galileoprogrammet</w:t>
      </w:r>
    </w:p>
    <w:p w:rsidR="00EC07F6" w:rsidRPr="00C67E56" w:rsidRDefault="00EC07F6" w:rsidP="00EC07F6">
      <w:pPr>
        <w:spacing w:line="240" w:lineRule="auto"/>
        <w:ind w:left="567"/>
        <w:rPr>
          <w:i/>
          <w:color w:val="000000"/>
        </w:rPr>
      </w:pPr>
      <w:r w:rsidRPr="00C67E56">
        <w:rPr>
          <w:i/>
          <w:szCs w:val="24"/>
        </w:rPr>
        <w:t>–</w:t>
      </w:r>
      <w:r w:rsidRPr="00C67E56">
        <w:rPr>
          <w:i/>
          <w:szCs w:val="24"/>
        </w:rPr>
        <w:tab/>
      </w:r>
      <w:r w:rsidRPr="00C67E56">
        <w:rPr>
          <w:i/>
          <w:color w:val="000000"/>
        </w:rPr>
        <w:t>Lägesrapport</w:t>
      </w:r>
    </w:p>
    <w:p w:rsidR="00EC07F6" w:rsidRPr="00C67E56" w:rsidRDefault="00EC07F6" w:rsidP="00EC07F6">
      <w:pPr>
        <w:spacing w:line="240" w:lineRule="auto"/>
        <w:ind w:left="567"/>
        <w:rPr>
          <w:i/>
          <w:szCs w:val="24"/>
        </w:rPr>
      </w:pPr>
      <w:r w:rsidRPr="00C67E56">
        <w:rPr>
          <w:i/>
          <w:szCs w:val="24"/>
        </w:rPr>
        <w:br/>
        <w:t xml:space="preserve">Dok: </w:t>
      </w:r>
      <w:r w:rsidRPr="00C67E56">
        <w:rPr>
          <w:i/>
          <w:szCs w:val="24"/>
        </w:rPr>
        <w:tab/>
      </w:r>
      <w:r w:rsidRPr="00C67E56">
        <w:rPr>
          <w:szCs w:val="24"/>
        </w:rPr>
        <w:t xml:space="preserve">14701/10 TRANS 267 MAR 98 AVIATION 156 CAB </w:t>
      </w:r>
      <w:r w:rsidRPr="00C67E56">
        <w:rPr>
          <w:szCs w:val="24"/>
        </w:rPr>
        <w:br/>
      </w:r>
      <w:r w:rsidRPr="00C67E56">
        <w:rPr>
          <w:szCs w:val="24"/>
        </w:rPr>
        <w:tab/>
      </w:r>
      <w:r w:rsidRPr="00C67E56">
        <w:rPr>
          <w:szCs w:val="24"/>
        </w:rPr>
        <w:tab/>
      </w:r>
      <w:r w:rsidRPr="00C67E56">
        <w:rPr>
          <w:szCs w:val="24"/>
        </w:rPr>
        <w:tab/>
      </w:r>
      <w:r w:rsidRPr="00C67E56">
        <w:rPr>
          <w:szCs w:val="24"/>
        </w:rPr>
        <w:tab/>
        <w:t>17 RECH 321 CODEC 996</w:t>
      </w:r>
    </w:p>
    <w:p w:rsidR="00EC07F6" w:rsidRPr="00C67E56" w:rsidRDefault="00EC07F6" w:rsidP="00EC07F6">
      <w:pPr>
        <w:spacing w:line="240" w:lineRule="auto"/>
        <w:ind w:left="2835" w:hanging="1134"/>
        <w:rPr>
          <w:szCs w:val="24"/>
        </w:rPr>
      </w:pPr>
      <w:r w:rsidRPr="00C67E56">
        <w:rPr>
          <w:szCs w:val="24"/>
        </w:rPr>
        <w:t>16265/10 TRANS 328 MAR 120 AVIATION 183 CAB 29 RECH 372 CODEC 1259</w:t>
      </w:r>
    </w:p>
    <w:p w:rsidR="00EC07F6" w:rsidRPr="00C67E56" w:rsidRDefault="00EC07F6" w:rsidP="00EC07F6">
      <w:pPr>
        <w:spacing w:line="240" w:lineRule="auto"/>
        <w:ind w:left="-567"/>
        <w:rPr>
          <w:u w:val="single"/>
        </w:rPr>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pStyle w:val="RKnormal"/>
        <w:ind w:left="-567"/>
      </w:pPr>
    </w:p>
    <w:p w:rsidR="00EC07F6" w:rsidRPr="00C67E56" w:rsidRDefault="00EC07F6" w:rsidP="00EC07F6">
      <w:pPr>
        <w:pStyle w:val="RKnormal"/>
        <w:ind w:left="-567"/>
        <w:rPr>
          <w:b/>
          <w:bCs/>
          <w:i/>
        </w:rPr>
      </w:pPr>
      <w:r w:rsidRPr="00C67E56">
        <w:rPr>
          <w:b/>
          <w:bCs/>
          <w:i/>
        </w:rPr>
        <w:t>Bakgrund</w:t>
      </w:r>
    </w:p>
    <w:p w:rsidR="00EC07F6" w:rsidRPr="00C67E56" w:rsidRDefault="00EC07F6" w:rsidP="00EC07F6">
      <w:pPr>
        <w:pStyle w:val="RKnormal"/>
        <w:ind w:left="-567"/>
      </w:pPr>
      <w:r w:rsidRPr="00C67E56">
        <w:t>I förordning 683/2008 fastställs villkoren för det fortsatta genomförandet av de europeiska satellitnavigerings</w:t>
      </w:r>
      <w:r w:rsidRPr="00C67E56">
        <w:softHyphen/>
        <w:t>programmen Egnos och Galileo.  Där anges att det system som upprättats genom Galileo</w:t>
      </w:r>
      <w:r w:rsidRPr="00C67E56">
        <w:softHyphen/>
        <w:t xml:space="preserve">programmet ska erbjuda fem tjänster. En av dessa är en offentlig reglerad tjänst (Public Regulated Service), nedan kallad PRS. Den planeras vara helt reserverad för användare med myndighetstillstånd och användas för känsliga tillämpningar med stort behov av kontinuerliga tjänster. Rådet begärde i sina slutsatser från 2006 att kommissionen aktivt ska fortsätta att utarbeta en politik för PRS-tillträde. </w:t>
      </w:r>
    </w:p>
    <w:p w:rsidR="00EC07F6" w:rsidRPr="00C67E56" w:rsidRDefault="00EC07F6" w:rsidP="00EC07F6">
      <w:pPr>
        <w:pStyle w:val="RKnormal"/>
        <w:ind w:left="-567"/>
      </w:pPr>
    </w:p>
    <w:p w:rsidR="00EC07F6" w:rsidRPr="00C67E56" w:rsidRDefault="00EC07F6" w:rsidP="00EC07F6">
      <w:pPr>
        <w:pStyle w:val="RKnormal"/>
        <w:ind w:left="-567"/>
      </w:pPr>
      <w:r w:rsidRPr="00C67E56">
        <w:t>Det nu presenterade förslaget behandlar närmare föreskrifter för tillträde till och förvaltning av PRS, de olika förvaltnings- och övervakningsorganens funktioner, villkoren för tillverkning av och säkerhet avseende mottagare samt exportkontroll</w:t>
      </w:r>
      <w:r w:rsidRPr="00C67E56">
        <w:softHyphen/>
        <w:t xml:space="preserve">systemet. Bl.a. föreslås att varje medlemsland självständigt bör kunna besluta vilka PRS-användare som ska bemyndigas samt fastställa tjänstens användningsområden. Man föreslår också att varje deltagare utser en ansvarig PRS-myndighet för förvaltning och kontroll av användare. </w:t>
      </w:r>
    </w:p>
    <w:p w:rsidR="00EC07F6" w:rsidRPr="00C67E56" w:rsidRDefault="00EC07F6" w:rsidP="00EC07F6">
      <w:pPr>
        <w:pStyle w:val="RKnormal"/>
        <w:ind w:left="-567"/>
      </w:pPr>
    </w:p>
    <w:p w:rsidR="00EC07F6" w:rsidRPr="00C67E56" w:rsidRDefault="00EC07F6" w:rsidP="00EC07F6">
      <w:pPr>
        <w:pStyle w:val="RKnormal"/>
        <w:ind w:left="-567"/>
        <w:rPr>
          <w:bCs/>
          <w:u w:val="single"/>
        </w:rPr>
      </w:pPr>
      <w:r w:rsidRPr="00C67E56">
        <w:rPr>
          <w:bCs/>
          <w:u w:val="single"/>
        </w:rPr>
        <w:t>Förslag till svensk ståndpunkt:</w:t>
      </w:r>
    </w:p>
    <w:p w:rsidR="00EC07F6" w:rsidRPr="00C67E56" w:rsidRDefault="00EC07F6" w:rsidP="00EC07F6">
      <w:pPr>
        <w:pStyle w:val="RKnormal"/>
        <w:ind w:left="-567"/>
      </w:pPr>
      <w:r w:rsidRPr="00C67E56">
        <w:t>Sverige föreslås notera ordförandeskapets lägesrapport.</w:t>
      </w:r>
    </w:p>
    <w:p w:rsidR="00EC07F6" w:rsidRPr="00C67E56" w:rsidRDefault="00EC07F6" w:rsidP="00EC07F6">
      <w:pPr>
        <w:spacing w:line="240" w:lineRule="auto"/>
        <w:ind w:left="-567"/>
      </w:pPr>
    </w:p>
    <w:p w:rsidR="00EC07F6" w:rsidRPr="00C67E56" w:rsidRDefault="00EC07F6" w:rsidP="00EC07F6">
      <w:pPr>
        <w:spacing w:line="240" w:lineRule="auto"/>
        <w:ind w:left="-567"/>
        <w:rPr>
          <w:i/>
        </w:rPr>
      </w:pPr>
      <w:r w:rsidRPr="00C67E56">
        <w:rPr>
          <w:i/>
        </w:rPr>
        <w:t>Se vidare rådspromemoria</w:t>
      </w:r>
    </w:p>
    <w:p w:rsidR="00EC07F6" w:rsidRPr="00C67E56" w:rsidRDefault="00EC07F6" w:rsidP="00EC07F6">
      <w:pPr>
        <w:spacing w:line="240" w:lineRule="auto"/>
        <w:ind w:left="-567"/>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p>
    <w:p w:rsidR="00EC07F6" w:rsidRPr="00C67E56" w:rsidRDefault="00EC07F6" w:rsidP="00EC07F6">
      <w:pPr>
        <w:spacing w:line="240" w:lineRule="auto"/>
        <w:ind w:left="-567"/>
        <w:rPr>
          <w:b/>
          <w:i/>
        </w:rPr>
      </w:pPr>
      <w:r w:rsidRPr="00C67E56">
        <w:rPr>
          <w:b/>
          <w:i/>
        </w:rPr>
        <w:t>Icke lagstiftning</w:t>
      </w:r>
    </w:p>
    <w:p w:rsidR="00EC07F6" w:rsidRPr="00C67E56" w:rsidRDefault="00EC07F6" w:rsidP="00EC07F6">
      <w:pPr>
        <w:spacing w:line="240" w:lineRule="auto"/>
        <w:ind w:left="-567"/>
      </w:pPr>
    </w:p>
    <w:p w:rsidR="00EC07F6" w:rsidRPr="00C67E56" w:rsidRDefault="00EC07F6" w:rsidP="00EC07F6">
      <w:pPr>
        <w:spacing w:line="240" w:lineRule="auto"/>
        <w:ind w:left="-567"/>
        <w:rPr>
          <w:b/>
          <w:lang w:eastAsia="fi-FI"/>
        </w:rPr>
      </w:pPr>
      <w:r w:rsidRPr="00C67E56">
        <w:rPr>
          <w:b/>
          <w:lang w:eastAsia="fi-FI"/>
        </w:rPr>
        <w:t>6.</w:t>
      </w:r>
      <w:r w:rsidRPr="00C67E56">
        <w:rPr>
          <w:b/>
          <w:lang w:eastAsia="fi-FI"/>
        </w:rPr>
        <w:tab/>
        <w:t>(ev.) Godkännande av A-punktslistan</w:t>
      </w:r>
    </w:p>
    <w:p w:rsidR="00EC07F6" w:rsidRPr="00C67E56" w:rsidRDefault="00EC07F6" w:rsidP="00EC07F6">
      <w:pPr>
        <w:spacing w:line="240" w:lineRule="auto"/>
        <w:ind w:left="-567"/>
        <w:rPr>
          <w:b/>
          <w:lang w:eastAsia="fi-FI"/>
        </w:rPr>
      </w:pPr>
    </w:p>
    <w:p w:rsidR="00EC07F6" w:rsidRPr="00C67E56" w:rsidRDefault="00EC07F6" w:rsidP="00EC07F6">
      <w:pPr>
        <w:spacing w:line="240" w:lineRule="auto"/>
        <w:ind w:left="-567"/>
        <w:outlineLvl w:val="0"/>
        <w:rPr>
          <w:b/>
          <w:u w:val="single"/>
        </w:rPr>
      </w:pPr>
      <w:r w:rsidRPr="00C67E56">
        <w:rPr>
          <w:b/>
          <w:bCs/>
          <w:color w:val="000000"/>
          <w:u w:val="single"/>
        </w:rPr>
        <w:t>Sjötransporter</w:t>
      </w:r>
    </w:p>
    <w:p w:rsidR="00EC07F6" w:rsidRPr="00C67E56" w:rsidRDefault="00EC07F6" w:rsidP="00EC07F6">
      <w:pPr>
        <w:spacing w:line="240" w:lineRule="auto"/>
        <w:ind w:left="-567"/>
        <w:rPr>
          <w:u w:val="single"/>
        </w:rPr>
      </w:pPr>
    </w:p>
    <w:p w:rsidR="00EC07F6" w:rsidRPr="00C67E56" w:rsidRDefault="00EC07F6" w:rsidP="00EC07F6">
      <w:pPr>
        <w:spacing w:line="240" w:lineRule="auto"/>
        <w:ind w:left="-567" w:hanging="567"/>
        <w:rPr>
          <w:b/>
        </w:rPr>
      </w:pPr>
      <w:r w:rsidRPr="00C67E56">
        <w:tab/>
      </w:r>
      <w:r w:rsidRPr="00C67E56">
        <w:rPr>
          <w:b/>
        </w:rPr>
        <w:t>7.</w:t>
      </w:r>
      <w:r w:rsidRPr="00C67E56">
        <w:rPr>
          <w:b/>
        </w:rPr>
        <w:tab/>
        <w:t xml:space="preserve">Full integrering av vattenburna transporter i Europeiska unionens </w:t>
      </w:r>
      <w:r w:rsidRPr="00C67E56">
        <w:rPr>
          <w:b/>
        </w:rPr>
        <w:tab/>
        <w:t>transport- och logistikkedjor</w:t>
      </w:r>
    </w:p>
    <w:p w:rsidR="00EC07F6" w:rsidRPr="00C67E56" w:rsidRDefault="00EC07F6" w:rsidP="00EC07F6">
      <w:pPr>
        <w:spacing w:line="240" w:lineRule="auto"/>
        <w:ind w:left="-567"/>
        <w:rPr>
          <w:i/>
          <w:szCs w:val="24"/>
        </w:rPr>
      </w:pPr>
      <w:r w:rsidRPr="00C67E56">
        <w:rPr>
          <w:color w:val="000000"/>
        </w:rPr>
        <w:tab/>
      </w:r>
      <w:r w:rsidRPr="00C67E56">
        <w:rPr>
          <w:color w:val="000000"/>
        </w:rPr>
        <w:tab/>
      </w:r>
      <w:r w:rsidRPr="00C67E56">
        <w:rPr>
          <w:i/>
          <w:color w:val="000000"/>
        </w:rPr>
        <w:t>– Antagande av rådets slutsatser</w:t>
      </w:r>
    </w:p>
    <w:p w:rsidR="00EC07F6" w:rsidRPr="00C67E56" w:rsidRDefault="00EC07F6" w:rsidP="00EC07F6">
      <w:pPr>
        <w:spacing w:line="240" w:lineRule="auto"/>
        <w:ind w:left="-567"/>
      </w:pPr>
    </w:p>
    <w:p w:rsidR="00EC07F6" w:rsidRPr="00C67E56" w:rsidRDefault="00EC07F6" w:rsidP="00EC07F6">
      <w:pPr>
        <w:spacing w:line="240" w:lineRule="auto"/>
        <w:ind w:left="-567"/>
      </w:pPr>
      <w:r w:rsidRPr="00C67E56">
        <w:tab/>
      </w:r>
      <w:r w:rsidRPr="00C67E56">
        <w:tab/>
        <w:t>Dok: 16266/10 TRANS 329 MAR 12</w:t>
      </w:r>
    </w:p>
    <w:p w:rsidR="00EC07F6" w:rsidRPr="00C67E56" w:rsidRDefault="00EC07F6" w:rsidP="00EC07F6">
      <w:pPr>
        <w:spacing w:line="240" w:lineRule="auto"/>
        <w:ind w:left="-567"/>
      </w:pPr>
    </w:p>
    <w:p w:rsidR="00EC07F6" w:rsidRPr="00C67E56" w:rsidRDefault="00EC07F6" w:rsidP="00EC07F6">
      <w:pPr>
        <w:ind w:left="-567"/>
      </w:pPr>
      <w:r w:rsidRPr="00C67E56">
        <w:t>Frågan har inte tidigare varit föremål för behandling i EU-nämnden.</w:t>
      </w:r>
    </w:p>
    <w:p w:rsidR="00EC07F6" w:rsidRPr="00C67E56" w:rsidRDefault="00EC07F6" w:rsidP="00EC07F6">
      <w:pPr>
        <w:ind w:left="-567"/>
      </w:pPr>
    </w:p>
    <w:p w:rsidR="00EC07F6" w:rsidRPr="00C67E56" w:rsidRDefault="00EC07F6" w:rsidP="00EC07F6">
      <w:pPr>
        <w:ind w:left="-567"/>
        <w:rPr>
          <w:b/>
          <w:bCs/>
        </w:rPr>
      </w:pPr>
      <w:r w:rsidRPr="00C67E56">
        <w:rPr>
          <w:b/>
          <w:bCs/>
        </w:rPr>
        <w:t>Bakgrund</w:t>
      </w:r>
    </w:p>
    <w:p w:rsidR="00E63C9B" w:rsidRPr="00C67E56" w:rsidRDefault="00E63C9B" w:rsidP="00E63C9B">
      <w:pPr>
        <w:pStyle w:val="RKnormal"/>
        <w:ind w:left="-567"/>
      </w:pPr>
      <w:r w:rsidRPr="00C67E56">
        <w:t xml:space="preserve">Det belgiska ordförandeskapet har utarbetat förslag till slutsatser som  behandlar en konkurrenskraftig sjöfarts framtida roll inom EU:s transport- och logistiksystem och innehåller förslag till främjandet av en ”Europeisk sjöfart utan hinder”.  Rådet förväntas anta slutsatserna. </w:t>
      </w:r>
    </w:p>
    <w:p w:rsidR="00EC07F6" w:rsidRPr="00C67E56" w:rsidRDefault="00EC07F6" w:rsidP="00E63C9B">
      <w:pPr>
        <w:pStyle w:val="RKnormal"/>
        <w:ind w:left="-567"/>
      </w:pPr>
      <w:r w:rsidRPr="00C67E56">
        <w:t xml:space="preserve"> </w:t>
      </w:r>
    </w:p>
    <w:p w:rsidR="00EC07F6" w:rsidRPr="00C67E56" w:rsidRDefault="00EC07F6" w:rsidP="00EC07F6">
      <w:pPr>
        <w:ind w:left="-567"/>
        <w:rPr>
          <w:b/>
          <w:bCs/>
        </w:rPr>
      </w:pPr>
      <w:r w:rsidRPr="00C67E56">
        <w:rPr>
          <w:b/>
          <w:bCs/>
        </w:rPr>
        <w:t>Förslag till svensk ståndpunkt</w:t>
      </w:r>
    </w:p>
    <w:p w:rsidR="00EC07F6" w:rsidRPr="00C67E56" w:rsidRDefault="00EC07F6" w:rsidP="00EC07F6">
      <w:pPr>
        <w:pStyle w:val="RKnormal"/>
        <w:ind w:left="-567"/>
      </w:pPr>
      <w:r w:rsidRPr="00C67E56">
        <w:t xml:space="preserve">Sverige ställer sig bakom förslaget till slutsatser. </w:t>
      </w:r>
    </w:p>
    <w:p w:rsidR="00EC07F6" w:rsidRPr="00C67E56" w:rsidRDefault="00EC07F6" w:rsidP="00EC07F6">
      <w:pPr>
        <w:ind w:left="-567"/>
        <w:rPr>
          <w:b/>
          <w:bCs/>
        </w:rPr>
      </w:pPr>
    </w:p>
    <w:p w:rsidR="00EC07F6" w:rsidRPr="00C67E56" w:rsidRDefault="00EC07F6" w:rsidP="00EC07F6">
      <w:pPr>
        <w:spacing w:line="240" w:lineRule="auto"/>
        <w:ind w:left="-567"/>
      </w:pPr>
      <w:r w:rsidRPr="00C67E56">
        <w:rPr>
          <w:i/>
        </w:rPr>
        <w:t>Se vidare rådspromemoria</w:t>
      </w:r>
    </w:p>
    <w:p w:rsidR="00EC07F6" w:rsidRPr="00C67E56" w:rsidRDefault="00EC07F6" w:rsidP="00EC07F6">
      <w:pPr>
        <w:spacing w:line="240" w:lineRule="auto"/>
        <w:ind w:left="-567"/>
      </w:pPr>
    </w:p>
    <w:p w:rsidR="00EC07F6" w:rsidRPr="00C67E56" w:rsidRDefault="00EC07F6" w:rsidP="00EC07F6">
      <w:pPr>
        <w:spacing w:line="240" w:lineRule="auto"/>
        <w:ind w:left="-567"/>
      </w:pPr>
    </w:p>
    <w:p w:rsidR="00EC07F6" w:rsidRPr="00C67E56" w:rsidRDefault="00EC07F6" w:rsidP="00EC07F6">
      <w:pPr>
        <w:spacing w:line="240" w:lineRule="auto"/>
        <w:ind w:left="-567"/>
        <w:outlineLvl w:val="0"/>
        <w:rPr>
          <w:b/>
          <w:u w:val="single"/>
        </w:rPr>
      </w:pPr>
      <w:r w:rsidRPr="00C67E56">
        <w:rPr>
          <w:b/>
          <w:u w:val="single"/>
        </w:rPr>
        <w:t>Lufttransporter</w:t>
      </w:r>
    </w:p>
    <w:p w:rsidR="00EC07F6" w:rsidRPr="00C67E56" w:rsidRDefault="00EC07F6" w:rsidP="00EC07F6">
      <w:pPr>
        <w:spacing w:line="240" w:lineRule="auto"/>
        <w:ind w:left="-567"/>
        <w:rPr>
          <w:u w:val="single"/>
        </w:rPr>
      </w:pPr>
    </w:p>
    <w:p w:rsidR="00EC07F6" w:rsidRPr="00C67E56" w:rsidRDefault="00EC07F6" w:rsidP="00EC07F6">
      <w:pPr>
        <w:spacing w:line="240" w:lineRule="auto"/>
        <w:ind w:left="-567"/>
        <w:rPr>
          <w:b/>
        </w:rPr>
      </w:pPr>
      <w:r w:rsidRPr="00C67E56">
        <w:rPr>
          <w:b/>
        </w:rPr>
        <w:t>8.</w:t>
      </w:r>
      <w:r w:rsidRPr="00C67E56">
        <w:rPr>
          <w:b/>
        </w:rPr>
        <w:tab/>
        <w:t>L</w:t>
      </w:r>
      <w:r w:rsidRPr="00C67E56">
        <w:rPr>
          <w:b/>
          <w:color w:val="000000"/>
          <w:szCs w:val="24"/>
        </w:rPr>
        <w:t>uftfartsskyddsåtgärder</w:t>
      </w:r>
    </w:p>
    <w:p w:rsidR="00EC07F6" w:rsidRPr="00C67E56" w:rsidRDefault="00EC07F6" w:rsidP="00EC07F6">
      <w:pPr>
        <w:spacing w:line="240" w:lineRule="auto"/>
        <w:ind w:left="-567"/>
        <w:rPr>
          <w:i/>
        </w:rPr>
      </w:pPr>
      <w:r w:rsidRPr="00C67E56">
        <w:tab/>
      </w:r>
      <w:r w:rsidRPr="00C67E56">
        <w:tab/>
      </w:r>
      <w:r w:rsidRPr="00C67E56">
        <w:rPr>
          <w:i/>
        </w:rPr>
        <w:t>– Information från kommissionen och ordförandeskapet</w:t>
      </w:r>
    </w:p>
    <w:p w:rsidR="00EC07F6" w:rsidRPr="00C67E56" w:rsidRDefault="00EC07F6" w:rsidP="00EC07F6">
      <w:pPr>
        <w:spacing w:line="240" w:lineRule="auto"/>
        <w:ind w:left="-567"/>
        <w:rPr>
          <w:bCs/>
          <w:u w:val="single"/>
        </w:rPr>
      </w:pPr>
    </w:p>
    <w:p w:rsidR="00EC07F6" w:rsidRPr="00C67E56" w:rsidRDefault="00EC07F6" w:rsidP="00EC07F6">
      <w:pPr>
        <w:spacing w:line="240" w:lineRule="auto"/>
        <w:ind w:left="-567"/>
        <w:rPr>
          <w:bCs/>
        </w:rPr>
      </w:pPr>
      <w:r w:rsidRPr="00C67E56">
        <w:rPr>
          <w:bCs/>
        </w:rPr>
        <w:tab/>
      </w:r>
      <w:r w:rsidRPr="00C67E56">
        <w:rPr>
          <w:bCs/>
        </w:rPr>
        <w:tab/>
        <w:t>Dok: föreligger ej</w:t>
      </w:r>
    </w:p>
    <w:p w:rsidR="00EC07F6" w:rsidRPr="00C67E56" w:rsidRDefault="00EC07F6" w:rsidP="00EC07F6">
      <w:pPr>
        <w:spacing w:line="240" w:lineRule="auto"/>
        <w:ind w:left="-567"/>
        <w:rPr>
          <w:bCs/>
          <w:u w:val="single"/>
        </w:rPr>
      </w:pPr>
    </w:p>
    <w:p w:rsidR="00EC07F6" w:rsidRPr="00C67E56" w:rsidRDefault="00EC07F6" w:rsidP="00EC07F6">
      <w:pPr>
        <w:ind w:left="-567"/>
      </w:pPr>
      <w:r w:rsidRPr="00C67E56">
        <w:t>Frågan har inte tidigare behandlats i EU-nämnden.</w:t>
      </w:r>
    </w:p>
    <w:p w:rsidR="00EC07F6" w:rsidRPr="00C67E56" w:rsidRDefault="00EC07F6" w:rsidP="00EC07F6">
      <w:pPr>
        <w:ind w:left="-567"/>
      </w:pPr>
    </w:p>
    <w:p w:rsidR="00EC07F6" w:rsidRPr="00C67E56" w:rsidRDefault="00EC07F6" w:rsidP="00EC07F6">
      <w:pPr>
        <w:ind w:left="-567"/>
        <w:rPr>
          <w:b/>
        </w:rPr>
      </w:pPr>
      <w:r w:rsidRPr="00C67E56">
        <w:rPr>
          <w:b/>
        </w:rPr>
        <w:t>Bakgrund</w:t>
      </w:r>
    </w:p>
    <w:p w:rsidR="00EC07F6" w:rsidRPr="00C67E56" w:rsidRDefault="00EC07F6" w:rsidP="00EC07F6">
      <w:pPr>
        <w:ind w:left="-567"/>
      </w:pPr>
      <w:r w:rsidRPr="00C67E56">
        <w:t>Efter den senaste tidens incidenter rörande säkerheten för fraktflyget, har rådet (RIF) dragit slutsatsen att hotet om ytterligare attacker mot fraktflyget kräver ett EU-koordinerat förfarande och följande åtgärder kommer att vidtas:</w:t>
      </w:r>
    </w:p>
    <w:p w:rsidR="00EC07F6" w:rsidRPr="00C67E56" w:rsidRDefault="00EC07F6" w:rsidP="00EC07F6">
      <w:pPr>
        <w:ind w:left="-567"/>
      </w:pPr>
      <w:r w:rsidRPr="00C67E56">
        <w:t>- En högnivågrupp ska ta fram förslag till en rapport för hur luftfartsskyddet för frakten kan stärkas</w:t>
      </w:r>
    </w:p>
    <w:p w:rsidR="00EC07F6" w:rsidRPr="00C67E56" w:rsidRDefault="00EC07F6" w:rsidP="00EC07F6">
      <w:pPr>
        <w:ind w:left="-567"/>
      </w:pPr>
      <w:r w:rsidRPr="00C67E56">
        <w:t>- Rapporten kommer att presenteras för ministerråden den 2 december 2010 (TTE och RIF).</w:t>
      </w:r>
    </w:p>
    <w:p w:rsidR="00EC07F6" w:rsidRPr="00C67E56" w:rsidRDefault="00EC07F6" w:rsidP="00EC07F6">
      <w:pPr>
        <w:ind w:left="-567"/>
      </w:pPr>
    </w:p>
    <w:p w:rsidR="00EC07F6" w:rsidRPr="00C67E56" w:rsidRDefault="00EC07F6" w:rsidP="00EC07F6">
      <w:pPr>
        <w:ind w:left="-567"/>
      </w:pPr>
      <w:r w:rsidRPr="00C67E56">
        <w:t>Rapporten ska bl.a. täcka frågor om hur misstänkt frakt lättare kan upptäckas, om hotbildsbedömning och informationsöverföring avseende hotbilden mellan berörda myndigheter, analysera samarbetet mellan transport- och säkerhetssektorn, utvärdera gällande bestämmelser för fraktflyget, utveckla EU-kriteria för att bedöma tredjeländers flygplatsers säkerhetsrisker och förbättra inspektionen av gällande säkerhetsåtgärder för flygfrakt inom EU. Rapporten ska behandlas av Kommittén för luftfartsskydd vid dess möte den 24-25 november. Denna kommitté kommer även att se över behovet av nödvändiga förstärkningar av luftfartsskyddet för flygfrakt, särskilt avseende transferfrakt från tredje land.</w:t>
      </w:r>
    </w:p>
    <w:p w:rsidR="00EC07F6" w:rsidRPr="00C67E56" w:rsidRDefault="00EC07F6" w:rsidP="00EC07F6">
      <w:pPr>
        <w:ind w:left="-567"/>
      </w:pPr>
    </w:p>
    <w:p w:rsidR="00EC07F6" w:rsidRPr="00C67E56" w:rsidRDefault="00EC07F6" w:rsidP="00EC07F6">
      <w:pPr>
        <w:ind w:left="-567"/>
      </w:pPr>
      <w:r w:rsidRPr="00C67E56">
        <w:t>Kommissionen och ordförandeskapet kommer att vid rådsmötet informera om detta arbete.</w:t>
      </w:r>
    </w:p>
    <w:p w:rsidR="00EC07F6" w:rsidRPr="00C67E56" w:rsidRDefault="00EC07F6" w:rsidP="00EC07F6">
      <w:pPr>
        <w:ind w:left="-567"/>
      </w:pPr>
    </w:p>
    <w:p w:rsidR="00EC07F6" w:rsidRPr="00C67E56" w:rsidRDefault="00EC07F6" w:rsidP="00EC07F6">
      <w:pPr>
        <w:ind w:left="-567"/>
        <w:rPr>
          <w:b/>
        </w:rPr>
      </w:pPr>
      <w:r w:rsidRPr="00C67E56">
        <w:rPr>
          <w:b/>
        </w:rPr>
        <w:t>Förslag till svensk ståndpunkt</w:t>
      </w:r>
    </w:p>
    <w:p w:rsidR="00EC07F6" w:rsidRPr="00C67E56" w:rsidRDefault="00EC07F6" w:rsidP="00EC07F6">
      <w:pPr>
        <w:ind w:left="-567"/>
      </w:pPr>
      <w:r w:rsidRPr="00C67E56">
        <w:t>Sverige bör notera informationen.</w:t>
      </w:r>
    </w:p>
    <w:p w:rsidR="00EC07F6" w:rsidRPr="00C67E56" w:rsidRDefault="00EC07F6" w:rsidP="00EC07F6">
      <w:pPr>
        <w:spacing w:line="240" w:lineRule="auto"/>
        <w:ind w:left="-567"/>
        <w:rPr>
          <w:bCs/>
        </w:rPr>
      </w:pPr>
    </w:p>
    <w:p w:rsidR="00EC07F6" w:rsidRPr="00C67E56" w:rsidRDefault="00EC07F6" w:rsidP="00EC07F6">
      <w:pPr>
        <w:spacing w:line="240" w:lineRule="auto"/>
        <w:ind w:left="-567"/>
        <w:rPr>
          <w:bCs/>
        </w:rPr>
      </w:pPr>
    </w:p>
    <w:p w:rsidR="00EC07F6" w:rsidRPr="00C67E56" w:rsidRDefault="00EC07F6" w:rsidP="00EC07F6">
      <w:pPr>
        <w:spacing w:line="240" w:lineRule="auto"/>
        <w:ind w:left="-567"/>
        <w:rPr>
          <w:bCs/>
        </w:rPr>
      </w:pPr>
    </w:p>
    <w:p w:rsidR="00EC07F6" w:rsidRPr="00C67E56" w:rsidRDefault="00EC07F6" w:rsidP="00EC07F6">
      <w:pPr>
        <w:spacing w:line="240" w:lineRule="auto"/>
        <w:ind w:left="-567"/>
        <w:outlineLvl w:val="0"/>
        <w:rPr>
          <w:b/>
          <w:bCs/>
          <w:u w:val="single"/>
        </w:rPr>
      </w:pPr>
      <w:r w:rsidRPr="00C67E56">
        <w:rPr>
          <w:b/>
          <w:bCs/>
          <w:u w:val="single"/>
        </w:rPr>
        <w:t>Landtransporter</w:t>
      </w:r>
    </w:p>
    <w:p w:rsidR="00EC07F6" w:rsidRPr="00C67E56" w:rsidRDefault="00EC07F6" w:rsidP="00EC07F6">
      <w:pPr>
        <w:spacing w:line="240" w:lineRule="auto"/>
        <w:ind w:left="-567"/>
        <w:rPr>
          <w:bCs/>
          <w:u w:val="single"/>
        </w:rPr>
      </w:pPr>
    </w:p>
    <w:p w:rsidR="00EC07F6" w:rsidRPr="00C67E56" w:rsidRDefault="00EC07F6" w:rsidP="00EC07F6">
      <w:pPr>
        <w:spacing w:line="240" w:lineRule="auto"/>
        <w:ind w:hanging="567"/>
        <w:rPr>
          <w:b/>
        </w:rPr>
      </w:pPr>
      <w:r w:rsidRPr="00C67E56">
        <w:rPr>
          <w:b/>
          <w:bCs/>
        </w:rPr>
        <w:t>9.</w:t>
      </w:r>
      <w:r w:rsidRPr="00C67E56">
        <w:rPr>
          <w:b/>
          <w:bCs/>
        </w:rPr>
        <w:tab/>
      </w:r>
      <w:r w:rsidRPr="00C67E56">
        <w:rPr>
          <w:b/>
        </w:rPr>
        <w:t xml:space="preserve">Meddelande från kommissionen: </w:t>
      </w:r>
      <w:r w:rsidRPr="00C67E56">
        <w:rPr>
          <w:b/>
          <w:i/>
        </w:rPr>
        <w:t>Mot ett europeiskt område för trafiksäkerhet: politiska riktlinjer för trafiksäkerhet 2011</w:t>
      </w:r>
      <w:r w:rsidRPr="00C67E56">
        <w:rPr>
          <w:b/>
          <w:i/>
        </w:rPr>
        <w:sym w:font="Symbol" w:char="F02D"/>
      </w:r>
      <w:r w:rsidRPr="00C67E56">
        <w:rPr>
          <w:b/>
          <w:i/>
        </w:rPr>
        <w:t>2020</w:t>
      </w:r>
    </w:p>
    <w:p w:rsidR="00EC07F6" w:rsidRPr="00C67E56" w:rsidRDefault="00EC07F6" w:rsidP="00EC07F6">
      <w:pPr>
        <w:spacing w:line="240" w:lineRule="auto"/>
        <w:rPr>
          <w:i/>
          <w:szCs w:val="24"/>
        </w:rPr>
      </w:pPr>
      <w:r w:rsidRPr="00C67E56">
        <w:rPr>
          <w:bCs/>
        </w:rPr>
        <w:tab/>
      </w:r>
      <w:r w:rsidRPr="00C67E56">
        <w:rPr>
          <w:bCs/>
          <w:i/>
        </w:rPr>
        <w:t xml:space="preserve">– </w:t>
      </w:r>
      <w:r w:rsidRPr="00C67E56">
        <w:rPr>
          <w:i/>
          <w:color w:val="000000"/>
        </w:rPr>
        <w:t>Antagande av rådets slutsatser</w:t>
      </w:r>
    </w:p>
    <w:p w:rsidR="00EC07F6" w:rsidRPr="00C67E56" w:rsidRDefault="00EC07F6" w:rsidP="00EC07F6">
      <w:pPr>
        <w:spacing w:line="240" w:lineRule="auto"/>
        <w:rPr>
          <w:iCs/>
        </w:rPr>
      </w:pPr>
      <w:r w:rsidRPr="00C67E56">
        <w:rPr>
          <w:iCs/>
        </w:rPr>
        <w:tab/>
      </w:r>
    </w:p>
    <w:p w:rsidR="00EC07F6" w:rsidRPr="00C67E56" w:rsidRDefault="00EC07F6" w:rsidP="00EC07F6">
      <w:pPr>
        <w:spacing w:line="240" w:lineRule="auto"/>
      </w:pPr>
      <w:r w:rsidRPr="00C67E56">
        <w:rPr>
          <w:iCs/>
        </w:rPr>
        <w:tab/>
        <w:t xml:space="preserve">Dok:   12603/10 </w:t>
      </w:r>
      <w:r w:rsidRPr="00C67E56">
        <w:t>TRANS 200</w:t>
      </w:r>
    </w:p>
    <w:p w:rsidR="00EC07F6" w:rsidRPr="00C67E56" w:rsidRDefault="00EC07F6" w:rsidP="00EC07F6">
      <w:pPr>
        <w:spacing w:line="240" w:lineRule="auto"/>
        <w:rPr>
          <w:b/>
          <w:lang w:eastAsia="fi-FI"/>
        </w:rPr>
      </w:pPr>
      <w:r w:rsidRPr="00C67E56">
        <w:tab/>
      </w:r>
      <w:r w:rsidRPr="00C67E56">
        <w:tab/>
        <w:t>16106/10 TRANS 314</w:t>
      </w:r>
    </w:p>
    <w:p w:rsidR="00EC07F6" w:rsidRPr="00C67E56" w:rsidRDefault="00EC07F6" w:rsidP="00EC07F6">
      <w:pPr>
        <w:spacing w:line="240" w:lineRule="auto"/>
        <w:ind w:left="-567"/>
        <w:rPr>
          <w:b/>
          <w:lang w:eastAsia="fi-FI"/>
        </w:rPr>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pStyle w:val="RKnormal"/>
        <w:ind w:left="-567"/>
      </w:pPr>
    </w:p>
    <w:p w:rsidR="00EC07F6" w:rsidRPr="00C67E56" w:rsidRDefault="00EC07F6" w:rsidP="00EC07F6">
      <w:pPr>
        <w:pStyle w:val="RKnormal"/>
        <w:ind w:left="-567"/>
        <w:rPr>
          <w:b/>
          <w:bCs/>
        </w:rPr>
      </w:pPr>
      <w:r w:rsidRPr="00C67E56">
        <w:rPr>
          <w:b/>
          <w:bCs/>
        </w:rPr>
        <w:t>Bakgrund</w:t>
      </w:r>
    </w:p>
    <w:p w:rsidR="00EC07F6" w:rsidRPr="00C67E56" w:rsidRDefault="00EC07F6" w:rsidP="00EC07F6">
      <w:pPr>
        <w:pStyle w:val="RKnormal"/>
        <w:ind w:left="-567"/>
      </w:pPr>
      <w:r w:rsidRPr="00C67E56">
        <w:t xml:space="preserve">Kommissionen presenterade 26 juli 2010 ett meddelande innehållande politiska riktlinjer för trafiksäkerhet fram till 2020. Riktlinjerna syftar till att skapa allmänna ramar och målsättningar för nationella och lokala strategier. Enligt detta bör principerna för det europeiska trafiksäkerhetsarbetet vara att sträva efter högsta trafiksäkerhetsstandard i hela EU, en integrerad syn på trafiksäkerhet bland EU:s övriga politikområden samt ett delat ansvar mellan berörda aktörer. Kommissionen föreslår som kvantitativt mål att halvera antalet dödsolyckor i trafiken i EU mellan 2010 och 2020. </w:t>
      </w:r>
    </w:p>
    <w:p w:rsidR="00EC07F6" w:rsidRPr="00C67E56" w:rsidRDefault="00EC07F6" w:rsidP="00EC07F6">
      <w:pPr>
        <w:pStyle w:val="RKnormal"/>
        <w:ind w:left="-567"/>
      </w:pPr>
    </w:p>
    <w:p w:rsidR="00EC07F6" w:rsidRPr="00C67E56" w:rsidRDefault="00EC07F6" w:rsidP="00EC07F6">
      <w:pPr>
        <w:pStyle w:val="RKnormal"/>
        <w:ind w:left="-567"/>
      </w:pPr>
      <w:r w:rsidRPr="00C67E56">
        <w:t xml:space="preserve">För nästa årtionde har sju strategiska mål fastställts. För vart och ett av dessa föreslås insatser på EU-nivå och i medlemsstaterna. Kommissionen kommer att ta på sig uppgiften att lägga fram förslag i frågor där EU är behörigt och att i alla andra fall stödja initiativ som tas på olika nivåer, främja informationsutbytet, identifiera och belysa goda resultat och noggrant följa upp de framsteg som görs. </w:t>
      </w:r>
    </w:p>
    <w:p w:rsidR="00EC07F6" w:rsidRPr="00C67E56" w:rsidRDefault="00EC07F6" w:rsidP="00EC07F6">
      <w:pPr>
        <w:pStyle w:val="RKnormal"/>
        <w:ind w:left="-567"/>
      </w:pPr>
    </w:p>
    <w:p w:rsidR="00EC07F6" w:rsidRPr="00C67E56" w:rsidRDefault="00EC07F6" w:rsidP="00EC07F6">
      <w:pPr>
        <w:pStyle w:val="RKnormal"/>
        <w:ind w:left="-567"/>
      </w:pPr>
      <w:r w:rsidRPr="00C67E56">
        <w:t>Ordförandeskapet har nu presenterat ett förslag till rådets slutsatser med anledning av meddelandet. I förslag till rådsslutsatser ställer sig rådet bakom målet att halvera antalet dödsolyckor i vägtrafiken inom EU under perioden 2010 till 2020. Rådet föreslås bl.a. lyfta fram betydelsen att anpassa vägtransportsystemet till människans kapacitet liksom betydelsen att ansvar för trafiksäkerheten bör tas på alla nivåer inom såväl offentliga och privata organisationer.</w:t>
      </w:r>
    </w:p>
    <w:p w:rsidR="00EC07F6" w:rsidRPr="00C67E56" w:rsidRDefault="00EC07F6" w:rsidP="00EC07F6">
      <w:pPr>
        <w:pStyle w:val="RKnormal"/>
        <w:ind w:left="-567"/>
      </w:pPr>
    </w:p>
    <w:p w:rsidR="00EC07F6" w:rsidRPr="00C67E56" w:rsidRDefault="00EC07F6" w:rsidP="00EC07F6">
      <w:pPr>
        <w:pStyle w:val="RKnormal"/>
        <w:ind w:left="-567"/>
        <w:rPr>
          <w:bCs/>
          <w:u w:val="single"/>
        </w:rPr>
      </w:pPr>
      <w:r w:rsidRPr="00C67E56">
        <w:rPr>
          <w:bCs/>
          <w:u w:val="single"/>
        </w:rPr>
        <w:t>Förslag till svensk ståndpunkt:</w:t>
      </w:r>
    </w:p>
    <w:p w:rsidR="00EC07F6" w:rsidRPr="00C67E56" w:rsidRDefault="00EC07F6" w:rsidP="00EC07F6">
      <w:pPr>
        <w:pStyle w:val="RKnormal"/>
        <w:ind w:left="-567"/>
      </w:pPr>
      <w:r w:rsidRPr="00C67E56">
        <w:t>Sverige föreslås stödja den aktuella texten.</w:t>
      </w:r>
    </w:p>
    <w:p w:rsidR="00EC07F6" w:rsidRPr="00C67E56" w:rsidRDefault="00EC07F6" w:rsidP="00EC07F6">
      <w:pPr>
        <w:spacing w:line="240" w:lineRule="auto"/>
        <w:ind w:left="-567"/>
        <w:rPr>
          <w:b/>
          <w:lang w:eastAsia="fi-FI"/>
        </w:rPr>
      </w:pPr>
    </w:p>
    <w:p w:rsidR="00EC07F6" w:rsidRPr="00C67E56" w:rsidRDefault="00EC07F6" w:rsidP="00EC07F6">
      <w:pPr>
        <w:spacing w:line="240" w:lineRule="auto"/>
        <w:ind w:left="-567"/>
      </w:pPr>
      <w:r w:rsidRPr="00C67E56">
        <w:rPr>
          <w:i/>
        </w:rPr>
        <w:t>Se vidare rådspromemoria</w:t>
      </w:r>
    </w:p>
    <w:p w:rsidR="0086705D" w:rsidRPr="00C67E56" w:rsidRDefault="0086705D">
      <w:pPr>
        <w:spacing w:line="240" w:lineRule="auto"/>
        <w:ind w:left="-567"/>
        <w:rPr>
          <w:b/>
          <w:lang w:eastAsia="fi-FI"/>
        </w:rPr>
      </w:pPr>
    </w:p>
    <w:p w:rsidR="003A0DA4" w:rsidRPr="00C67E56" w:rsidRDefault="003A0DA4">
      <w:pPr>
        <w:spacing w:line="240" w:lineRule="auto"/>
        <w:ind w:left="-567"/>
        <w:rPr>
          <w:b/>
          <w:lang w:eastAsia="fi-FI"/>
        </w:rPr>
      </w:pPr>
    </w:p>
    <w:p w:rsidR="003A0DA4" w:rsidRPr="00C67E56" w:rsidRDefault="003A0DA4" w:rsidP="00EC0AEE">
      <w:pPr>
        <w:spacing w:line="240" w:lineRule="auto"/>
        <w:ind w:left="-567"/>
        <w:outlineLvl w:val="0"/>
        <w:rPr>
          <w:b/>
          <w:szCs w:val="24"/>
          <w:u w:val="single"/>
        </w:rPr>
      </w:pPr>
      <w:r w:rsidRPr="00C67E56">
        <w:rPr>
          <w:b/>
          <w:szCs w:val="24"/>
          <w:u w:val="single"/>
        </w:rPr>
        <w:t>ENERGI</w:t>
      </w:r>
    </w:p>
    <w:p w:rsidR="003A0DA4" w:rsidRPr="00C67E56" w:rsidRDefault="003A0DA4" w:rsidP="00EC0AEE">
      <w:pPr>
        <w:spacing w:line="240" w:lineRule="auto"/>
        <w:ind w:left="-567"/>
      </w:pPr>
    </w:p>
    <w:p w:rsidR="003A0DA4" w:rsidRPr="00C67E56" w:rsidRDefault="003A0DA4" w:rsidP="00EC0AEE">
      <w:pPr>
        <w:spacing w:line="240" w:lineRule="auto"/>
        <w:ind w:left="-567"/>
        <w:outlineLvl w:val="0"/>
        <w:rPr>
          <w:b/>
          <w:bCs/>
          <w:color w:val="000000"/>
          <w:u w:val="single"/>
        </w:rPr>
      </w:pPr>
      <w:r w:rsidRPr="00C67E56">
        <w:rPr>
          <w:b/>
          <w:bCs/>
          <w:color w:val="000000"/>
          <w:u w:val="single"/>
        </w:rPr>
        <w:t>Icke lagstiftande verksamhet</w:t>
      </w:r>
    </w:p>
    <w:p w:rsidR="003A0DA4" w:rsidRPr="00C67E56" w:rsidRDefault="003A0DA4" w:rsidP="00EC0AEE">
      <w:pPr>
        <w:spacing w:line="240" w:lineRule="auto"/>
        <w:ind w:left="-567"/>
        <w:rPr>
          <w:bCs/>
        </w:rPr>
      </w:pPr>
    </w:p>
    <w:p w:rsidR="003A0DA4" w:rsidRPr="00C67E56" w:rsidRDefault="003A0DA4" w:rsidP="00EC0AEE">
      <w:pPr>
        <w:spacing w:line="240" w:lineRule="auto"/>
        <w:ind w:left="-567"/>
        <w:rPr>
          <w:b/>
          <w:bCs/>
        </w:rPr>
      </w:pPr>
      <w:r w:rsidRPr="00C67E56">
        <w:rPr>
          <w:b/>
          <w:bCs/>
        </w:rPr>
        <w:t>10.</w:t>
      </w:r>
      <w:r w:rsidRPr="00C67E56">
        <w:rPr>
          <w:b/>
          <w:bCs/>
        </w:rPr>
        <w:tab/>
        <w:t>En gynnsammare energipolitik för konsumenten</w:t>
      </w:r>
    </w:p>
    <w:p w:rsidR="003A0DA4" w:rsidRPr="00C67E56" w:rsidRDefault="003A0DA4" w:rsidP="00EC0AEE">
      <w:pPr>
        <w:spacing w:line="240" w:lineRule="auto"/>
        <w:ind w:left="-567"/>
        <w:rPr>
          <w:i/>
          <w:iCs/>
          <w:szCs w:val="24"/>
        </w:rPr>
      </w:pPr>
      <w:r w:rsidRPr="00C67E56">
        <w:rPr>
          <w:i/>
          <w:iCs/>
          <w:szCs w:val="24"/>
        </w:rPr>
        <w:t>–</w:t>
      </w:r>
      <w:r w:rsidRPr="00C67E56">
        <w:rPr>
          <w:i/>
          <w:iCs/>
          <w:szCs w:val="24"/>
        </w:rPr>
        <w:tab/>
      </w:r>
      <w:r w:rsidRPr="00C67E56">
        <w:rPr>
          <w:i/>
          <w:iCs/>
          <w:color w:val="000000"/>
        </w:rPr>
        <w:t>Antagande av rådets slutsatser</w:t>
      </w:r>
    </w:p>
    <w:p w:rsidR="003A0DA4" w:rsidRPr="00C67E56" w:rsidRDefault="003A0DA4" w:rsidP="00EC0AEE">
      <w:pPr>
        <w:spacing w:line="240" w:lineRule="auto"/>
        <w:ind w:left="-567"/>
        <w:rPr>
          <w:szCs w:val="24"/>
        </w:rPr>
      </w:pPr>
      <w:r w:rsidRPr="00C67E56">
        <w:rPr>
          <w:szCs w:val="24"/>
        </w:rPr>
        <w:t>16300/10 ENER 329 CONSOM 104</w:t>
      </w:r>
    </w:p>
    <w:p w:rsidR="003A0DA4" w:rsidRPr="00C67E56" w:rsidRDefault="003A0DA4" w:rsidP="00EC0AEE">
      <w:pPr>
        <w:spacing w:line="240" w:lineRule="auto"/>
        <w:ind w:left="-567"/>
        <w:rPr>
          <w:szCs w:val="24"/>
        </w:rPr>
      </w:pPr>
    </w:p>
    <w:p w:rsidR="003A0DA4" w:rsidRPr="00C67E56" w:rsidRDefault="003A0DA4" w:rsidP="00EC0AEE">
      <w:pPr>
        <w:pStyle w:val="RKnormal"/>
        <w:ind w:left="-567"/>
      </w:pPr>
      <w:r w:rsidRPr="00C67E56">
        <w:t>Förslaget har inte behandlats i  TTE-rådet eller EU-nämnden tidigare.</w:t>
      </w:r>
    </w:p>
    <w:p w:rsidR="003A0DA4" w:rsidRPr="00C67E56" w:rsidRDefault="003A0DA4" w:rsidP="00EC0AEE">
      <w:pPr>
        <w:pStyle w:val="RKnormal"/>
        <w:ind w:left="-567"/>
      </w:pPr>
    </w:p>
    <w:p w:rsidR="003A0DA4" w:rsidRPr="00C67E56" w:rsidRDefault="003A0DA4" w:rsidP="00EC0AEE">
      <w:pPr>
        <w:spacing w:line="240" w:lineRule="auto"/>
        <w:ind w:left="-567"/>
        <w:rPr>
          <w:u w:val="single"/>
        </w:rPr>
      </w:pPr>
      <w:r w:rsidRPr="00C67E56">
        <w:rPr>
          <w:u w:val="single"/>
        </w:rPr>
        <w:t>Bakgrund</w:t>
      </w:r>
    </w:p>
    <w:p w:rsidR="003A0DA4" w:rsidRPr="00C67E56" w:rsidRDefault="003A0DA4" w:rsidP="00EC0AEE">
      <w:pPr>
        <w:pStyle w:val="RKnormal"/>
        <w:ind w:left="-567"/>
      </w:pPr>
      <w:r w:rsidRPr="00C67E56">
        <w:t xml:space="preserve">Det belgiska ordförandeskapet prioriterar frågan om konsumenternas ställning på energimarknaderna och har under hösten lyft denna i olika sammanhang. På initiativ av ordförandeskapet diskuterades konsumentfrågan vid det informella ministerrådsmötet i Bryssel den 6-7 september 2010. </w:t>
      </w:r>
    </w:p>
    <w:p w:rsidR="003A0DA4" w:rsidRPr="00C67E56" w:rsidRDefault="003A0DA4" w:rsidP="00EC0AEE">
      <w:pPr>
        <w:pStyle w:val="RKnormal"/>
        <w:ind w:left="-567"/>
      </w:pPr>
    </w:p>
    <w:p w:rsidR="003A0DA4" w:rsidRPr="00C67E56" w:rsidRDefault="003A0DA4" w:rsidP="00EC0AEE">
      <w:pPr>
        <w:pStyle w:val="RKnormal"/>
        <w:ind w:left="-567"/>
      </w:pPr>
      <w:r w:rsidRPr="00C67E56">
        <w:t xml:space="preserve">Mot bakgrund av de diskussioner som förevarit under hösten och kommissionens två arbetsdokument ”En energipolitik för konsumenter” (SEC (2010)1407) samt ”Elmarknadens funktion för kunder inom EU” (SEC (2010) 1409) har det belgiska ordförandeskapet presenterat ett utkast till rådsslutsatser om konsumenternas ställning på energimarknaderna. </w:t>
      </w:r>
    </w:p>
    <w:p w:rsidR="003A0DA4" w:rsidRPr="00C67E56" w:rsidRDefault="003A0DA4" w:rsidP="00EC0AEE">
      <w:pPr>
        <w:pStyle w:val="RKnormal"/>
        <w:ind w:left="-567"/>
      </w:pPr>
    </w:p>
    <w:p w:rsidR="003A0DA4" w:rsidRPr="00C67E56" w:rsidRDefault="003A0DA4" w:rsidP="00EC0AEE">
      <w:pPr>
        <w:pStyle w:val="RKnormal"/>
        <w:ind w:left="-567"/>
        <w:rPr>
          <w:bCs/>
        </w:rPr>
      </w:pPr>
      <w:r w:rsidRPr="00C67E56">
        <w:t>Rådsslutsatserna är allmänt hållna och refererar främst till sådant som redan finns på plats eller beslutats inom ramen för det tredje energimarknadspaketet</w:t>
      </w:r>
      <w:r w:rsidRPr="00C67E56">
        <w:rPr>
          <w:rStyle w:val="Fotnotsreferens"/>
        </w:rPr>
        <w:footnoteReference w:id="1"/>
      </w:r>
      <w:r w:rsidRPr="00C67E56">
        <w:rPr>
          <w:bCs/>
        </w:rPr>
        <w:t xml:space="preserve"> som t ex </w:t>
      </w:r>
      <w:r w:rsidRPr="00C67E56">
        <w:t>transparent information (om priser, avtalsvillkor etc.), klagomålshantering och mekanismer för tvistlösning utanför domstol etc. I slutsatserna understryks också vikten av att genomföra de åtgärder som följer av tredje inre marknadspaketet.</w:t>
      </w:r>
    </w:p>
    <w:p w:rsidR="003A0DA4" w:rsidRPr="00C67E56" w:rsidRDefault="003A0DA4" w:rsidP="00EC0AEE">
      <w:pPr>
        <w:pStyle w:val="RKnormal"/>
        <w:ind w:left="-567"/>
      </w:pPr>
    </w:p>
    <w:p w:rsidR="003A0DA4" w:rsidRPr="00C67E56" w:rsidRDefault="003A0DA4" w:rsidP="00EC0AEE">
      <w:pPr>
        <w:pStyle w:val="RKnormal"/>
        <w:ind w:left="-567"/>
      </w:pPr>
      <w:r w:rsidRPr="00C67E56">
        <w:t>Vidare framhålls betydelsen av energieffektivisering och införandet av nya teknologier som t.ex. smarta mätare - allt för att få mer medvetna och aktiva kunder. Vikten av transparent och användarvänlig information är återkommande punkter i slutsatserna. I slutsatserna uppmärksammas också sårbara kunder. Härutöver uppmanas kommissionen att fortsätta  sitt arbete som syftar till att stärka konsumenternas ställning på energimarknaderna.</w:t>
      </w:r>
    </w:p>
    <w:p w:rsidR="003A0DA4" w:rsidRPr="00C67E56" w:rsidRDefault="003A0DA4" w:rsidP="00EC0AEE">
      <w:pPr>
        <w:pStyle w:val="RKnormal"/>
        <w:ind w:left="-567"/>
      </w:pPr>
    </w:p>
    <w:p w:rsidR="003A0DA4" w:rsidRPr="00C67E56" w:rsidRDefault="003A0DA4" w:rsidP="00EC0AEE">
      <w:pPr>
        <w:ind w:left="-567"/>
        <w:rPr>
          <w:u w:val="single"/>
        </w:rPr>
      </w:pPr>
      <w:r w:rsidRPr="00C67E56">
        <w:rPr>
          <w:u w:val="single"/>
        </w:rPr>
        <w:t>Förslag till svensk ståndpunkt</w:t>
      </w:r>
    </w:p>
    <w:p w:rsidR="003A0DA4" w:rsidRPr="00C67E56" w:rsidRDefault="003A0DA4" w:rsidP="00EC0AEE">
      <w:pPr>
        <w:pStyle w:val="RKnormal"/>
        <w:ind w:left="-567"/>
        <w:rPr>
          <w:bCs/>
        </w:rPr>
      </w:pPr>
      <w:r w:rsidRPr="00C67E56">
        <w:rPr>
          <w:bCs/>
        </w:rPr>
        <w:t>Regeringen har framhållit att slutsatserna till sitt innehåll ska stämma överens med vad som anges i det tredje inre marknadspaketet. Regeringen har vidare uppmärksammat frågan om vad som kan åstadkommas inom ramen för energipolitiken respektive socialpolitiken. Synen på detta kan skilja medlemsstaterna emellan vilket bl.a. kommit till uttryck i diskussionen om sårbara kunder.</w:t>
      </w:r>
    </w:p>
    <w:p w:rsidR="003A0DA4" w:rsidRPr="00C67E56" w:rsidRDefault="003A0DA4" w:rsidP="00EC0AEE">
      <w:pPr>
        <w:pStyle w:val="RKnormal"/>
        <w:ind w:left="-567"/>
        <w:rPr>
          <w:bCs/>
        </w:rPr>
      </w:pPr>
    </w:p>
    <w:p w:rsidR="003A0DA4" w:rsidRPr="00C67E56" w:rsidRDefault="003A0DA4" w:rsidP="00EC0AEE">
      <w:pPr>
        <w:pStyle w:val="RKnormal"/>
        <w:ind w:left="-567"/>
      </w:pPr>
      <w:r w:rsidRPr="00C67E56">
        <w:rPr>
          <w:bCs/>
        </w:rPr>
        <w:t xml:space="preserve">Regeringen har i förhandlingarna fått gehör för sina synpunkter samt stödjer den allmänna inriktningen och kan därför ställa sig bakom slutsatserna. </w:t>
      </w:r>
    </w:p>
    <w:p w:rsidR="003A0DA4" w:rsidRPr="00C67E56" w:rsidRDefault="003A0DA4" w:rsidP="00EC0AEE">
      <w:pPr>
        <w:pStyle w:val="RKnormal"/>
        <w:ind w:left="-567"/>
        <w:rPr>
          <w:bCs/>
        </w:rPr>
      </w:pPr>
    </w:p>
    <w:p w:rsidR="003A0DA4" w:rsidRPr="00C67E56" w:rsidRDefault="003A0DA4" w:rsidP="00EC0AEE">
      <w:pPr>
        <w:ind w:left="-567"/>
        <w:rPr>
          <w:i/>
          <w:iCs/>
        </w:rPr>
      </w:pPr>
      <w:r w:rsidRPr="00C67E56">
        <w:rPr>
          <w:i/>
          <w:iCs/>
        </w:rPr>
        <w:t>(Se vidare rådspromemoria)</w:t>
      </w:r>
    </w:p>
    <w:p w:rsidR="003A0DA4" w:rsidRPr="00C67E56" w:rsidRDefault="003A0DA4" w:rsidP="00EC0AEE">
      <w:pPr>
        <w:ind w:left="-567"/>
      </w:pPr>
    </w:p>
    <w:p w:rsidR="003A0DA4" w:rsidRPr="00C67E56" w:rsidRDefault="003A0DA4" w:rsidP="00EC0AEE">
      <w:pPr>
        <w:spacing w:line="240" w:lineRule="auto"/>
        <w:ind w:left="-567"/>
        <w:rPr>
          <w:szCs w:val="24"/>
        </w:rPr>
      </w:pPr>
    </w:p>
    <w:p w:rsidR="003A0DA4" w:rsidRPr="00C67E56" w:rsidRDefault="003A0DA4" w:rsidP="00EC0AEE">
      <w:pPr>
        <w:spacing w:line="240" w:lineRule="auto"/>
        <w:ind w:left="-567"/>
        <w:rPr>
          <w:szCs w:val="24"/>
        </w:rPr>
      </w:pPr>
    </w:p>
    <w:p w:rsidR="003A0DA4" w:rsidRPr="00C67E56" w:rsidRDefault="003A0DA4" w:rsidP="00EC0AEE">
      <w:pPr>
        <w:spacing w:line="240" w:lineRule="auto"/>
        <w:ind w:left="-567" w:hanging="567"/>
        <w:rPr>
          <w:b/>
          <w:bCs/>
        </w:rPr>
      </w:pPr>
      <w:r w:rsidRPr="00C67E56">
        <w:rPr>
          <w:b/>
          <w:bCs/>
        </w:rPr>
        <w:t>11.</w:t>
      </w:r>
      <w:r w:rsidRPr="00C67E56">
        <w:rPr>
          <w:b/>
          <w:bCs/>
        </w:rPr>
        <w:tab/>
        <w:t>Meddelande från kommissionen: Utmaningen att uppnå en säker olje- och gasverksamhet till havs</w:t>
      </w:r>
    </w:p>
    <w:p w:rsidR="003A0DA4" w:rsidRPr="00C67E56" w:rsidRDefault="003A0DA4" w:rsidP="00EC0AEE">
      <w:pPr>
        <w:spacing w:line="240" w:lineRule="auto"/>
        <w:ind w:left="-567"/>
        <w:rPr>
          <w:i/>
          <w:iCs/>
        </w:rPr>
      </w:pPr>
      <w:r w:rsidRPr="00C67E56">
        <w:rPr>
          <w:i/>
          <w:iCs/>
        </w:rPr>
        <w:t>–</w:t>
      </w:r>
      <w:r w:rsidRPr="00C67E56">
        <w:rPr>
          <w:i/>
          <w:iCs/>
        </w:rPr>
        <w:tab/>
      </w:r>
      <w:r w:rsidRPr="00C67E56">
        <w:rPr>
          <w:i/>
          <w:iCs/>
          <w:color w:val="000000"/>
        </w:rPr>
        <w:t>Antagande av rådets slutsatser</w:t>
      </w:r>
    </w:p>
    <w:p w:rsidR="003A0DA4" w:rsidRPr="00C67E56" w:rsidRDefault="003A0DA4" w:rsidP="00EC0AEE">
      <w:pPr>
        <w:spacing w:line="240" w:lineRule="auto"/>
        <w:ind w:left="-567"/>
      </w:pPr>
      <w:r w:rsidRPr="00C67E56">
        <w:t>14768/10 ENER 280 ENV 688 MARE 2 COMAR 2 PROCIV 124</w:t>
      </w:r>
    </w:p>
    <w:p w:rsidR="003A0DA4" w:rsidRPr="00C67E56" w:rsidRDefault="003A0DA4" w:rsidP="00EC0AEE">
      <w:pPr>
        <w:spacing w:line="240" w:lineRule="auto"/>
        <w:ind w:left="-567"/>
        <w:rPr>
          <w:bCs/>
        </w:rPr>
      </w:pPr>
      <w:r w:rsidRPr="00C67E56">
        <w:rPr>
          <w:bCs/>
        </w:rPr>
        <w:t>16301/10 ENER 330 ENV 771 MARE 5 COMAR 6 PROCIV 149</w:t>
      </w:r>
    </w:p>
    <w:p w:rsidR="003A0DA4" w:rsidRPr="00C67E56" w:rsidRDefault="003A0DA4" w:rsidP="00EC0AEE">
      <w:pPr>
        <w:pStyle w:val="RKnormal"/>
        <w:ind w:left="-567"/>
      </w:pPr>
    </w:p>
    <w:p w:rsidR="003A0DA4" w:rsidRPr="00C67E56" w:rsidRDefault="003A0DA4" w:rsidP="00EC0AEE">
      <w:pPr>
        <w:pStyle w:val="RKnormal"/>
        <w:ind w:left="-567"/>
      </w:pPr>
      <w:r w:rsidRPr="00C67E56">
        <w:t xml:space="preserve">Förslaget har inte tidigare behandlats i EU-nämnden. </w:t>
      </w:r>
    </w:p>
    <w:p w:rsidR="003A0DA4" w:rsidRPr="00C67E56" w:rsidRDefault="003A0DA4" w:rsidP="00EC0AEE">
      <w:pPr>
        <w:spacing w:line="240" w:lineRule="auto"/>
        <w:ind w:left="-567"/>
        <w:rPr>
          <w:bCs/>
          <w:u w:val="single"/>
        </w:rPr>
      </w:pPr>
    </w:p>
    <w:p w:rsidR="003A0DA4" w:rsidRPr="00C67E56" w:rsidRDefault="003A0DA4" w:rsidP="00EC0AEE">
      <w:pPr>
        <w:spacing w:line="240" w:lineRule="auto"/>
        <w:ind w:left="-567"/>
        <w:rPr>
          <w:u w:val="single"/>
        </w:rPr>
      </w:pPr>
      <w:r w:rsidRPr="00C67E56">
        <w:rPr>
          <w:u w:val="single"/>
        </w:rPr>
        <w:t>Bakgrund</w:t>
      </w:r>
    </w:p>
    <w:p w:rsidR="003A0DA4" w:rsidRPr="00C67E56" w:rsidRDefault="003A0DA4" w:rsidP="00EC0AEE">
      <w:pPr>
        <w:ind w:left="-567"/>
      </w:pPr>
      <w:r w:rsidRPr="00C67E56">
        <w:t xml:space="preserve">Bakgrunden till meddelandet är olyckan på oljeplattformen ”Deepwater Horizon”  i den Mexikanska golfen i våras där flera människor förolyckades och som orsakade stora ekologiska och ekonomiska skador. </w:t>
      </w:r>
    </w:p>
    <w:p w:rsidR="003A0DA4" w:rsidRPr="00C67E56" w:rsidRDefault="003A0DA4" w:rsidP="00EC0AEE">
      <w:pPr>
        <w:ind w:left="-567"/>
      </w:pPr>
    </w:p>
    <w:p w:rsidR="003A0DA4" w:rsidRPr="00C67E56" w:rsidRDefault="003A0DA4" w:rsidP="00EC0AEE">
      <w:pPr>
        <w:ind w:left="-567"/>
      </w:pPr>
      <w:r w:rsidRPr="00C67E56">
        <w:t xml:space="preserve">Kommissionen har engagerat sig i frågan och presenterade i oktober ett meddelande om utmaningen om säker utvinning av olja och gas till havs. I meddelandet utvecklar kommissionen hur en liknande olycka i Europa kan förebyggas samt hur de tillgängliga verktygen för att hantera en eventuell olycka kan förbättras. Meddelandet identifierar ett antal åtgärdsområden där revidering av befintlig lagstiftning eller ny lagstiftning kan bli aktuell i framtiden. De åtgärdsområden som identifierats är rutiner för tillståndsförfaranden, myndighetskontroller, hälsa och säkerhet, miljö, produktsäkerhet och katastrofhantering. Kommissionen har aviserat att man kommer att återvända med konkreta förslag till reviderad och /eller ny lagstiftning under 2011.  </w:t>
      </w:r>
    </w:p>
    <w:p w:rsidR="003A0DA4" w:rsidRPr="00C67E56" w:rsidRDefault="003A0DA4" w:rsidP="00EC0AEE">
      <w:pPr>
        <w:ind w:left="-567"/>
      </w:pPr>
    </w:p>
    <w:p w:rsidR="003A0DA4" w:rsidRPr="00C67E56" w:rsidRDefault="003A0DA4" w:rsidP="00EC0AEE">
      <w:pPr>
        <w:ind w:left="-567"/>
        <w:rPr>
          <w:bCs/>
        </w:rPr>
      </w:pPr>
      <w:r w:rsidRPr="00C67E56">
        <w:t xml:space="preserve">Det aktuella förslaget till slutsatser som vid rådsmötet är föremål för beslut välkomnar kommissionens meddelande och uppmärksammar behovet av höga standarder och ett regelverk som förhindrar att en liknande olycka inträffar i Europa. Slutsatserna uppmärksammar samtidigt de höga standards som idag tillämpas i europeiska vatten och det effektiva EU-regelverk som redan finns på plats, men medger att det finns utrymme för ny och reviderad lagstiftning. Slutsatserna betonar också vikten av internationellt samarbete och industrins eget ansvar. </w:t>
      </w:r>
      <w:r w:rsidRPr="00C67E56">
        <w:rPr>
          <w:bCs/>
        </w:rPr>
        <w:t>Behovet av tillräcklig responskapacitet betonas vidare.</w:t>
      </w:r>
    </w:p>
    <w:p w:rsidR="003A0DA4" w:rsidRPr="00C67E56" w:rsidRDefault="003A0DA4" w:rsidP="00EC0AEE">
      <w:pPr>
        <w:pStyle w:val="RKnormal"/>
        <w:ind w:left="-567"/>
      </w:pPr>
    </w:p>
    <w:p w:rsidR="003A0DA4" w:rsidRPr="00C67E56" w:rsidRDefault="003A0DA4" w:rsidP="00EC0AEE">
      <w:pPr>
        <w:ind w:left="-567"/>
        <w:rPr>
          <w:u w:val="single"/>
        </w:rPr>
      </w:pPr>
      <w:r w:rsidRPr="00C67E56">
        <w:rPr>
          <w:u w:val="single"/>
        </w:rPr>
        <w:t>Förslag till svensk ståndpunkt</w:t>
      </w:r>
    </w:p>
    <w:p w:rsidR="003A0DA4" w:rsidRPr="00C67E56" w:rsidRDefault="003A0DA4" w:rsidP="00EC0AEE">
      <w:pPr>
        <w:ind w:left="-567"/>
      </w:pPr>
      <w:r w:rsidRPr="00C67E56">
        <w:t xml:space="preserve">Regeringen anser att det inträffade i den Mexikanska golfen understryker vikten av att den oljeutvinning som sker kringgärdas av höga säkerhets- och miljökrav. </w:t>
      </w:r>
    </w:p>
    <w:p w:rsidR="003A0DA4" w:rsidRPr="00C67E56" w:rsidRDefault="003A0DA4" w:rsidP="00EC0AEE">
      <w:pPr>
        <w:ind w:left="-567"/>
      </w:pPr>
    </w:p>
    <w:p w:rsidR="003A0DA4" w:rsidRPr="00C67E56" w:rsidRDefault="003A0DA4" w:rsidP="00EC0AEE">
      <w:pPr>
        <w:ind w:left="-567"/>
      </w:pPr>
      <w:r w:rsidRPr="00C67E56">
        <w:t>Under förhandlingarna av rådsslutsatserna har regeringen därför agerat för att starka skrivningar i fråga om miljöskydd och säkerhet samt bevakat att skrivningar med hänvisning till internationellt samarbete i dessa frågor inkluderas. Regeringen välkomnar också att kommissionen uppmanas presentera konkreta initiativ senast under 2011. Regeringen anser att utkastet väl reflekterar vikten av höga standarder för utvinning av olja och gas till havs och kan därför stödja förslaget till rådslutsatser.</w:t>
      </w:r>
    </w:p>
    <w:p w:rsidR="003A0DA4" w:rsidRPr="00C67E56" w:rsidRDefault="003A0DA4" w:rsidP="00EC0AEE">
      <w:pPr>
        <w:ind w:left="-567"/>
      </w:pPr>
    </w:p>
    <w:p w:rsidR="003A0DA4" w:rsidRPr="00C67E56" w:rsidRDefault="003A0DA4" w:rsidP="00EC0AEE">
      <w:pPr>
        <w:ind w:left="-567"/>
        <w:rPr>
          <w:i/>
          <w:iCs/>
        </w:rPr>
      </w:pPr>
      <w:r w:rsidRPr="00C67E56">
        <w:rPr>
          <w:i/>
          <w:iCs/>
        </w:rPr>
        <w:t>Se vidare rådspromemoria</w:t>
      </w:r>
    </w:p>
    <w:p w:rsidR="003A0DA4" w:rsidRPr="00C67E56" w:rsidRDefault="003A0DA4" w:rsidP="00EC0AEE">
      <w:pPr>
        <w:spacing w:line="240" w:lineRule="auto"/>
        <w:ind w:left="-567"/>
        <w:rPr>
          <w:bCs/>
          <w:u w:val="single"/>
        </w:rPr>
      </w:pPr>
    </w:p>
    <w:p w:rsidR="003A0DA4" w:rsidRPr="00C67E56" w:rsidRDefault="003A0DA4" w:rsidP="00EC0AEE">
      <w:pPr>
        <w:spacing w:line="240" w:lineRule="auto"/>
        <w:ind w:left="-567"/>
        <w:rPr>
          <w:bCs/>
          <w:u w:val="single"/>
        </w:rPr>
      </w:pPr>
    </w:p>
    <w:p w:rsidR="003A0DA4" w:rsidRPr="00C67E56" w:rsidRDefault="003A0DA4" w:rsidP="00EC0AEE">
      <w:pPr>
        <w:spacing w:line="240" w:lineRule="auto"/>
        <w:ind w:left="-567"/>
        <w:rPr>
          <w:b/>
          <w:bCs/>
        </w:rPr>
      </w:pPr>
      <w:r w:rsidRPr="00C67E56">
        <w:rPr>
          <w:b/>
          <w:bCs/>
        </w:rPr>
        <w:t>12.</w:t>
      </w:r>
      <w:r w:rsidRPr="00C67E56">
        <w:rPr>
          <w:b/>
          <w:bCs/>
        </w:rPr>
        <w:tab/>
        <w:t>Mot en ny energistrategi för Europa 2011–2020</w:t>
      </w:r>
    </w:p>
    <w:p w:rsidR="003A0DA4" w:rsidRPr="00C67E56" w:rsidRDefault="003A0DA4" w:rsidP="00EC0AEE">
      <w:pPr>
        <w:spacing w:line="240" w:lineRule="auto"/>
        <w:ind w:left="-567" w:hanging="567"/>
        <w:rPr>
          <w:b/>
          <w:bCs/>
        </w:rPr>
      </w:pPr>
      <w:r w:rsidRPr="00C67E56">
        <w:rPr>
          <w:b/>
          <w:bCs/>
          <w:szCs w:val="24"/>
        </w:rPr>
        <w:t>a)</w:t>
      </w:r>
      <w:r w:rsidRPr="00C67E56">
        <w:rPr>
          <w:b/>
          <w:bCs/>
          <w:szCs w:val="24"/>
        </w:rPr>
        <w:tab/>
      </w:r>
      <w:r w:rsidRPr="00C67E56">
        <w:rPr>
          <w:b/>
          <w:bCs/>
        </w:rPr>
        <w:t>Meddelande från kommissionen "Energi 2020: En strategi för hållbar och trygg energiförsörjning på en konkurrensutsatt marknad"</w:t>
      </w:r>
    </w:p>
    <w:p w:rsidR="003A0DA4" w:rsidRPr="00C67E56" w:rsidRDefault="003A0DA4" w:rsidP="00EC0AEE">
      <w:pPr>
        <w:spacing w:line="240" w:lineRule="auto"/>
        <w:ind w:left="-567"/>
        <w:rPr>
          <w:szCs w:val="24"/>
        </w:rPr>
      </w:pPr>
      <w:r w:rsidRPr="00C67E56">
        <w:rPr>
          <w:szCs w:val="24"/>
        </w:rPr>
        <w:t>16096/10 ENER 312 ENV 758 COMPET 346 POLGEN 181</w:t>
      </w:r>
    </w:p>
    <w:p w:rsidR="003A0DA4" w:rsidRPr="00C67E56" w:rsidRDefault="003A0DA4" w:rsidP="00EC0AEE">
      <w:pPr>
        <w:spacing w:line="240" w:lineRule="auto"/>
        <w:ind w:left="-567"/>
        <w:rPr>
          <w:szCs w:val="24"/>
        </w:rPr>
      </w:pPr>
    </w:p>
    <w:p w:rsidR="003A0DA4" w:rsidRPr="00C67E56" w:rsidRDefault="003A0DA4" w:rsidP="00EC0AEE">
      <w:pPr>
        <w:spacing w:line="240" w:lineRule="auto"/>
        <w:ind w:left="-567" w:hanging="567"/>
        <w:rPr>
          <w:b/>
          <w:bCs/>
          <w:szCs w:val="24"/>
        </w:rPr>
      </w:pPr>
      <w:r w:rsidRPr="00C67E56">
        <w:rPr>
          <w:b/>
          <w:bCs/>
          <w:szCs w:val="24"/>
        </w:rPr>
        <w:t>b)</w:t>
      </w:r>
      <w:r w:rsidRPr="00C67E56">
        <w:rPr>
          <w:b/>
          <w:bCs/>
          <w:szCs w:val="24"/>
        </w:rPr>
        <w:tab/>
      </w:r>
      <w:r w:rsidRPr="00C67E56">
        <w:rPr>
          <w:b/>
          <w:bCs/>
        </w:rPr>
        <w:t>Meddelande från kommissionen om prioriteringar för energiinfrastrukturen för år 2020 och därefter</w:t>
      </w:r>
    </w:p>
    <w:p w:rsidR="003A0DA4" w:rsidRPr="00C67E56" w:rsidRDefault="003A0DA4" w:rsidP="00EC0AEE">
      <w:pPr>
        <w:spacing w:line="240" w:lineRule="auto"/>
        <w:ind w:left="-567"/>
        <w:rPr>
          <w:b/>
          <w:bCs/>
          <w:szCs w:val="24"/>
        </w:rPr>
      </w:pPr>
      <w:r w:rsidRPr="00C67E56">
        <w:rPr>
          <w:b/>
          <w:bCs/>
          <w:szCs w:val="24"/>
        </w:rPr>
        <w:t>16302/10 ENER 331</w:t>
      </w:r>
    </w:p>
    <w:p w:rsidR="003A0DA4" w:rsidRPr="00C67E56" w:rsidRDefault="003A0DA4" w:rsidP="00EC0AEE">
      <w:pPr>
        <w:spacing w:line="240" w:lineRule="auto"/>
        <w:ind w:left="-567"/>
        <w:rPr>
          <w:szCs w:val="24"/>
        </w:rPr>
      </w:pPr>
    </w:p>
    <w:p w:rsidR="003A0DA4" w:rsidRPr="00C67E56" w:rsidRDefault="003A0DA4" w:rsidP="00EC0AEE">
      <w:pPr>
        <w:spacing w:line="240" w:lineRule="auto"/>
        <w:ind w:left="-567"/>
        <w:rPr>
          <w:i/>
          <w:iCs/>
          <w:szCs w:val="24"/>
        </w:rPr>
      </w:pPr>
      <w:r w:rsidRPr="00C67E56">
        <w:rPr>
          <w:i/>
          <w:iCs/>
          <w:szCs w:val="24"/>
        </w:rPr>
        <w:t>–</w:t>
      </w:r>
      <w:r w:rsidRPr="00C67E56">
        <w:rPr>
          <w:i/>
          <w:iCs/>
          <w:szCs w:val="24"/>
        </w:rPr>
        <w:tab/>
        <w:t xml:space="preserve">Föredragning av kommissionen </w:t>
      </w:r>
    </w:p>
    <w:p w:rsidR="003A0DA4" w:rsidRPr="00C67E56" w:rsidRDefault="003A0DA4" w:rsidP="00EC0AEE">
      <w:pPr>
        <w:spacing w:line="240" w:lineRule="auto"/>
        <w:ind w:left="-567"/>
        <w:rPr>
          <w:i/>
          <w:iCs/>
          <w:szCs w:val="24"/>
        </w:rPr>
      </w:pPr>
      <w:r w:rsidRPr="00C67E56">
        <w:rPr>
          <w:i/>
          <w:iCs/>
          <w:szCs w:val="24"/>
        </w:rPr>
        <w:t>–</w:t>
      </w:r>
      <w:r w:rsidRPr="00C67E56">
        <w:rPr>
          <w:i/>
          <w:iCs/>
          <w:szCs w:val="24"/>
        </w:rPr>
        <w:tab/>
      </w:r>
      <w:r w:rsidRPr="00C67E56">
        <w:rPr>
          <w:i/>
          <w:iCs/>
          <w:color w:val="000000"/>
        </w:rPr>
        <w:t>Riktlinjedebatt</w:t>
      </w:r>
      <w:r w:rsidRPr="00C67E56">
        <w:rPr>
          <w:i/>
          <w:iCs/>
          <w:szCs w:val="24"/>
        </w:rPr>
        <w:t xml:space="preserve"> inför Europeiska rådet i februari</w:t>
      </w:r>
    </w:p>
    <w:p w:rsidR="003A0DA4" w:rsidRPr="00C67E56" w:rsidRDefault="003A0DA4" w:rsidP="00EC0AEE">
      <w:pPr>
        <w:spacing w:line="240" w:lineRule="auto"/>
        <w:ind w:left="-567"/>
      </w:pPr>
      <w:r w:rsidRPr="00C67E56">
        <w:t>16303/10 ENER 332 ENV 772 COMPET 364 POLGEN 188</w:t>
      </w:r>
    </w:p>
    <w:p w:rsidR="003A0DA4" w:rsidRPr="00C67E56" w:rsidRDefault="003A0DA4" w:rsidP="00EC0AEE">
      <w:pPr>
        <w:pStyle w:val="RKnormal"/>
        <w:ind w:left="-567"/>
      </w:pPr>
    </w:p>
    <w:p w:rsidR="003A0DA4" w:rsidRPr="00C67E56" w:rsidRDefault="003A0DA4" w:rsidP="00EC0AEE">
      <w:pPr>
        <w:pStyle w:val="RKnormal"/>
        <w:ind w:left="-567"/>
      </w:pPr>
      <w:r w:rsidRPr="00C67E56">
        <w:t xml:space="preserve">Frågan har inte tidigare behandlats i EU-nämnden. </w:t>
      </w:r>
    </w:p>
    <w:p w:rsidR="003A0DA4" w:rsidRPr="00C67E56" w:rsidRDefault="003A0DA4" w:rsidP="00EC0AEE">
      <w:pPr>
        <w:spacing w:line="240" w:lineRule="auto"/>
        <w:ind w:left="-567"/>
        <w:rPr>
          <w:u w:val="single"/>
        </w:rPr>
      </w:pPr>
    </w:p>
    <w:p w:rsidR="003A0DA4" w:rsidRPr="00C67E56" w:rsidRDefault="003A0DA4" w:rsidP="00EC0AEE">
      <w:pPr>
        <w:spacing w:line="240" w:lineRule="auto"/>
        <w:ind w:left="-567"/>
        <w:rPr>
          <w:u w:val="single"/>
        </w:rPr>
      </w:pPr>
    </w:p>
    <w:p w:rsidR="003A0DA4" w:rsidRPr="00C67E56" w:rsidRDefault="003A0DA4" w:rsidP="00EC0AEE">
      <w:pPr>
        <w:spacing w:line="240" w:lineRule="auto"/>
        <w:ind w:left="-567"/>
        <w:rPr>
          <w:u w:val="single"/>
        </w:rPr>
      </w:pPr>
      <w:r w:rsidRPr="00C67E56">
        <w:rPr>
          <w:u w:val="single"/>
        </w:rPr>
        <w:t>Bakgrund</w:t>
      </w:r>
    </w:p>
    <w:p w:rsidR="003A0DA4" w:rsidRPr="00C67E56" w:rsidRDefault="003A0DA4" w:rsidP="00EC0AEE">
      <w:pPr>
        <w:pStyle w:val="RKnormal"/>
        <w:ind w:left="-567"/>
      </w:pPr>
      <w:r w:rsidRPr="00C67E56">
        <w:t xml:space="preserve">Vid Europeiska rådets vårtoppmöte 2007 antogs förutom de s.k. 20-20-20-målen också en energipolitisk handlingsplan för åren 2007-2009. Redan då utpekades vårtoppmötet 2010 som nästa anhalt då en ny energipolitisk handlingsplan skulle antas. Den nya kommissionen kom emellertid på plats för sent för att det skulle vara möjligt att ta fram en ny strategi och hinna anta en sådan före vårtoppmötet, varför man nu har skjutit på den strategiska diskussionen till 2011. Ett utkast till ny övergripande energipolitisk strategi, liksom ett meddelande om infrastrukturprioriteringar för 2020 och 2030 kommer att utgöra grunden för diskussionen. Den övergripande energistrategin presenterades den 10 november och infrastrukturmeddelandet den 17 november. </w:t>
      </w:r>
    </w:p>
    <w:p w:rsidR="003A0DA4" w:rsidRPr="00C67E56" w:rsidRDefault="003A0DA4" w:rsidP="00EC0AEE">
      <w:pPr>
        <w:pStyle w:val="RKnormal"/>
        <w:ind w:left="-567"/>
      </w:pPr>
    </w:p>
    <w:p w:rsidR="003A0DA4" w:rsidRPr="00C67E56" w:rsidRDefault="003A0DA4" w:rsidP="00EC0AEE">
      <w:pPr>
        <w:pStyle w:val="RKnormal"/>
        <w:ind w:left="-567"/>
        <w:rPr>
          <w:i/>
        </w:rPr>
      </w:pPr>
      <w:r w:rsidRPr="00C67E56">
        <w:t xml:space="preserve">I Energistrategin föreslås åtgärder inom fem prioriterade områden för de kommande tio åren: </w:t>
      </w:r>
      <w:r w:rsidRPr="00C67E56">
        <w:rPr>
          <w:i/>
        </w:rPr>
        <w:t xml:space="preserve">Energieffektivisering, en integrerad marknad, konkurrenskraftiga priser och trygg energiförsörjning, främja tekniskt ledarskap samt effektiva förhandlingar med våra internationella partner. </w:t>
      </w:r>
      <w:r w:rsidRPr="00C67E56">
        <w:t xml:space="preserve">Infrastrukturmeddelandet ger en mer fördjupad analys och beskrivning av förslagen inom infrastrukturområdet. </w:t>
      </w:r>
    </w:p>
    <w:p w:rsidR="003A0DA4" w:rsidRPr="00C67E56" w:rsidRDefault="003A0DA4" w:rsidP="00EC0AEE">
      <w:pPr>
        <w:pStyle w:val="RKnormal"/>
        <w:ind w:left="-567"/>
      </w:pPr>
    </w:p>
    <w:p w:rsidR="003A0DA4" w:rsidRPr="00C67E56" w:rsidRDefault="003A0DA4" w:rsidP="00EC0AEE">
      <w:pPr>
        <w:pStyle w:val="RKnormal"/>
        <w:ind w:left="-567"/>
      </w:pPr>
      <w:r w:rsidRPr="00C67E56">
        <w:t>Dessa meddelanden är tänkta att utgöra underlag för diskussion vid Europeiska rådets möte den 4 februari. Energiministrarna väntas hålla en policydebatt om dessa båda meddelanden, med syfte att spela in till Europeiska rådets diskussion. Diskussionen är tänkt att hållas utifrån vägledande frågor, där ett sent utkast anlänt från ordförandeskapet. Utkastet till frågor lägger omotiverat stor tyngd på ordförandeskapets prioritering konsumentfrågor och kan komma att bli föremål för diskussion och ändringar i Coreper.</w:t>
      </w:r>
    </w:p>
    <w:p w:rsidR="003A0DA4" w:rsidRPr="00C67E56" w:rsidRDefault="003A0DA4" w:rsidP="00EC0AEE">
      <w:pPr>
        <w:pStyle w:val="RKnormal"/>
        <w:ind w:left="-567"/>
      </w:pPr>
    </w:p>
    <w:p w:rsidR="003A0DA4" w:rsidRPr="00C67E56" w:rsidRDefault="003A0DA4" w:rsidP="00EC0AEE">
      <w:pPr>
        <w:pStyle w:val="RKnormal"/>
        <w:ind w:left="-567"/>
      </w:pPr>
    </w:p>
    <w:p w:rsidR="003A0DA4" w:rsidRPr="00C67E56" w:rsidRDefault="003A0DA4" w:rsidP="00EC0AEE">
      <w:pPr>
        <w:ind w:left="-567"/>
        <w:rPr>
          <w:u w:val="single"/>
        </w:rPr>
      </w:pPr>
      <w:r w:rsidRPr="00C67E56">
        <w:rPr>
          <w:u w:val="single"/>
        </w:rPr>
        <w:t>Förslag till svensk ståndpunkt</w:t>
      </w:r>
    </w:p>
    <w:p w:rsidR="003A0DA4" w:rsidRPr="00C67E56" w:rsidRDefault="003A0DA4" w:rsidP="00EC0AEE">
      <w:pPr>
        <w:pStyle w:val="RKnormal"/>
        <w:ind w:left="-567"/>
      </w:pPr>
      <w:r w:rsidRPr="00C67E56">
        <w:t xml:space="preserve">Regeringen välkomnar allmänt att strategins fem prioriteringar speglar energipolitikens samtliga grundpelare; konkurrenskraft, försörjningstrygghet och hållbarhet. Denna breda ansats bör även vara utgångspunkt för diskussionen vid energitoppmötet i februari. </w:t>
      </w:r>
    </w:p>
    <w:p w:rsidR="003A0DA4" w:rsidRPr="00C67E56" w:rsidRDefault="003A0DA4" w:rsidP="00EC0AEE">
      <w:pPr>
        <w:pStyle w:val="RKnormal"/>
        <w:ind w:left="-567"/>
      </w:pPr>
    </w:p>
    <w:p w:rsidR="003A0DA4" w:rsidRPr="00C67E56" w:rsidRDefault="003A0DA4" w:rsidP="00EC0AEE">
      <w:pPr>
        <w:pStyle w:val="RKnormal"/>
        <w:ind w:left="-567"/>
      </w:pPr>
      <w:r w:rsidRPr="00C67E56">
        <w:t>EU-diskussionen har annars på senare tid präglats av starkt fokus på infrastrukturutbyggnad. Regeringen menar att det inte bara är infrastrukturfrågan som är kritisk för att uppnå de energipolitiska målen. En långsiktig och framåtsyftande energistrategi måste leda till uppfyllnad av redan fastslagna klimat- och energi mål till 2020 respektive 2050.</w:t>
      </w:r>
    </w:p>
    <w:p w:rsidR="003A0DA4" w:rsidRPr="00C67E56" w:rsidRDefault="003A0DA4" w:rsidP="00EC0AEE">
      <w:pPr>
        <w:pStyle w:val="RKnormal"/>
        <w:ind w:left="-567"/>
      </w:pPr>
    </w:p>
    <w:p w:rsidR="003A0DA4" w:rsidRPr="00C67E56" w:rsidRDefault="003A0DA4" w:rsidP="00EC0AEE">
      <w:pPr>
        <w:pStyle w:val="RKnormal"/>
        <w:ind w:left="-567"/>
      </w:pPr>
      <w:r w:rsidRPr="00C67E56">
        <w:t>Sverige ställer sig frågande till många av strategins förslag till främjande av infrastrukturinvesteringar. Huvudprincipen att marknaden ansvarar för beslut om och finansiering av infrastruktur bör vidhållas även i ett nytt infrastrukturinstrument. Regeringen menar att EU-medel kan göra större nytta i utveckling och spridning av innovativ och hållbar teknologi än i avgiftsfinansierad infrastruktur.</w:t>
      </w:r>
    </w:p>
    <w:p w:rsidR="003A0DA4" w:rsidRPr="00C67E56" w:rsidRDefault="003A0DA4" w:rsidP="00EC0AEE">
      <w:pPr>
        <w:pStyle w:val="RKnormal"/>
        <w:ind w:left="-567"/>
      </w:pPr>
    </w:p>
    <w:p w:rsidR="003A0DA4" w:rsidRPr="00C67E56" w:rsidRDefault="003A0DA4" w:rsidP="00EC0AEE">
      <w:pPr>
        <w:ind w:left="-567"/>
        <w:rPr>
          <w:i/>
          <w:iCs/>
        </w:rPr>
      </w:pPr>
      <w:r w:rsidRPr="00C67E56">
        <w:rPr>
          <w:i/>
          <w:iCs/>
        </w:rPr>
        <w:t>Se vidare rådspromemoria</w:t>
      </w:r>
    </w:p>
    <w:p w:rsidR="003A0DA4" w:rsidRPr="00C67E56" w:rsidRDefault="003A0DA4" w:rsidP="00EC0AEE">
      <w:pPr>
        <w:spacing w:line="240" w:lineRule="auto"/>
        <w:ind w:left="-567"/>
      </w:pPr>
    </w:p>
    <w:p w:rsidR="003A0DA4" w:rsidRPr="00C67E56" w:rsidRDefault="003A0DA4" w:rsidP="00EC0AEE">
      <w:pPr>
        <w:spacing w:line="240" w:lineRule="auto"/>
        <w:ind w:left="-567"/>
      </w:pPr>
    </w:p>
    <w:p w:rsidR="003A0DA4" w:rsidRPr="00C67E56" w:rsidRDefault="003A0DA4" w:rsidP="00EC0AEE">
      <w:pPr>
        <w:spacing w:line="240" w:lineRule="auto"/>
        <w:ind w:left="-567"/>
        <w:rPr>
          <w:b/>
          <w:bCs/>
          <w:color w:val="000000"/>
        </w:rPr>
      </w:pPr>
      <w:r w:rsidRPr="00C67E56">
        <w:rPr>
          <w:b/>
          <w:bCs/>
        </w:rPr>
        <w:t>13.</w:t>
      </w:r>
      <w:r w:rsidRPr="00C67E56">
        <w:rPr>
          <w:b/>
          <w:bCs/>
        </w:rPr>
        <w:tab/>
      </w:r>
      <w:r w:rsidRPr="00C67E56">
        <w:rPr>
          <w:b/>
          <w:bCs/>
          <w:color w:val="000000"/>
        </w:rPr>
        <w:t>Internationella förbindelser på energiområdet</w:t>
      </w:r>
    </w:p>
    <w:p w:rsidR="003A0DA4" w:rsidRPr="00C67E56" w:rsidRDefault="003A0DA4" w:rsidP="00EC0AEE">
      <w:pPr>
        <w:spacing w:line="240" w:lineRule="auto"/>
        <w:ind w:left="-567"/>
        <w:rPr>
          <w:b/>
          <w:bCs/>
        </w:rPr>
      </w:pPr>
    </w:p>
    <w:p w:rsidR="003A0DA4" w:rsidRPr="00C67E56" w:rsidRDefault="003A0DA4" w:rsidP="00EC0AEE">
      <w:pPr>
        <w:spacing w:line="240" w:lineRule="auto"/>
        <w:ind w:left="-567"/>
        <w:rPr>
          <w:b/>
          <w:bCs/>
        </w:rPr>
      </w:pPr>
      <w:r w:rsidRPr="00C67E56">
        <w:rPr>
          <w:b/>
          <w:bCs/>
        </w:rPr>
        <w:t>a)</w:t>
      </w:r>
      <w:r w:rsidRPr="00C67E56">
        <w:rPr>
          <w:b/>
          <w:bCs/>
        </w:rPr>
        <w:tab/>
        <w:t>USA</w:t>
      </w:r>
    </w:p>
    <w:p w:rsidR="003A0DA4" w:rsidRPr="00C67E56" w:rsidRDefault="003A0DA4" w:rsidP="00EC0AEE">
      <w:pPr>
        <w:spacing w:line="240" w:lineRule="auto"/>
        <w:ind w:left="-567"/>
        <w:rPr>
          <w:b/>
          <w:bCs/>
        </w:rPr>
      </w:pPr>
      <w:r w:rsidRPr="00C67E56">
        <w:rPr>
          <w:b/>
          <w:bCs/>
        </w:rPr>
        <w:t>b)</w:t>
      </w:r>
      <w:r w:rsidRPr="00C67E56">
        <w:rPr>
          <w:b/>
          <w:bCs/>
        </w:rPr>
        <w:tab/>
        <w:t>Energigemenskapen</w:t>
      </w:r>
    </w:p>
    <w:p w:rsidR="003A0DA4" w:rsidRPr="00C67E56" w:rsidRDefault="003A0DA4" w:rsidP="00EC0AEE">
      <w:pPr>
        <w:spacing w:line="240" w:lineRule="auto"/>
        <w:ind w:left="-567"/>
        <w:rPr>
          <w:b/>
          <w:bCs/>
        </w:rPr>
      </w:pPr>
      <w:r w:rsidRPr="00C67E56">
        <w:rPr>
          <w:b/>
          <w:bCs/>
        </w:rPr>
        <w:t>c)</w:t>
      </w:r>
      <w:r w:rsidRPr="00C67E56">
        <w:rPr>
          <w:b/>
          <w:bCs/>
        </w:rPr>
        <w:tab/>
      </w:r>
      <w:r w:rsidRPr="00C67E56">
        <w:rPr>
          <w:b/>
          <w:bCs/>
          <w:color w:val="000000"/>
        </w:rPr>
        <w:t>Det östliga partnerskapet</w:t>
      </w:r>
    </w:p>
    <w:p w:rsidR="003A0DA4" w:rsidRPr="00C67E56" w:rsidRDefault="003A0DA4" w:rsidP="00EC0AEE">
      <w:pPr>
        <w:spacing w:line="240" w:lineRule="auto"/>
        <w:ind w:left="-567"/>
        <w:rPr>
          <w:b/>
          <w:bCs/>
        </w:rPr>
      </w:pPr>
      <w:r w:rsidRPr="00C67E56">
        <w:rPr>
          <w:b/>
          <w:bCs/>
        </w:rPr>
        <w:t>d)</w:t>
      </w:r>
      <w:r w:rsidRPr="00C67E56">
        <w:rPr>
          <w:b/>
          <w:bCs/>
        </w:rPr>
        <w:tab/>
        <w:t>Ryssland</w:t>
      </w:r>
    </w:p>
    <w:p w:rsidR="003A0DA4" w:rsidRPr="00C67E56" w:rsidRDefault="003A0DA4" w:rsidP="00EC0AEE">
      <w:pPr>
        <w:spacing w:line="240" w:lineRule="auto"/>
        <w:ind w:left="-567"/>
        <w:rPr>
          <w:b/>
          <w:bCs/>
          <w:color w:val="000000"/>
          <w:szCs w:val="24"/>
        </w:rPr>
      </w:pPr>
      <w:r w:rsidRPr="00C67E56">
        <w:rPr>
          <w:b/>
          <w:bCs/>
        </w:rPr>
        <w:t>e)</w:t>
      </w:r>
      <w:r w:rsidRPr="00C67E56">
        <w:rPr>
          <w:b/>
          <w:bCs/>
        </w:rPr>
        <w:tab/>
        <w:t>Övriga</w:t>
      </w:r>
    </w:p>
    <w:p w:rsidR="003A0DA4" w:rsidRPr="00C67E56" w:rsidRDefault="003A0DA4" w:rsidP="00EC0AEE">
      <w:pPr>
        <w:spacing w:line="240" w:lineRule="auto"/>
        <w:ind w:left="-567"/>
        <w:rPr>
          <w:i/>
          <w:iCs/>
          <w:color w:val="000000"/>
          <w:szCs w:val="24"/>
        </w:rPr>
      </w:pPr>
      <w:r w:rsidRPr="00C67E56">
        <w:rPr>
          <w:i/>
          <w:iCs/>
        </w:rPr>
        <w:t>–</w:t>
      </w:r>
      <w:r w:rsidRPr="00C67E56">
        <w:rPr>
          <w:i/>
          <w:iCs/>
        </w:rPr>
        <w:tab/>
        <w:t>Information från kommissionen och ordförandeskapet</w:t>
      </w:r>
    </w:p>
    <w:p w:rsidR="003A0DA4" w:rsidRPr="00C67E56" w:rsidRDefault="003A0DA4" w:rsidP="00EC0AEE">
      <w:pPr>
        <w:spacing w:line="240" w:lineRule="auto"/>
        <w:ind w:left="-567"/>
        <w:rPr>
          <w:szCs w:val="24"/>
        </w:rPr>
      </w:pPr>
      <w:r w:rsidRPr="00C67E56">
        <w:rPr>
          <w:szCs w:val="24"/>
        </w:rPr>
        <w:t>16192/10 ENER 324 RELEX 955</w:t>
      </w:r>
    </w:p>
    <w:p w:rsidR="003A0DA4" w:rsidRPr="00C67E56" w:rsidRDefault="003A0DA4" w:rsidP="00EC0AEE">
      <w:pPr>
        <w:spacing w:line="240" w:lineRule="auto"/>
        <w:ind w:left="-567"/>
      </w:pPr>
    </w:p>
    <w:p w:rsidR="003A0DA4" w:rsidRPr="00C67E56" w:rsidRDefault="003A0DA4" w:rsidP="00EC0AEE">
      <w:pPr>
        <w:pStyle w:val="RKnormal"/>
        <w:ind w:left="-567"/>
        <w:rPr>
          <w:u w:val="single"/>
        </w:rPr>
      </w:pPr>
      <w:r w:rsidRPr="00C67E56">
        <w:rPr>
          <w:u w:val="single"/>
        </w:rPr>
        <w:t>Bakgrund</w:t>
      </w:r>
    </w:p>
    <w:p w:rsidR="003A0DA4" w:rsidRPr="00C67E56" w:rsidRDefault="003A0DA4" w:rsidP="00EC0AEE">
      <w:pPr>
        <w:ind w:left="-567"/>
      </w:pPr>
      <w:r w:rsidRPr="00C67E56">
        <w:t xml:space="preserve">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rapportera om nyliga och kommande internationella möten. </w:t>
      </w:r>
    </w:p>
    <w:p w:rsidR="003A0DA4" w:rsidRPr="00C67E56" w:rsidRDefault="003A0DA4" w:rsidP="00EC0AEE">
      <w:pPr>
        <w:pStyle w:val="RKnormal"/>
        <w:ind w:left="-567"/>
      </w:pPr>
    </w:p>
    <w:p w:rsidR="003A0DA4" w:rsidRPr="00C67E56" w:rsidRDefault="003A0DA4" w:rsidP="00EC0AEE">
      <w:pPr>
        <w:pStyle w:val="RKnormal"/>
        <w:ind w:left="-567"/>
        <w:rPr>
          <w:b/>
          <w:i/>
        </w:rPr>
      </w:pPr>
      <w:r w:rsidRPr="00C67E56">
        <w:rPr>
          <w:b/>
          <w:i/>
        </w:rPr>
        <w:t>a) Energirådet EU-USA</w:t>
      </w:r>
    </w:p>
    <w:p w:rsidR="003A0DA4" w:rsidRPr="00C67E56" w:rsidRDefault="003A0DA4" w:rsidP="00EC0AEE">
      <w:pPr>
        <w:pStyle w:val="RKnormal"/>
        <w:ind w:left="-567"/>
      </w:pPr>
      <w:r w:rsidRPr="00C67E56">
        <w:t>Ett gemensamt energiråd för EU-USA lanserades i samband med toppmötet mellan EU och USA i Washington under Sveriges EU-ordförandeskap hösten 2009. Energirådet ska bidra till att stärka den transatlantiska dialogen i frågor som rör globala marknader, forskning och policy. Målet för rådet är att årligen träffas på ministernivå för att lyfta fram det arbete som pågår löpande i de tre arbetsgrupperna (</w:t>
      </w:r>
      <w:r w:rsidRPr="00C67E56">
        <w:rPr>
          <w:i/>
        </w:rPr>
        <w:t>energisäkerhet</w:t>
      </w:r>
      <w:r w:rsidRPr="00C67E56">
        <w:t xml:space="preserve">, </w:t>
      </w:r>
      <w:r w:rsidRPr="00C67E56">
        <w:rPr>
          <w:i/>
        </w:rPr>
        <w:t>forskning</w:t>
      </w:r>
      <w:r w:rsidRPr="00C67E56">
        <w:t xml:space="preserve"> och </w:t>
      </w:r>
      <w:r w:rsidRPr="00C67E56">
        <w:rPr>
          <w:i/>
        </w:rPr>
        <w:t>energipolicy</w:t>
      </w:r>
      <w:r w:rsidRPr="00C67E56">
        <w:t xml:space="preserve">). </w:t>
      </w:r>
    </w:p>
    <w:p w:rsidR="003A0DA4" w:rsidRPr="00C67E56" w:rsidRDefault="003A0DA4" w:rsidP="00EC0AEE">
      <w:pPr>
        <w:pStyle w:val="RKnormal"/>
        <w:ind w:left="-567"/>
      </w:pPr>
    </w:p>
    <w:p w:rsidR="003A0DA4" w:rsidRPr="00C67E56" w:rsidRDefault="003A0DA4" w:rsidP="00EC0AEE">
      <w:pPr>
        <w:pStyle w:val="RKnormal"/>
        <w:ind w:left="-567"/>
      </w:pPr>
      <w:r w:rsidRPr="00C67E56">
        <w:t xml:space="preserve">Den 19 november träffades parterna i samband med toppmötet mellan EU-USA i Lissabon. Detta är det andra Energirådet som ägt rum sedan lanseringen 2009.  Vid mötet gavs Energirådet i uppgift att till juni 2011 ta fram en rapport i vilken man redogör för hur rådet bidragit till fördjupat samarbete. Energirådet uppmärksammade också den elbilsworkshop som Sverige arrangerade tillsammans med kommissionen, det belgiska ordförandeskapet och USA. Denna hölls i Bryssel den 17 november och från svensk sida deltog statssekreterare Daniel Johansson. </w:t>
      </w:r>
    </w:p>
    <w:p w:rsidR="003A0DA4" w:rsidRPr="00C67E56" w:rsidRDefault="003A0DA4" w:rsidP="00EC0AEE">
      <w:pPr>
        <w:ind w:left="-567"/>
      </w:pPr>
    </w:p>
    <w:p w:rsidR="003A0DA4" w:rsidRPr="00C67E56" w:rsidRDefault="003A0DA4" w:rsidP="00EC0AEE">
      <w:pPr>
        <w:ind w:left="-567"/>
        <w:rPr>
          <w:b/>
          <w:i/>
        </w:rPr>
      </w:pPr>
      <w:r w:rsidRPr="00C67E56">
        <w:rPr>
          <w:b/>
          <w:i/>
        </w:rPr>
        <w:t>b) Energigemenskapen i sydöstra Europa</w:t>
      </w:r>
    </w:p>
    <w:p w:rsidR="003A0DA4" w:rsidRPr="00C67E56" w:rsidRDefault="003A0DA4" w:rsidP="00EC0AEE">
      <w:pPr>
        <w:ind w:left="-567"/>
      </w:pPr>
      <w:r w:rsidRPr="00C67E56">
        <w:t xml:space="preserve">Energigemenskapen i sydöstra Europa är ett samarbete mellan ett antal länder på västra Balkan och EU som syftar till att medlemsländerna i EU:s närområde ska implementera EU:s </w:t>
      </w:r>
      <w:r w:rsidRPr="00C67E56">
        <w:rPr>
          <w:i/>
        </w:rPr>
        <w:t xml:space="preserve">aquis </w:t>
      </w:r>
      <w:r w:rsidRPr="00C67E56">
        <w:t>på energiområdet i sin lagstiftning. Kommissionen kommer sannolikt att informera om att Ukraina den 24 september undertecknade fördraget om inträde i Energigemenskapen.</w:t>
      </w:r>
    </w:p>
    <w:p w:rsidR="003A0DA4" w:rsidRPr="00C67E56" w:rsidRDefault="003A0DA4" w:rsidP="00EC0AEE">
      <w:pPr>
        <w:ind w:left="-567"/>
        <w:rPr>
          <w:iCs/>
        </w:rPr>
      </w:pPr>
    </w:p>
    <w:p w:rsidR="003A0DA4" w:rsidRPr="00C67E56" w:rsidRDefault="003A0DA4" w:rsidP="00EC0AEE">
      <w:pPr>
        <w:ind w:left="-567"/>
        <w:rPr>
          <w:b/>
          <w:i/>
          <w:iCs/>
        </w:rPr>
      </w:pPr>
      <w:r w:rsidRPr="00C67E56">
        <w:rPr>
          <w:b/>
          <w:i/>
          <w:iCs/>
        </w:rPr>
        <w:t>c) Östliga partnerskapet</w:t>
      </w:r>
    </w:p>
    <w:p w:rsidR="003A0DA4" w:rsidRPr="00C67E56" w:rsidRDefault="003A0DA4" w:rsidP="00EC0AEE">
      <w:pPr>
        <w:pStyle w:val="RKnormal"/>
        <w:ind w:left="-567"/>
        <w:rPr>
          <w:lang w:eastAsia="sv-SE"/>
        </w:rPr>
      </w:pPr>
      <w:r w:rsidRPr="00C67E56">
        <w:rPr>
          <w:lang w:eastAsia="sv-SE"/>
        </w:rPr>
        <w:t xml:space="preserve">Det östliga partnerskapet inrättades i maj 2009 vid ett toppmöte mellan EU och partnerländerna i Prag. Sedan dess har regelbundna möten hållits i den tredje plattformen för energiförsörjningstrygghet, senast den 27 oktober i år. De övergripande målen för plattformens arbete omfattar bl.a. ökad energieffektivisering och användning av förnybar energi. Kommissionen väntas informera ministrarna om det pågående arbetet i plattformen samt det möte på stats- och regeringschefsnivå som kommer att äga rum den 26 maj. </w:t>
      </w:r>
    </w:p>
    <w:p w:rsidR="003A0DA4" w:rsidRPr="00C67E56" w:rsidRDefault="003A0DA4" w:rsidP="00EC0AEE">
      <w:pPr>
        <w:ind w:left="-567"/>
        <w:rPr>
          <w:i/>
          <w:iCs/>
        </w:rPr>
      </w:pPr>
    </w:p>
    <w:p w:rsidR="003A0DA4" w:rsidRPr="00C67E56" w:rsidRDefault="003A0DA4" w:rsidP="00EC0AEE">
      <w:pPr>
        <w:pStyle w:val="RKnormal"/>
        <w:ind w:left="-567"/>
        <w:rPr>
          <w:b/>
          <w:i/>
          <w:iCs/>
        </w:rPr>
      </w:pPr>
      <w:r w:rsidRPr="00C67E56">
        <w:rPr>
          <w:b/>
          <w:i/>
          <w:iCs/>
        </w:rPr>
        <w:t xml:space="preserve">d) Energidialogen EU-Ryssland </w:t>
      </w:r>
    </w:p>
    <w:p w:rsidR="003A0DA4" w:rsidRPr="00C67E56" w:rsidRDefault="003A0DA4" w:rsidP="00EC0AEE">
      <w:pPr>
        <w:pStyle w:val="RKnormal"/>
        <w:ind w:left="-567"/>
      </w:pPr>
      <w:r w:rsidRPr="00C67E56">
        <w:t>En dialog mellan EU och Ryssland på energiområdet har förts sedan 2000-talets början. Över tiden har frågor om infrastruktur för energi och handel med energiråvaror kompletterats med diskussioner om energieffektivisering, satsningar på energi från förnybara energikällor och de energirelaterade klimatfrågorna.</w:t>
      </w:r>
    </w:p>
    <w:p w:rsidR="003A0DA4" w:rsidRPr="00C67E56" w:rsidRDefault="003A0DA4" w:rsidP="00EC0AEE">
      <w:pPr>
        <w:pStyle w:val="RKnormal"/>
        <w:ind w:left="-567"/>
      </w:pPr>
    </w:p>
    <w:p w:rsidR="003A0DA4" w:rsidRPr="00C67E56" w:rsidRDefault="003A0DA4" w:rsidP="00EC0AEE">
      <w:pPr>
        <w:pStyle w:val="RKnormal"/>
        <w:ind w:left="-567"/>
      </w:pPr>
      <w:r w:rsidRPr="00C67E56">
        <w:t xml:space="preserve">Kommissionen väntas informera ministrarna om aktuella aktiviteter inom EU – Rysslandsdialogen, där ett möte i det s.k. Permanent Partnership Council (PPC) för energifrågor hölls den 22 november.  Vid mötet diskuterades energidialogens framsteg, hur dialogen bidragit till partnerskapet för modernisering samt ett samtal kring framtida energirelationer. </w:t>
      </w:r>
    </w:p>
    <w:p w:rsidR="003A0DA4" w:rsidRPr="00C67E56" w:rsidRDefault="003A0DA4" w:rsidP="00EC0AEE">
      <w:pPr>
        <w:pStyle w:val="RKnormal"/>
        <w:ind w:left="-567"/>
      </w:pPr>
    </w:p>
    <w:p w:rsidR="003A0DA4" w:rsidRPr="00C67E56" w:rsidRDefault="003A0DA4" w:rsidP="00EC0AEE">
      <w:pPr>
        <w:ind w:left="-567"/>
        <w:rPr>
          <w:b/>
          <w:bCs/>
          <w:i/>
          <w:iCs/>
        </w:rPr>
      </w:pPr>
      <w:r w:rsidRPr="00C67E56">
        <w:rPr>
          <w:b/>
          <w:bCs/>
          <w:i/>
          <w:iCs/>
        </w:rPr>
        <w:t>e) Övrigt</w:t>
      </w:r>
    </w:p>
    <w:p w:rsidR="003A0DA4" w:rsidRPr="00C67E56" w:rsidRDefault="003A0DA4" w:rsidP="00EC0AEE">
      <w:pPr>
        <w:pStyle w:val="RKnormal"/>
        <w:ind w:left="-567"/>
        <w:rPr>
          <w:b/>
          <w:i/>
        </w:rPr>
      </w:pPr>
      <w:r w:rsidRPr="00C67E56">
        <w:rPr>
          <w:bCs/>
        </w:rPr>
        <w:t xml:space="preserve">Ministrarna kommer att informeras om övriga aktuella relationer med tredje land som ägt rum den senaste tiden, t ex toppmöten eller inom multilaterala fora. </w:t>
      </w:r>
    </w:p>
    <w:p w:rsidR="003A0DA4" w:rsidRPr="00C67E56" w:rsidRDefault="003A0DA4" w:rsidP="00EC0AEE">
      <w:pPr>
        <w:pStyle w:val="RKnormal"/>
        <w:ind w:left="-567"/>
      </w:pPr>
    </w:p>
    <w:p w:rsidR="003A0DA4" w:rsidRPr="00C67E56" w:rsidRDefault="003A0DA4" w:rsidP="00EC0AEE">
      <w:pPr>
        <w:pStyle w:val="RKnormal"/>
        <w:ind w:left="-567"/>
      </w:pPr>
    </w:p>
    <w:p w:rsidR="003A0DA4" w:rsidRPr="00C67E56" w:rsidRDefault="003A0DA4" w:rsidP="00EC0AEE">
      <w:pPr>
        <w:pStyle w:val="RKnormal"/>
        <w:ind w:left="-567"/>
        <w:rPr>
          <w:bCs/>
          <w:u w:val="single"/>
        </w:rPr>
      </w:pPr>
      <w:r w:rsidRPr="00C67E56">
        <w:rPr>
          <w:bCs/>
          <w:u w:val="single"/>
        </w:rPr>
        <w:t>Förslag till svensk ståndpunkt</w:t>
      </w:r>
    </w:p>
    <w:p w:rsidR="003A0DA4" w:rsidRPr="00C67E56" w:rsidRDefault="003A0DA4" w:rsidP="00EC0AEE">
      <w:pPr>
        <w:ind w:left="-567"/>
      </w:pPr>
      <w:r w:rsidRPr="00C67E56">
        <w:t>Ingen diskussion väntas avseende informationen om de internationella relationerna. Regeringen välkomnar att energiministrarna hålls informerade om de löpande externa energidialogerna samt syftet med dessa, dvs. att utveckla goda relationer med EU:s energipartners för att på så sätt trygga energiförsörjning samt ge EU stärkta möjligheter att verka för hållbar energi och klimatfrågor på det internationella planet.</w:t>
      </w:r>
    </w:p>
    <w:p w:rsidR="003A0DA4" w:rsidRPr="00C67E56" w:rsidRDefault="003A0DA4" w:rsidP="00EC0AEE">
      <w:pPr>
        <w:ind w:left="-567" w:hanging="550"/>
        <w:jc w:val="both"/>
        <w:rPr>
          <w:b/>
          <w:lang w:eastAsia="fi-FI"/>
        </w:rPr>
      </w:pPr>
    </w:p>
    <w:p w:rsidR="003A0DA4" w:rsidRPr="00C67E56" w:rsidRDefault="003A0DA4" w:rsidP="00EC0AEE">
      <w:pPr>
        <w:ind w:left="-567" w:hanging="550"/>
        <w:jc w:val="both"/>
        <w:rPr>
          <w:b/>
          <w:lang w:eastAsia="fi-FI"/>
        </w:rPr>
      </w:pPr>
    </w:p>
    <w:p w:rsidR="003A0DA4" w:rsidRPr="00C67E56" w:rsidRDefault="003A0DA4" w:rsidP="00EC0AEE">
      <w:pPr>
        <w:ind w:left="-567" w:hanging="550"/>
        <w:jc w:val="both"/>
        <w:rPr>
          <w:b/>
          <w:u w:val="single"/>
          <w:lang w:eastAsia="fi-FI"/>
        </w:rPr>
      </w:pPr>
      <w:r w:rsidRPr="00C67E56">
        <w:rPr>
          <w:b/>
          <w:u w:val="single"/>
          <w:lang w:eastAsia="fi-FI"/>
        </w:rPr>
        <w:t>TELEKOM</w:t>
      </w:r>
    </w:p>
    <w:p w:rsidR="003A0DA4" w:rsidRPr="00C67E56" w:rsidRDefault="003A0DA4" w:rsidP="00EC0AEE">
      <w:pPr>
        <w:ind w:left="-567" w:hanging="550"/>
        <w:jc w:val="both"/>
        <w:rPr>
          <w:b/>
          <w:lang w:eastAsia="fi-FI"/>
        </w:rPr>
      </w:pPr>
    </w:p>
    <w:p w:rsidR="0053043C" w:rsidRPr="00C67E56" w:rsidRDefault="0053043C" w:rsidP="00EC0AEE">
      <w:pPr>
        <w:ind w:left="-567" w:hanging="550"/>
        <w:jc w:val="both"/>
        <w:rPr>
          <w:b/>
          <w:iCs/>
        </w:rPr>
      </w:pPr>
      <w:r w:rsidRPr="00C67E56">
        <w:rPr>
          <w:b/>
          <w:iCs/>
        </w:rPr>
        <w:t>14</w:t>
      </w:r>
      <w:r w:rsidRPr="00C67E56">
        <w:rPr>
          <w:iCs/>
        </w:rPr>
        <w:t>.</w:t>
      </w:r>
      <w:r w:rsidRPr="00C67E56">
        <w:rPr>
          <w:b/>
          <w:iCs/>
        </w:rPr>
        <w:tab/>
      </w:r>
      <w:r w:rsidR="006E70E1" w:rsidRPr="00C67E56">
        <w:rPr>
          <w:b/>
          <w:iCs/>
        </w:rPr>
        <w:t>Förslag till beslut om inrättande av det första programmet för radiospektrumpolitik</w:t>
      </w:r>
    </w:p>
    <w:p w:rsidR="0053043C" w:rsidRPr="00C67E56" w:rsidRDefault="0053043C" w:rsidP="00EC0AEE">
      <w:pPr>
        <w:ind w:left="-567" w:hanging="426"/>
        <w:jc w:val="both"/>
        <w:rPr>
          <w:i/>
          <w:iCs/>
        </w:rPr>
      </w:pPr>
      <w:r w:rsidRPr="00C67E56">
        <w:rPr>
          <w:iCs/>
        </w:rPr>
        <w:t>-</w:t>
      </w:r>
      <w:r w:rsidRPr="00C67E56">
        <w:rPr>
          <w:i/>
        </w:rPr>
        <w:tab/>
      </w:r>
      <w:r w:rsidR="006E70E1" w:rsidRPr="00C67E56">
        <w:rPr>
          <w:i/>
        </w:rPr>
        <w:t>Lägesrapport</w:t>
      </w:r>
    </w:p>
    <w:p w:rsidR="0053043C" w:rsidRPr="00C67E56" w:rsidRDefault="0053043C" w:rsidP="00EC0AEE">
      <w:pPr>
        <w:ind w:left="-567" w:hanging="426"/>
        <w:jc w:val="both"/>
        <w:rPr>
          <w:i/>
        </w:rPr>
      </w:pPr>
      <w:r w:rsidRPr="00C67E56">
        <w:rPr>
          <w:i/>
        </w:rPr>
        <w:t>-</w:t>
      </w:r>
      <w:r w:rsidRPr="00C67E56">
        <w:rPr>
          <w:i/>
        </w:rPr>
        <w:tab/>
      </w:r>
      <w:r w:rsidR="006E70E1" w:rsidRPr="00C67E56">
        <w:rPr>
          <w:i/>
        </w:rPr>
        <w:t>Diskussion</w:t>
      </w:r>
    </w:p>
    <w:p w:rsidR="00900FC2" w:rsidRPr="00C67E56" w:rsidRDefault="00900FC2" w:rsidP="00EC0AEE">
      <w:pPr>
        <w:spacing w:line="240" w:lineRule="auto"/>
        <w:ind w:left="-567"/>
        <w:rPr>
          <w:iCs/>
          <w:color w:val="000000"/>
        </w:rPr>
      </w:pPr>
      <w:r w:rsidRPr="00C67E56">
        <w:rPr>
          <w:iCs/>
          <w:color w:val="000000"/>
        </w:rPr>
        <w:t>13872/10 TELECOM 91 AUDIO 26 MI 314 CODEC 872</w:t>
      </w:r>
    </w:p>
    <w:p w:rsidR="006E70E1" w:rsidRPr="00C67E56" w:rsidRDefault="006E70E1" w:rsidP="00EC0AEE">
      <w:pPr>
        <w:pStyle w:val="RKnormal"/>
        <w:ind w:left="-567"/>
        <w:rPr>
          <w:i/>
        </w:rPr>
      </w:pPr>
    </w:p>
    <w:p w:rsidR="006E70E1" w:rsidRPr="00C67E56" w:rsidRDefault="006E70E1" w:rsidP="00EC0AEE">
      <w:pPr>
        <w:pStyle w:val="RKnormal"/>
        <w:ind w:left="-567"/>
        <w:rPr>
          <w:i/>
        </w:rPr>
      </w:pPr>
      <w:r w:rsidRPr="00C67E56">
        <w:rPr>
          <w:i/>
        </w:rPr>
        <w:t xml:space="preserve">Meddelandet och slutsatserna har inte tidigare behandlats i EU-nämnden. </w:t>
      </w:r>
    </w:p>
    <w:p w:rsidR="0053043C" w:rsidRPr="00C67E56" w:rsidRDefault="0053043C" w:rsidP="00EC0AEE">
      <w:pPr>
        <w:pStyle w:val="RKnormal"/>
        <w:ind w:left="-567"/>
      </w:pPr>
    </w:p>
    <w:p w:rsidR="0053043C" w:rsidRPr="00C67E56" w:rsidRDefault="0053043C" w:rsidP="00EC0AEE">
      <w:pPr>
        <w:pStyle w:val="Rubrik3"/>
        <w:ind w:left="-567"/>
      </w:pPr>
      <w:r w:rsidRPr="00C67E56">
        <w:t>Bakgrund</w:t>
      </w:r>
    </w:p>
    <w:p w:rsidR="0053043C" w:rsidRPr="00C67E56" w:rsidRDefault="0053043C" w:rsidP="00EC0AEE">
      <w:pPr>
        <w:pStyle w:val="RKnormal"/>
        <w:ind w:left="-567"/>
      </w:pPr>
      <w:r w:rsidRPr="00C67E56">
        <w:t>Under det svenska ordförandeskapet i EU (hösten 2009) slutfördes förhandlingarna om det sk telekompaketet. En av de nya artiklar som beslutades genom detta paket var artikel 8 a i ramdirektivet (2002/21/EG, reviderat genom direktiv 2009/140/EG) vilken i punkten tre angav att Kommissionen får lägga fram ett lagförslag om de politiska riktlinjerna och målen med den strategiska planeringen och harmoniseringen av radiospektrumanvändningen.</w:t>
      </w:r>
    </w:p>
    <w:p w:rsidR="0053043C" w:rsidRPr="00C67E56" w:rsidRDefault="0053043C" w:rsidP="00EC0AEE">
      <w:pPr>
        <w:pStyle w:val="RKnormal"/>
        <w:ind w:left="-567"/>
      </w:pPr>
    </w:p>
    <w:p w:rsidR="0053043C" w:rsidRPr="00C67E56" w:rsidRDefault="0053043C" w:rsidP="00EC0AEE">
      <w:pPr>
        <w:pStyle w:val="RKnormal"/>
        <w:ind w:left="-567"/>
      </w:pPr>
      <w:r w:rsidRPr="00C67E56">
        <w:t xml:space="preserve">Kommissionen publicerade den 20 september 2010 sitt förslag till beslut om inrättande av det första programmet för radiospektrumpolitik (RSPP). </w:t>
      </w:r>
      <w:r w:rsidR="00560648" w:rsidRPr="00C67E56">
        <w:t>Råds</w:t>
      </w:r>
      <w:r w:rsidRPr="00C67E56">
        <w:t xml:space="preserve">arbetsgruppen </w:t>
      </w:r>
      <w:r w:rsidR="00560648" w:rsidRPr="00C67E56">
        <w:t>har behandlat frågan v</w:t>
      </w:r>
      <w:r w:rsidRPr="00C67E56">
        <w:t>id fyra möten under hösten. Någon diskussion paragraf för paragraf har dock inte skett</w:t>
      </w:r>
      <w:r w:rsidR="00560648" w:rsidRPr="00C67E56">
        <w:t xml:space="preserve"> ännu</w:t>
      </w:r>
      <w:r w:rsidRPr="00C67E56">
        <w:t>. Inte heller har något nytt textförslag tagits fram.</w:t>
      </w:r>
    </w:p>
    <w:p w:rsidR="0053043C" w:rsidRPr="00C67E56" w:rsidRDefault="0053043C" w:rsidP="00EC0AEE">
      <w:pPr>
        <w:pStyle w:val="RKnormal"/>
        <w:ind w:left="-567"/>
      </w:pPr>
    </w:p>
    <w:p w:rsidR="0053043C" w:rsidRPr="00C67E56" w:rsidRDefault="0053043C" w:rsidP="00EC0AEE">
      <w:pPr>
        <w:pStyle w:val="RKnormal"/>
        <w:ind w:left="-567"/>
      </w:pPr>
      <w:r w:rsidRPr="00C67E56">
        <w:t>EP (ITRE-uskottet) kommer att ha en första diskussion om förslaget den 9 december 2010. Gunnar Hökmark har utsetts till rapportör.</w:t>
      </w:r>
    </w:p>
    <w:p w:rsidR="0053043C" w:rsidRPr="00C67E56" w:rsidRDefault="0053043C" w:rsidP="00EC0AEE">
      <w:pPr>
        <w:pStyle w:val="RKnormal"/>
        <w:ind w:left="-567"/>
      </w:pPr>
    </w:p>
    <w:p w:rsidR="0053043C" w:rsidRPr="00C67E56" w:rsidRDefault="0053043C" w:rsidP="00EC0AEE">
      <w:pPr>
        <w:pStyle w:val="RKnormal"/>
        <w:ind w:left="-567"/>
      </w:pPr>
      <w:r w:rsidRPr="00C67E56">
        <w:t xml:space="preserve">TTE-rådet den 3 december kommer </w:t>
      </w:r>
      <w:r w:rsidRPr="00C67E56">
        <w:rPr>
          <w:u w:val="single"/>
        </w:rPr>
        <w:t>dels</w:t>
      </w:r>
      <w:r w:rsidRPr="00C67E56">
        <w:t xml:space="preserve"> att få ORDFs statusrapport kring arbetet </w:t>
      </w:r>
      <w:r w:rsidRPr="00C67E56">
        <w:rPr>
          <w:u w:val="single"/>
        </w:rPr>
        <w:t>dels</w:t>
      </w:r>
      <w:r w:rsidRPr="00C67E56">
        <w:t xml:space="preserve"> få möjlighet att kommentera KOMs förslag. Detta senare är tänkt som stöd för kommande förhandlingsarbete i RAG under HU-ORDF. Som underlag för denna senare punkt avser ORDF skicka ut ett dokument med frågeställningar som ministrarna kan använda som utgångspunkt för sina resp. kommentarer. </w:t>
      </w:r>
    </w:p>
    <w:p w:rsidR="0053043C" w:rsidRPr="00C67E56" w:rsidRDefault="0053043C" w:rsidP="00EC0AEE">
      <w:pPr>
        <w:pStyle w:val="RKnormal"/>
        <w:ind w:left="-567"/>
      </w:pPr>
    </w:p>
    <w:p w:rsidR="0053043C" w:rsidRPr="00C67E56" w:rsidRDefault="0053043C" w:rsidP="00EC0AEE">
      <w:pPr>
        <w:pStyle w:val="RKnormal"/>
        <w:ind w:left="-567"/>
        <w:rPr>
          <w:szCs w:val="24"/>
        </w:rPr>
      </w:pPr>
    </w:p>
    <w:p w:rsidR="00560648" w:rsidRPr="00C67E56" w:rsidRDefault="00560648" w:rsidP="00EC0AEE">
      <w:pPr>
        <w:pStyle w:val="RKnormal"/>
        <w:ind w:left="-567"/>
        <w:rPr>
          <w:b/>
          <w:szCs w:val="24"/>
        </w:rPr>
      </w:pPr>
      <w:r w:rsidRPr="00C67E56">
        <w:rPr>
          <w:b/>
          <w:szCs w:val="24"/>
        </w:rPr>
        <w:t>Svensk ståndpunkt:</w:t>
      </w:r>
    </w:p>
    <w:p w:rsidR="0053043C" w:rsidRPr="00C67E56" w:rsidRDefault="00560648" w:rsidP="00EC0AEE">
      <w:pPr>
        <w:pStyle w:val="RKnormal"/>
        <w:ind w:left="-567"/>
        <w:rPr>
          <w:szCs w:val="24"/>
        </w:rPr>
      </w:pPr>
      <w:r w:rsidRPr="00C67E56">
        <w:rPr>
          <w:szCs w:val="24"/>
        </w:rPr>
        <w:t>D</w:t>
      </w:r>
      <w:r w:rsidR="0053043C" w:rsidRPr="00C67E56">
        <w:rPr>
          <w:szCs w:val="24"/>
        </w:rPr>
        <w:t xml:space="preserve">et som överenskoms om RSPP vid förhandlingarna om telekompaketet är det som ska genomföras. RSPP bör ange de övergripande  målsättningarna med frekvenspolitiken och inte gå in i detaljerade bestämmelser. </w:t>
      </w:r>
    </w:p>
    <w:p w:rsidR="0053043C" w:rsidRPr="00C67E56" w:rsidRDefault="0053043C" w:rsidP="00EC0AEE">
      <w:pPr>
        <w:pStyle w:val="RKnormal"/>
        <w:ind w:left="-567"/>
        <w:rPr>
          <w:szCs w:val="24"/>
        </w:rPr>
      </w:pPr>
    </w:p>
    <w:p w:rsidR="0053043C" w:rsidRPr="00C67E56" w:rsidRDefault="00560648" w:rsidP="00EC0AEE">
      <w:pPr>
        <w:pStyle w:val="RKnormal"/>
        <w:ind w:left="-567"/>
        <w:rPr>
          <w:szCs w:val="24"/>
        </w:rPr>
      </w:pPr>
      <w:r w:rsidRPr="00C67E56">
        <w:rPr>
          <w:szCs w:val="24"/>
        </w:rPr>
        <w:t>Det behövs en mer öppen och liberal</w:t>
      </w:r>
      <w:r w:rsidR="0053043C" w:rsidRPr="00C67E56">
        <w:rPr>
          <w:szCs w:val="24"/>
        </w:rPr>
        <w:t xml:space="preserve"> frekvenshantering</w:t>
      </w:r>
      <w:r w:rsidRPr="00C67E56">
        <w:rPr>
          <w:szCs w:val="24"/>
        </w:rPr>
        <w:t xml:space="preserve"> i vissa MS</w:t>
      </w:r>
      <w:r w:rsidR="0053043C" w:rsidRPr="00C67E56">
        <w:rPr>
          <w:szCs w:val="24"/>
        </w:rPr>
        <w:t>. Åtgärder för att åstadkomma detta bör harmoniseras inom EU genom RSPP enligt vad som avsetts med formuleringarna i artikel 8a(3) i ramdirektivet. SE anser samtidigt att det är av stor vikt att frekvenspolitikens detaljutformning  och förvaltningen  av radiofrekvenser utförs på nationell nivå. Detaljerade beslut om tillståndsförfaranden, villkor och konkurrenshänsyn utformas nationellt, med hänsyn till de olika förutsättningar som kan finnas i medlemsstaterna, och med samtidigt beaktande av bl.a.  de nya gemensamma EU-regler i som nu håller på att genomföras i nationell rätt.</w:t>
      </w:r>
    </w:p>
    <w:p w:rsidR="0053043C" w:rsidRPr="00C67E56" w:rsidRDefault="0053043C" w:rsidP="00EC0AEE">
      <w:pPr>
        <w:pStyle w:val="RKnormal"/>
        <w:ind w:left="-567"/>
        <w:rPr>
          <w:szCs w:val="24"/>
        </w:rPr>
      </w:pPr>
    </w:p>
    <w:p w:rsidR="0053043C" w:rsidRPr="00C67E56" w:rsidRDefault="0053043C" w:rsidP="00EC0AEE">
      <w:pPr>
        <w:pStyle w:val="RKnormal"/>
        <w:ind w:left="-567"/>
        <w:rPr>
          <w:szCs w:val="24"/>
        </w:rPr>
      </w:pPr>
      <w:r w:rsidRPr="00C67E56">
        <w:rPr>
          <w:szCs w:val="24"/>
        </w:rPr>
        <w:t>Det kan finnas anledning till gemensamma regler när det gäller pan-europeiska tjänster, som t.ex. mobila satellittjänster där man har haft ett europeiskt tillståndsförfarande och där marknaden till sin natur inte är nationell. När det gäller t.ex. mobiltjänster och bredbandstjänster bör de regler och villkor som kringgärdar marknaden anpassas efter  situationen i medlemsstaten.</w:t>
      </w:r>
    </w:p>
    <w:p w:rsidR="0053043C" w:rsidRPr="00C67E56" w:rsidRDefault="0053043C" w:rsidP="00EC0AEE">
      <w:pPr>
        <w:pStyle w:val="RKnormal"/>
        <w:ind w:left="-567"/>
        <w:rPr>
          <w:szCs w:val="24"/>
        </w:rPr>
      </w:pPr>
    </w:p>
    <w:p w:rsidR="0053043C" w:rsidRPr="00C67E56" w:rsidRDefault="0053043C" w:rsidP="00EC0AEE">
      <w:pPr>
        <w:pStyle w:val="RKnormal"/>
        <w:ind w:left="-567"/>
        <w:rPr>
          <w:szCs w:val="24"/>
        </w:rPr>
      </w:pPr>
      <w:r w:rsidRPr="00C67E56">
        <w:rPr>
          <w:szCs w:val="24"/>
        </w:rPr>
        <w:t xml:space="preserve">Vidare kan noteras att det inte någonstans nämns betydelsen av yttrande- och informationsfrihet vid regleringen av radiofrekvenser. Hantering av radiofrekvenser måste vara förenlig med rätten till yttrande- och informationsfrihet, vilket följer inte bara av svensk grundlag utan även av Europakonventionen. </w:t>
      </w:r>
    </w:p>
    <w:p w:rsidR="0053043C" w:rsidRPr="00C67E56" w:rsidRDefault="0053043C" w:rsidP="00EC0AEE">
      <w:pPr>
        <w:pStyle w:val="RKnormal"/>
        <w:ind w:left="-567"/>
        <w:rPr>
          <w:szCs w:val="24"/>
        </w:rPr>
      </w:pPr>
    </w:p>
    <w:p w:rsidR="0053043C" w:rsidRPr="00C67E56" w:rsidRDefault="0053043C" w:rsidP="00EC0AEE">
      <w:pPr>
        <w:pStyle w:val="RKrubrik"/>
        <w:ind w:left="-567" w:hanging="1134"/>
      </w:pPr>
      <w:r w:rsidRPr="00C67E56">
        <w:t>15.</w:t>
      </w:r>
      <w:r w:rsidRPr="00C67E56">
        <w:tab/>
        <w:t>Förslag till Europaparlamentets och rådets förordning om ändring av Europaparlamentets och rådets förordning (EG) nr 460/2004 om inrättandet av den europeiska byrån för nät- och informationssäkerhet i fråga om dess mandatperiod</w:t>
      </w:r>
    </w:p>
    <w:p w:rsidR="00900FC2" w:rsidRPr="00C67E56" w:rsidRDefault="00900FC2" w:rsidP="00EC0AEE">
      <w:pPr>
        <w:pStyle w:val="RKnormal"/>
        <w:ind w:left="-567"/>
      </w:pPr>
    </w:p>
    <w:p w:rsidR="00900FC2" w:rsidRPr="00C67E56" w:rsidRDefault="00900FC2" w:rsidP="00EC0AEE">
      <w:pPr>
        <w:spacing w:line="240" w:lineRule="auto"/>
        <w:ind w:left="-567" w:hanging="1134"/>
        <w:rPr>
          <w:color w:val="000000"/>
        </w:rPr>
      </w:pPr>
      <w:r w:rsidRPr="00C67E56">
        <w:rPr>
          <w:iCs/>
          <w:color w:val="000000"/>
        </w:rPr>
        <w:t>14322</w:t>
      </w:r>
      <w:r w:rsidRPr="00C67E56">
        <w:rPr>
          <w:color w:val="000000"/>
        </w:rPr>
        <w:t>/10 TELECOM 98 MI 344 DATAPROTECT 69 CAB 15 INST 358 CODEC 936</w:t>
      </w:r>
    </w:p>
    <w:p w:rsidR="00900FC2" w:rsidRPr="00C67E56" w:rsidRDefault="00900FC2" w:rsidP="00EC0AEE">
      <w:pPr>
        <w:pStyle w:val="RKnormal"/>
        <w:ind w:left="-567"/>
      </w:pPr>
    </w:p>
    <w:p w:rsidR="006E70E1" w:rsidRPr="00C67E56" w:rsidRDefault="006E70E1" w:rsidP="00EC0AEE">
      <w:pPr>
        <w:pStyle w:val="RKnormal"/>
        <w:ind w:left="-567"/>
        <w:rPr>
          <w:i/>
        </w:rPr>
      </w:pPr>
      <w:r w:rsidRPr="00C67E56">
        <w:rPr>
          <w:i/>
        </w:rPr>
        <w:t>Tidigare behandlad vid samråd med EU-nämnden: 2008-06-04</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Enisa (Europeiska nät- och informationssäkerhetsbyrån) inrättades 2004 för en inledande period på fem år. Mandatet har dock vid ett tillfälle förlängts ”à l’identique” varför dess nuvarande mandat löper ut i mars 2012. I samband med detta skedde senaste behandlingen i EU-nämnden den 4 juni . Enisa ligger i Heraklion på Kreta, Grekland.</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Enisa har två huvudsakliga roller. Byrån ger stöd, råd och expertis till EU-institutionerna och medlemsstaterna om alla relevanta aspekter av nät-och informationssäkerhet. Det underlättar också utbyte av bästa praxis och samarbete mellan både offentliga och privata organisationer.</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I den digitala agendan för EU understryks stärkt politik för nät- och informationssäkerhet, inbegripet detta lagstiftningsförslag om modernisering av Enisa.</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Detta förslag, antaget av kommissionen den 30 september 2010) om 18 månaders förlängt förordnande (utan substansändringar) av nuvarande mandat syftar till att ge rådet tid att diskutera ett parallellt förslag (se punkt 16 på denna TTE-agenda) med substantiella ändringar i mandatet.</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Förslagen har behandlats i rådsarbetsgruppen för telekommunikation och informationssamhället (H5) under hösten. I avvaktan på EP:s första läsning är syftet med behandlingen vid detta TTE-råd att ordförandeskapet avlämnar en lägesrapport från förhandlingarna. Behandling i Coreper kvarstår. Två heta frågor i förhandlingarna har varit förslag om utökat samarbete med brottsbekämpande organ samt förslagets budgetkonsekvenser. Förslaget att förlänga det nuvarande mandatet för att ge tid åt förhandlingar kring ett nytt mandat har i grunden inte ifrågasatts.</w:t>
      </w:r>
    </w:p>
    <w:p w:rsidR="0053043C" w:rsidRPr="00C67E56" w:rsidRDefault="0053043C" w:rsidP="00EC0AEE">
      <w:pPr>
        <w:pStyle w:val="RKrubrik"/>
        <w:ind w:left="-567" w:hanging="1134"/>
      </w:pPr>
      <w:r w:rsidRPr="00C67E56">
        <w:t>16.</w:t>
      </w:r>
      <w:r w:rsidRPr="00C67E56">
        <w:tab/>
        <w:t>Förslag till Europaparlamentets och rådets förordning om Europeiska byrån för nät- och informationssäkerhet (Enisa)</w:t>
      </w:r>
    </w:p>
    <w:p w:rsidR="00900FC2" w:rsidRPr="00C67E56" w:rsidRDefault="00900FC2" w:rsidP="00EC0AEE">
      <w:pPr>
        <w:spacing w:line="240" w:lineRule="auto"/>
        <w:ind w:left="-567"/>
        <w:rPr>
          <w:color w:val="000000"/>
        </w:rPr>
      </w:pPr>
    </w:p>
    <w:p w:rsidR="00900FC2" w:rsidRPr="00C67E56" w:rsidRDefault="00900FC2" w:rsidP="00EC0AEE">
      <w:pPr>
        <w:spacing w:line="240" w:lineRule="auto"/>
        <w:ind w:left="-567" w:hanging="1134"/>
        <w:rPr>
          <w:szCs w:val="24"/>
        </w:rPr>
      </w:pPr>
      <w:r w:rsidRPr="00C67E56">
        <w:rPr>
          <w:iCs/>
        </w:rPr>
        <w:t>14358</w:t>
      </w:r>
      <w:r w:rsidRPr="00C67E56">
        <w:rPr>
          <w:szCs w:val="24"/>
        </w:rPr>
        <w:t>/10 TELECOM 99 MI 346 DATAPROTECT 70 JAI 794 CAB 16 INST 361 CODEC 943</w:t>
      </w:r>
    </w:p>
    <w:p w:rsidR="00900FC2" w:rsidRPr="00C67E56" w:rsidRDefault="00900FC2" w:rsidP="00EC0AEE">
      <w:pPr>
        <w:spacing w:line="240" w:lineRule="auto"/>
        <w:ind w:left="-567"/>
        <w:rPr>
          <w:iCs/>
        </w:rPr>
      </w:pPr>
    </w:p>
    <w:p w:rsidR="006E70E1" w:rsidRPr="00C67E56" w:rsidRDefault="006E70E1" w:rsidP="00EC0AEE">
      <w:pPr>
        <w:pStyle w:val="RKnormal"/>
        <w:ind w:left="-567"/>
        <w:rPr>
          <w:i/>
        </w:rPr>
      </w:pPr>
      <w:r w:rsidRPr="00C67E56">
        <w:rPr>
          <w:i/>
        </w:rPr>
        <w:t>Tidigare behandlad vid samråd med EU-nämnden: 2008-06-04</w:t>
      </w:r>
    </w:p>
    <w:p w:rsidR="0053043C" w:rsidRPr="00C67E56" w:rsidRDefault="0053043C" w:rsidP="00EC0AEE">
      <w:pPr>
        <w:pStyle w:val="RKnormal"/>
        <w:ind w:left="-567"/>
      </w:pPr>
    </w:p>
    <w:p w:rsidR="0053043C" w:rsidRPr="00C67E56" w:rsidRDefault="0053043C" w:rsidP="00EC0AEE">
      <w:pPr>
        <w:ind w:left="-567"/>
        <w:rPr>
          <w:rFonts w:cs="OrigGarmnd BT"/>
          <w:color w:val="000000"/>
        </w:rPr>
      </w:pPr>
      <w:r w:rsidRPr="00C67E56">
        <w:rPr>
          <w:rFonts w:cs="OrigGarmnd BT"/>
          <w:color w:val="000000"/>
        </w:rPr>
        <w:t>För bakgrund, se punkt 15.</w:t>
      </w:r>
    </w:p>
    <w:p w:rsidR="0053043C" w:rsidRPr="00C67E56" w:rsidRDefault="0053043C" w:rsidP="00EC0AEE">
      <w:pPr>
        <w:ind w:left="-567"/>
        <w:rPr>
          <w:rFonts w:cs="OrigGarmnd BT"/>
          <w:color w:val="000000"/>
        </w:rPr>
      </w:pPr>
    </w:p>
    <w:p w:rsidR="0053043C" w:rsidRPr="00C67E56" w:rsidRDefault="0053043C" w:rsidP="00EC0AEE">
      <w:pPr>
        <w:ind w:left="-567"/>
        <w:rPr>
          <w:rFonts w:cs="OrigGarmnd BT"/>
          <w:color w:val="000000"/>
        </w:rPr>
      </w:pPr>
      <w:r w:rsidRPr="00C67E56">
        <w:rPr>
          <w:rFonts w:cs="OrigGarmnd BT"/>
          <w:color w:val="000000"/>
        </w:rPr>
        <w:t>Kommissionen antog detta förslag till ny förordning den 30 september 2010. Förslaget syftar till att stärka och modernisera Europeiska byrån för nät- och informationssäkerhet (Enisa) och fastställa ett nytt mandat för en femårsperiod.</w:t>
      </w:r>
    </w:p>
    <w:p w:rsidR="0053043C" w:rsidRPr="00C67E56" w:rsidRDefault="0053043C" w:rsidP="00EC0AEE">
      <w:pPr>
        <w:pStyle w:val="RKrubrik"/>
        <w:spacing w:before="0" w:after="0"/>
        <w:ind w:left="-567"/>
      </w:pPr>
    </w:p>
    <w:p w:rsidR="0053043C" w:rsidRPr="00C67E56" w:rsidRDefault="0053043C" w:rsidP="00EC0AEE">
      <w:pPr>
        <w:ind w:left="-567"/>
        <w:rPr>
          <w:rFonts w:cs="OrigGarmnd BT"/>
          <w:color w:val="000000"/>
        </w:rPr>
      </w:pPr>
      <w:r w:rsidRPr="00C67E56">
        <w:rPr>
          <w:rFonts w:cs="OrigGarmnd BT"/>
          <w:color w:val="000000"/>
        </w:rPr>
        <w:t>Frågan har behandlats i rådsarbetsgruppen för telekommunikation och informationssamhället (H5) under hösten. I avvaktan på EP:s första läsning är syftet med behandlingen vid detta TTE-råd att ordförandeskapet avlämnar en lägesrapport från förhandlingarna. Behandling i Coreper kvarstår. Två heta frågor i förhandlingarna har varit förslag om utökat samarbete med brottsbekämpande organ samt förslagets budgetkonsekvenser.</w:t>
      </w:r>
    </w:p>
    <w:p w:rsidR="0053043C" w:rsidRPr="00C67E56" w:rsidRDefault="0053043C" w:rsidP="00EC0AEE">
      <w:pPr>
        <w:pStyle w:val="RKnormal"/>
        <w:ind w:left="-567"/>
      </w:pPr>
    </w:p>
    <w:p w:rsidR="0086705D" w:rsidRPr="00C67E56" w:rsidRDefault="0086705D" w:rsidP="00EC0AEE">
      <w:pPr>
        <w:spacing w:line="240" w:lineRule="auto"/>
        <w:ind w:left="-567"/>
        <w:rPr>
          <w:b/>
          <w:lang w:eastAsia="fi-FI"/>
        </w:rPr>
      </w:pPr>
    </w:p>
    <w:p w:rsidR="0086705D" w:rsidRPr="00C67E56" w:rsidRDefault="0086705D" w:rsidP="00EC0AEE">
      <w:pPr>
        <w:spacing w:line="240" w:lineRule="auto"/>
        <w:ind w:left="-567"/>
        <w:rPr>
          <w:b/>
          <w:lang w:eastAsia="fi-FI"/>
        </w:rPr>
      </w:pPr>
    </w:p>
    <w:p w:rsidR="0053043C" w:rsidRPr="00C67E56" w:rsidRDefault="0053043C" w:rsidP="00EC0AEE">
      <w:pPr>
        <w:pStyle w:val="RKnormal"/>
        <w:ind w:left="-567"/>
        <w:rPr>
          <w:b/>
        </w:rPr>
      </w:pPr>
      <w:r w:rsidRPr="00C67E56">
        <w:rPr>
          <w:b/>
        </w:rPr>
        <w:t>17</w:t>
      </w:r>
      <w:r w:rsidR="006E70E1" w:rsidRPr="00C67E56">
        <w:rPr>
          <w:b/>
        </w:rPr>
        <w:t>.</w:t>
      </w:r>
      <w:r w:rsidRPr="00C67E56">
        <w:rPr>
          <w:b/>
        </w:rPr>
        <w:t xml:space="preserve"> Korsbefruktning mellan flaggskeppsinitiativ i Europa 2020-strategin – En digital agenda för Europa och Innovationsunionen</w:t>
      </w:r>
    </w:p>
    <w:p w:rsidR="0053043C" w:rsidRPr="00C67E56" w:rsidRDefault="0053043C" w:rsidP="00EC0AEE">
      <w:pPr>
        <w:pStyle w:val="RKnormal"/>
        <w:ind w:left="-567"/>
      </w:pPr>
    </w:p>
    <w:p w:rsidR="0053043C" w:rsidRPr="00C67E56" w:rsidRDefault="0053043C" w:rsidP="00EC0AEE">
      <w:pPr>
        <w:pStyle w:val="RKnormal"/>
        <w:ind w:left="-567"/>
      </w:pPr>
      <w:r w:rsidRPr="00C67E56">
        <w:t>- Antagande av rådsslutsatser</w:t>
      </w:r>
    </w:p>
    <w:p w:rsidR="0053043C" w:rsidRPr="00C67E56" w:rsidRDefault="0053043C" w:rsidP="00EC0AEE">
      <w:pPr>
        <w:pStyle w:val="RKnormal"/>
        <w:ind w:left="-567"/>
      </w:pPr>
    </w:p>
    <w:p w:rsidR="0053043C" w:rsidRPr="00C67E56" w:rsidRDefault="0053043C" w:rsidP="00EC0AEE">
      <w:pPr>
        <w:pStyle w:val="RKnormal"/>
        <w:ind w:left="-567"/>
      </w:pPr>
      <w:r w:rsidRPr="00C67E56">
        <w:t>Dok 9981/1/10 REV 1 TELECOM 52 AUDIO 17 COMPET 165 RECH 193 MI 168 DATAPROTECT 41</w:t>
      </w:r>
    </w:p>
    <w:p w:rsidR="0053043C" w:rsidRPr="00C67E56" w:rsidRDefault="0053043C" w:rsidP="00EC0AEE">
      <w:pPr>
        <w:pStyle w:val="RKnormal"/>
        <w:ind w:left="-567"/>
      </w:pPr>
      <w:r w:rsidRPr="00C67E56">
        <w:t>14035/10 RECH 306 COMPET 256 IND 110 REGIO 57 ECOFIN 554 MI 328</w:t>
      </w:r>
    </w:p>
    <w:p w:rsidR="0053043C" w:rsidRPr="00C67E56" w:rsidRDefault="0053043C" w:rsidP="00EC0AEE">
      <w:pPr>
        <w:pStyle w:val="Rubrik3"/>
        <w:ind w:left="-567"/>
      </w:pPr>
      <w:r w:rsidRPr="00C67E56">
        <w:t>Bakgrund</w:t>
      </w:r>
    </w:p>
    <w:p w:rsidR="0053043C" w:rsidRPr="00C67E56" w:rsidRDefault="0053043C" w:rsidP="00EC0AEE">
      <w:pPr>
        <w:pStyle w:val="RKnormal"/>
        <w:ind w:left="-567"/>
      </w:pPr>
      <w:r w:rsidRPr="00C67E56">
        <w:t xml:space="preserve">I EU 2020-strategin som antogs av Europeiska rådet i mars 2010 anges En digital agenda för Europa och Innovationsunionen som två av totalt sju flaggskeppsinitiativ. Initiativen syftar till att stödja förverkligandet av målen i EU 2020-strategin. </w:t>
      </w:r>
    </w:p>
    <w:p w:rsidR="0053043C" w:rsidRPr="00C67E56" w:rsidRDefault="0053043C" w:rsidP="00EC0AEE">
      <w:pPr>
        <w:pStyle w:val="RKnormal"/>
        <w:ind w:left="-567"/>
      </w:pPr>
    </w:p>
    <w:p w:rsidR="0053043C" w:rsidRPr="00C67E56" w:rsidRDefault="0053043C" w:rsidP="00EC0AEE">
      <w:pPr>
        <w:pStyle w:val="RKnormal"/>
        <w:ind w:left="-567"/>
      </w:pPr>
      <w:r w:rsidRPr="00C67E56">
        <w:t>Kommissionen antog meddelandet En digital agenda för Europa den 19 maj. Meddelandet om Innovationsunionen antogs den 6 oktober.</w:t>
      </w:r>
    </w:p>
    <w:p w:rsidR="0053043C" w:rsidRPr="00C67E56" w:rsidRDefault="0053043C" w:rsidP="00EC0AEE">
      <w:pPr>
        <w:pStyle w:val="RKnormal"/>
        <w:ind w:left="-567"/>
      </w:pPr>
    </w:p>
    <w:p w:rsidR="0053043C" w:rsidRPr="00C67E56" w:rsidRDefault="0053043C" w:rsidP="00EC0AEE">
      <w:pPr>
        <w:pStyle w:val="RKnormal"/>
        <w:ind w:left="-567"/>
      </w:pPr>
      <w:r w:rsidRPr="00C67E56">
        <w:t>Rådsslutsatser för En digital agenda antogs vid TTE den 31 maj 2010. Ordförandeskapet avser att anta rådsslutsatser för Innovationsunionen vid Konkurrenskraftsrådets industridel den 26 november.</w:t>
      </w:r>
    </w:p>
    <w:p w:rsidR="0053043C" w:rsidRPr="00C67E56" w:rsidRDefault="0053043C" w:rsidP="00EC0AEE">
      <w:pPr>
        <w:pStyle w:val="RKnormal"/>
        <w:ind w:left="-567"/>
      </w:pPr>
    </w:p>
    <w:p w:rsidR="0053043C" w:rsidRPr="00C67E56" w:rsidRDefault="0053043C" w:rsidP="00EC0AEE">
      <w:pPr>
        <w:pStyle w:val="RKnormal"/>
        <w:ind w:left="-567"/>
      </w:pPr>
      <w:r w:rsidRPr="00C67E56">
        <w:t>Det belgiska ordförandeskapet har tagit initiativ till att utöver ovanstående rådsslutsatser även utarbeta rådsslutsatser om korsbefruktning mellan flaggskeppsinitiativ i Europa 2020-strategin – En digital agenda för Europa och Innovationsunionen.</w:t>
      </w:r>
    </w:p>
    <w:p w:rsidR="0053043C" w:rsidRPr="00C67E56" w:rsidRDefault="0053043C" w:rsidP="00EC0AEE">
      <w:pPr>
        <w:pStyle w:val="RKnormal"/>
        <w:ind w:left="-567"/>
      </w:pPr>
    </w:p>
    <w:p w:rsidR="0053043C" w:rsidRPr="00C67E56" w:rsidRDefault="0053043C" w:rsidP="00EC0AEE">
      <w:pPr>
        <w:pStyle w:val="Rubrik3"/>
        <w:ind w:left="-567"/>
      </w:pPr>
      <w:r w:rsidRPr="00C67E56">
        <w:t>Tidigare behandling i EU-nämnden och Coreper</w:t>
      </w:r>
    </w:p>
    <w:p w:rsidR="0053043C" w:rsidRPr="00C67E56" w:rsidRDefault="0053043C" w:rsidP="00EC0AEE">
      <w:pPr>
        <w:pStyle w:val="RKnormal"/>
        <w:ind w:left="-567"/>
      </w:pPr>
      <w:r w:rsidRPr="00C67E56">
        <w:t>Ärendet har inte tidigare behandlats i EU-nämnden. Däremot har meddelandet om en digital agenda för Europa behandlats i EU-nämnden den 28 maj. Innovationsunionen har behandlats i EU-nämnden den 19 november.</w:t>
      </w:r>
    </w:p>
    <w:p w:rsidR="0053043C" w:rsidRPr="00C67E56" w:rsidRDefault="0053043C" w:rsidP="00EC0AEE">
      <w:pPr>
        <w:pStyle w:val="RKnormal"/>
        <w:ind w:left="-567"/>
      </w:pPr>
    </w:p>
    <w:p w:rsidR="0053043C" w:rsidRPr="00C67E56" w:rsidRDefault="0053043C" w:rsidP="00EC0AEE">
      <w:pPr>
        <w:pStyle w:val="RKnormal"/>
        <w:ind w:left="-567"/>
      </w:pPr>
      <w:r w:rsidRPr="00C67E56">
        <w:t>Ärendet behandlas i Coreper den 24 november.</w:t>
      </w:r>
    </w:p>
    <w:p w:rsidR="0053043C" w:rsidRPr="00C67E56" w:rsidRDefault="0053043C" w:rsidP="00EC0AEE">
      <w:pPr>
        <w:pStyle w:val="RKnormal"/>
        <w:ind w:left="-567"/>
      </w:pPr>
    </w:p>
    <w:p w:rsidR="0053043C" w:rsidRPr="00C67E56" w:rsidRDefault="0053043C" w:rsidP="00EC0AEE">
      <w:pPr>
        <w:pStyle w:val="RKnormal"/>
        <w:ind w:left="-567"/>
      </w:pPr>
    </w:p>
    <w:p w:rsidR="0053043C" w:rsidRPr="00C67E56" w:rsidRDefault="0053043C" w:rsidP="00EC0AEE">
      <w:pPr>
        <w:pStyle w:val="RKnormal"/>
        <w:ind w:left="-567"/>
      </w:pPr>
    </w:p>
    <w:p w:rsidR="006C4D4A" w:rsidRPr="00C67E56" w:rsidRDefault="006C4D4A" w:rsidP="00EC0AEE">
      <w:pPr>
        <w:pStyle w:val="RKrubrik"/>
        <w:ind w:left="-567"/>
      </w:pPr>
      <w:r w:rsidRPr="00C67E56">
        <w:t>18.Europeiska bredbandssektorn – investeringar i digitalt baserad tillväxt</w:t>
      </w:r>
    </w:p>
    <w:p w:rsidR="00900FC2" w:rsidRPr="00C67E56" w:rsidRDefault="00900FC2" w:rsidP="00EC0AEE">
      <w:pPr>
        <w:spacing w:line="240" w:lineRule="auto"/>
        <w:ind w:left="-567"/>
      </w:pPr>
      <w:r w:rsidRPr="00C67E56">
        <w:t>13874/10 TELECOM 92 COMPET 246</w:t>
      </w:r>
    </w:p>
    <w:p w:rsidR="00900FC2" w:rsidRPr="00C67E56" w:rsidRDefault="00900FC2" w:rsidP="00EC0AEE">
      <w:pPr>
        <w:pStyle w:val="RKnormal"/>
        <w:ind w:left="-567"/>
      </w:pPr>
    </w:p>
    <w:p w:rsidR="006C4D4A" w:rsidRPr="00C67E56" w:rsidRDefault="006C4D4A" w:rsidP="00EC0AEE">
      <w:pPr>
        <w:pStyle w:val="RKnormal"/>
        <w:ind w:left="-567"/>
      </w:pPr>
      <w:r w:rsidRPr="00C67E56">
        <w:t>- antagande rådsslutsatser</w:t>
      </w:r>
    </w:p>
    <w:p w:rsidR="006C4D4A" w:rsidRPr="00C67E56" w:rsidRDefault="006C4D4A" w:rsidP="00EC0AEE">
      <w:pPr>
        <w:pStyle w:val="RKnormal"/>
        <w:ind w:left="-567"/>
      </w:pPr>
    </w:p>
    <w:p w:rsidR="006C4D4A" w:rsidRPr="00C67E56" w:rsidRDefault="006C4D4A" w:rsidP="00EC0AEE">
      <w:pPr>
        <w:pStyle w:val="RKnormal"/>
        <w:ind w:left="-567"/>
        <w:rPr>
          <w:i/>
        </w:rPr>
      </w:pPr>
      <w:r w:rsidRPr="00C67E56">
        <w:rPr>
          <w:i/>
        </w:rPr>
        <w:t>Meddelandet och slutsatserna har inte tidigare behandlats i EUnämnden.</w:t>
      </w:r>
    </w:p>
    <w:p w:rsidR="006C4D4A" w:rsidRPr="00C67E56" w:rsidRDefault="006C4D4A" w:rsidP="00EC0AEE">
      <w:pPr>
        <w:pStyle w:val="Rubrik3"/>
        <w:ind w:left="-567"/>
      </w:pPr>
      <w:r w:rsidRPr="00C67E56">
        <w:t>Bakgrund</w:t>
      </w:r>
    </w:p>
    <w:p w:rsidR="006C4D4A" w:rsidRPr="00C67E56" w:rsidRDefault="006C4D4A" w:rsidP="00EC0AEE">
      <w:pPr>
        <w:pStyle w:val="RKnormal"/>
        <w:ind w:left="-567"/>
      </w:pPr>
    </w:p>
    <w:p w:rsidR="006C4D4A" w:rsidRPr="00C67E56" w:rsidRDefault="006C4D4A" w:rsidP="00EC0AEE">
      <w:pPr>
        <w:pStyle w:val="RKnormal"/>
        <w:ind w:left="-567"/>
      </w:pPr>
      <w:r w:rsidRPr="00C67E56">
        <w:t xml:space="preserve">Kommissionen beslutade den 19 maj 2010 om meddelandet en Digital agenda för Europa. Agendan innehåller sju prioriterade åtgärdsområden där ett av åtgärdsområdena är ökad tillgång till snabbt och ultrasnabbt Internet. Ett bredbandsmeddelande aviseras som en nyckelåtgärd i det fortsatta arbetet. Bredbandsmeddelandet skulle innehålla en gemensam ram för åtgärder i EU och medlemsstaterna för att uppnå bredbandsmålen i En digital agenda för Europa och som tidigare fastslagits i Strategin för Europa 2020. Kommissionen beslutade den 20 september om meddelandet European Broadband: investing in digitally driven growth (Bredbandsmeddelandet).  </w:t>
      </w:r>
    </w:p>
    <w:p w:rsidR="006C4D4A" w:rsidRPr="00C67E56" w:rsidRDefault="006C4D4A" w:rsidP="00EC0AEE">
      <w:pPr>
        <w:pStyle w:val="RKnormal"/>
        <w:ind w:left="-567"/>
      </w:pPr>
    </w:p>
    <w:p w:rsidR="006C4D4A" w:rsidRPr="00C67E56" w:rsidRDefault="006C4D4A" w:rsidP="00EC0AEE">
      <w:pPr>
        <w:pStyle w:val="RKnormal"/>
        <w:ind w:left="-567"/>
      </w:pPr>
      <w:r w:rsidRPr="00C67E56">
        <w:t xml:space="preserve">TTE-rådet ska besluta om rådsslutsatser om bredbandsmeddelandet. </w:t>
      </w:r>
    </w:p>
    <w:p w:rsidR="006C4D4A" w:rsidRPr="00C67E56" w:rsidRDefault="006C4D4A" w:rsidP="00EC0AEE">
      <w:pPr>
        <w:pStyle w:val="RKnormal"/>
        <w:ind w:left="-567"/>
      </w:pPr>
    </w:p>
    <w:p w:rsidR="006C4D4A" w:rsidRPr="00C67E56" w:rsidRDefault="006C4D4A" w:rsidP="00EC0AEE">
      <w:pPr>
        <w:pStyle w:val="RKnormal"/>
        <w:ind w:left="-567"/>
      </w:pPr>
      <w:r w:rsidRPr="00C67E56">
        <w:t>Ärendet är slutbehandlat i Coreper.</w:t>
      </w:r>
    </w:p>
    <w:p w:rsidR="006C4D4A" w:rsidRPr="00C67E56" w:rsidRDefault="006C4D4A" w:rsidP="00EC0AEE">
      <w:pPr>
        <w:pStyle w:val="RKnormal"/>
        <w:ind w:left="-567"/>
      </w:pPr>
    </w:p>
    <w:p w:rsidR="0086705D" w:rsidRPr="00C67E56" w:rsidRDefault="0086705D">
      <w:pPr>
        <w:spacing w:line="240" w:lineRule="auto"/>
        <w:ind w:left="-567"/>
        <w:rPr>
          <w:b/>
          <w:lang w:eastAsia="fi-FI"/>
        </w:rPr>
      </w:pPr>
    </w:p>
    <w:p w:rsidR="00D07917" w:rsidRPr="00C67E56" w:rsidRDefault="00D07917">
      <w:pPr>
        <w:spacing w:line="240" w:lineRule="auto"/>
        <w:ind w:left="-567"/>
        <w:rPr>
          <w:b/>
          <w:u w:val="single"/>
        </w:rPr>
      </w:pPr>
    </w:p>
    <w:p w:rsidR="00026311" w:rsidRPr="00C67E56" w:rsidRDefault="00B43F09">
      <w:pPr>
        <w:spacing w:line="240" w:lineRule="auto"/>
        <w:ind w:left="-567"/>
        <w:rPr>
          <w:u w:val="single"/>
        </w:rPr>
      </w:pPr>
      <w:r w:rsidRPr="00C67E56">
        <w:rPr>
          <w:b/>
          <w:u w:val="single"/>
        </w:rPr>
        <w:t>19. Övriga frågor</w:t>
      </w:r>
    </w:p>
    <w:p w:rsidR="000B27CA" w:rsidRPr="00C67E56" w:rsidRDefault="000B27CA">
      <w:pPr>
        <w:spacing w:line="240" w:lineRule="auto"/>
        <w:ind w:left="-567"/>
        <w:rPr>
          <w:b/>
        </w:rPr>
      </w:pPr>
    </w:p>
    <w:p w:rsidR="00026311" w:rsidRPr="00C67E56" w:rsidRDefault="00B43F09">
      <w:pPr>
        <w:spacing w:line="240" w:lineRule="auto"/>
        <w:ind w:left="-567"/>
        <w:rPr>
          <w:u w:val="single"/>
        </w:rPr>
      </w:pPr>
      <w:r w:rsidRPr="00C67E56">
        <w:rPr>
          <w:u w:val="single"/>
        </w:rPr>
        <w:t>Transporter</w:t>
      </w:r>
      <w:r w:rsidR="00026311" w:rsidRPr="00C67E56">
        <w:rPr>
          <w:u w:val="single"/>
        </w:rPr>
        <w:tab/>
      </w:r>
    </w:p>
    <w:p w:rsidR="00026311" w:rsidRPr="00C67E56" w:rsidRDefault="00026311">
      <w:pPr>
        <w:spacing w:line="240" w:lineRule="auto"/>
        <w:ind w:left="-567"/>
      </w:pPr>
    </w:p>
    <w:p w:rsidR="00EC07F6" w:rsidRPr="00C67E56" w:rsidRDefault="00EC07F6" w:rsidP="00EC07F6">
      <w:pPr>
        <w:tabs>
          <w:tab w:val="left" w:pos="0"/>
        </w:tabs>
        <w:spacing w:line="240" w:lineRule="auto"/>
        <w:ind w:hanging="567"/>
        <w:rPr>
          <w:b/>
        </w:rPr>
      </w:pPr>
      <w:r w:rsidRPr="00C67E56">
        <w:rPr>
          <w:b/>
          <w:szCs w:val="24"/>
        </w:rPr>
        <w:t>a)</w:t>
      </w:r>
      <w:r w:rsidRPr="00C67E56">
        <w:rPr>
          <w:b/>
          <w:szCs w:val="24"/>
        </w:rPr>
        <w:tab/>
      </w:r>
      <w:r w:rsidRPr="00C67E56">
        <w:rPr>
          <w:b/>
        </w:rPr>
        <w:t>Förslag till Europaparlamentets och rådets förordning om ändring av förordning (EG) nr 1406/2002 om inrättande av en europeisk sjösäkerhetsbyrå</w:t>
      </w:r>
    </w:p>
    <w:p w:rsidR="00EC07F6" w:rsidRPr="00C67E56" w:rsidRDefault="00EC07F6" w:rsidP="00EC07F6">
      <w:pPr>
        <w:tabs>
          <w:tab w:val="left" w:pos="0"/>
        </w:tabs>
        <w:spacing w:line="240" w:lineRule="auto"/>
        <w:ind w:hanging="567"/>
        <w:rPr>
          <w:i/>
        </w:rPr>
      </w:pPr>
      <w:r w:rsidRPr="00C67E56">
        <w:tab/>
      </w:r>
      <w:r w:rsidRPr="00C67E56">
        <w:tab/>
      </w:r>
      <w:r w:rsidRPr="00C67E56">
        <w:rPr>
          <w:i/>
        </w:rPr>
        <w:t xml:space="preserve">– </w:t>
      </w:r>
      <w:r w:rsidRPr="00C67E56">
        <w:rPr>
          <w:i/>
          <w:color w:val="000000"/>
        </w:rPr>
        <w:t>Föredragning av kommissionen</w:t>
      </w:r>
    </w:p>
    <w:p w:rsidR="00EC07F6" w:rsidRPr="00C67E56" w:rsidRDefault="00EC07F6" w:rsidP="00EC07F6">
      <w:pPr>
        <w:tabs>
          <w:tab w:val="left" w:pos="0"/>
        </w:tabs>
        <w:spacing w:line="240" w:lineRule="auto"/>
        <w:ind w:hanging="567"/>
        <w:rPr>
          <w:szCs w:val="24"/>
        </w:rPr>
      </w:pPr>
    </w:p>
    <w:p w:rsidR="00EC07F6" w:rsidRPr="00C67E56" w:rsidRDefault="00EC07F6" w:rsidP="00EC07F6">
      <w:pPr>
        <w:tabs>
          <w:tab w:val="left" w:pos="0"/>
        </w:tabs>
        <w:spacing w:line="240" w:lineRule="auto"/>
        <w:ind w:hanging="567"/>
        <w:rPr>
          <w:szCs w:val="24"/>
        </w:rPr>
      </w:pPr>
      <w:r w:rsidRPr="00C67E56">
        <w:rPr>
          <w:szCs w:val="24"/>
        </w:rPr>
        <w:tab/>
        <w:t>Dok: 15717/10 MAR 111 CODEC 1210</w:t>
      </w:r>
    </w:p>
    <w:p w:rsidR="00EC07F6" w:rsidRPr="00C67E56" w:rsidRDefault="00EC07F6" w:rsidP="00EC07F6">
      <w:pPr>
        <w:tabs>
          <w:tab w:val="left" w:pos="0"/>
        </w:tabs>
        <w:spacing w:line="240" w:lineRule="auto"/>
        <w:ind w:hanging="567"/>
        <w:rPr>
          <w:szCs w:val="24"/>
        </w:rPr>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tabs>
          <w:tab w:val="left" w:pos="0"/>
        </w:tabs>
        <w:spacing w:line="240" w:lineRule="auto"/>
        <w:ind w:hanging="567"/>
        <w:rPr>
          <w:szCs w:val="24"/>
        </w:rPr>
      </w:pPr>
    </w:p>
    <w:p w:rsidR="00EC07F6" w:rsidRPr="00C67E56" w:rsidRDefault="00EC07F6" w:rsidP="00EC07F6">
      <w:pPr>
        <w:ind w:left="-567"/>
        <w:rPr>
          <w:b/>
        </w:rPr>
      </w:pPr>
      <w:r w:rsidRPr="00C67E56">
        <w:rPr>
          <w:b/>
        </w:rPr>
        <w:t>Bakgrund</w:t>
      </w:r>
    </w:p>
    <w:p w:rsidR="00EC07F6" w:rsidRPr="00C67E56" w:rsidRDefault="00EC07F6" w:rsidP="00EC07F6">
      <w:pPr>
        <w:ind w:left="-567"/>
      </w:pPr>
      <w:r w:rsidRPr="00C67E56">
        <w:t xml:space="preserve">EU:s sjösäkerhetsbyrå EMSA (European Maritime Safety Agency) tillkom till följd av olyckan med oljetankern Erika som ledde till omfattande oljeutsläpp. EMSA har till uppgift att hålla en hög, enhetlig och effektiv nivå på sjösäkerheten och att förebygga oljeutsläpp inom EU. Europaparlamentet och rådet antog den 27 juni 2002 förordning 1406/2002. </w:t>
      </w:r>
    </w:p>
    <w:p w:rsidR="00EC07F6" w:rsidRPr="00C67E56" w:rsidRDefault="00EC07F6" w:rsidP="00EC07F6">
      <w:pPr>
        <w:pStyle w:val="RKnormal"/>
        <w:ind w:left="-567"/>
      </w:pPr>
      <w:r w:rsidRPr="00C67E56">
        <w:t>Förslaget till ändringen av EMSA:s grundförordning (1406/2002) klargör EMSA:s nuvarande uppgifter och roll samt föreslår att EMSA:s uppgifter utökas till nya områden där en utveckling pågår på internationell och/eller EU nivå.</w:t>
      </w:r>
    </w:p>
    <w:p w:rsidR="00EC07F6" w:rsidRPr="00C67E56" w:rsidRDefault="00EC07F6" w:rsidP="00EC07F6">
      <w:pPr>
        <w:pStyle w:val="RKnormal"/>
        <w:ind w:left="-567"/>
      </w:pPr>
    </w:p>
    <w:p w:rsidR="00EC07F6" w:rsidRPr="00C67E56" w:rsidRDefault="00EC07F6" w:rsidP="00EC07F6">
      <w:pPr>
        <w:pStyle w:val="RKnormal"/>
        <w:ind w:left="-567"/>
      </w:pPr>
      <w:r w:rsidRPr="00C67E56">
        <w:t xml:space="preserve">Frågan om ändring av EMSA:s grundförordning har inte behandlats tidigare i EU-nämnden. </w:t>
      </w:r>
    </w:p>
    <w:p w:rsidR="00EC07F6" w:rsidRPr="00C67E56" w:rsidRDefault="00EC07F6" w:rsidP="00EC07F6">
      <w:pPr>
        <w:spacing w:line="240" w:lineRule="auto"/>
        <w:ind w:left="-567"/>
      </w:pPr>
      <w:r w:rsidRPr="00C67E56">
        <w:tab/>
      </w:r>
    </w:p>
    <w:p w:rsidR="00EC07F6" w:rsidRPr="00C67E56" w:rsidRDefault="00EC07F6" w:rsidP="00EC07F6">
      <w:pPr>
        <w:spacing w:line="240" w:lineRule="auto"/>
        <w:ind w:left="-567"/>
        <w:rPr>
          <w:rFonts w:cs="Helv"/>
          <w:color w:val="000000"/>
          <w:szCs w:val="24"/>
        </w:rPr>
      </w:pPr>
      <w:r w:rsidRPr="00C67E56">
        <w:rPr>
          <w:u w:val="single"/>
        </w:rPr>
        <w:t xml:space="preserve">Förslag till svensk ståndpunkt:  </w:t>
      </w:r>
      <w:r w:rsidRPr="00C67E56">
        <w:rPr>
          <w:rFonts w:cs="Helv"/>
          <w:color w:val="000000"/>
          <w:szCs w:val="24"/>
        </w:rPr>
        <w:t>Att ta del av informationen från kommissionen om ändring av EMSA:s grundförordning</w:t>
      </w:r>
    </w:p>
    <w:p w:rsidR="00EC07F6" w:rsidRPr="00C67E56" w:rsidRDefault="00EC07F6" w:rsidP="00EC07F6">
      <w:pPr>
        <w:tabs>
          <w:tab w:val="left" w:pos="0"/>
        </w:tabs>
        <w:spacing w:line="240" w:lineRule="auto"/>
        <w:ind w:hanging="567"/>
        <w:rPr>
          <w:szCs w:val="24"/>
        </w:rPr>
      </w:pPr>
    </w:p>
    <w:p w:rsidR="00EC07F6" w:rsidRPr="00C67E56" w:rsidRDefault="00EC07F6" w:rsidP="00EC07F6">
      <w:pPr>
        <w:tabs>
          <w:tab w:val="left" w:pos="0"/>
        </w:tabs>
        <w:spacing w:line="240" w:lineRule="auto"/>
        <w:ind w:hanging="567"/>
        <w:rPr>
          <w:szCs w:val="24"/>
        </w:rPr>
      </w:pPr>
    </w:p>
    <w:p w:rsidR="00EC07F6" w:rsidRPr="00C67E56" w:rsidRDefault="00EC07F6" w:rsidP="00EC07F6">
      <w:pPr>
        <w:tabs>
          <w:tab w:val="left" w:pos="0"/>
        </w:tabs>
        <w:spacing w:line="240" w:lineRule="auto"/>
        <w:ind w:hanging="567"/>
        <w:rPr>
          <w:szCs w:val="24"/>
        </w:rPr>
      </w:pPr>
    </w:p>
    <w:p w:rsidR="00EC07F6" w:rsidRPr="00C67E56" w:rsidRDefault="00EC07F6" w:rsidP="00EC07F6">
      <w:pPr>
        <w:tabs>
          <w:tab w:val="left" w:pos="0"/>
        </w:tabs>
        <w:spacing w:line="240" w:lineRule="auto"/>
        <w:ind w:hanging="567"/>
        <w:rPr>
          <w:b/>
        </w:rPr>
      </w:pPr>
      <w:r w:rsidRPr="00C67E56">
        <w:rPr>
          <w:b/>
          <w:bCs/>
        </w:rPr>
        <w:t>b)</w:t>
      </w:r>
      <w:r w:rsidRPr="00C67E56">
        <w:rPr>
          <w:b/>
          <w:bCs/>
        </w:rPr>
        <w:tab/>
      </w:r>
      <w:r w:rsidRPr="00C67E56">
        <w:rPr>
          <w:b/>
        </w:rPr>
        <w:t>Medlemsstaternas genomförande av de internationella sjöfartskonventionerna</w:t>
      </w:r>
    </w:p>
    <w:p w:rsidR="00EC07F6" w:rsidRPr="00C67E56" w:rsidRDefault="00EC07F6" w:rsidP="00EC07F6">
      <w:pPr>
        <w:tabs>
          <w:tab w:val="left" w:pos="0"/>
        </w:tabs>
        <w:spacing w:line="240" w:lineRule="auto"/>
        <w:ind w:hanging="567"/>
        <w:rPr>
          <w:i/>
        </w:rPr>
      </w:pPr>
      <w:r w:rsidRPr="00C67E56">
        <w:tab/>
      </w:r>
      <w:r w:rsidRPr="00C67E56">
        <w:tab/>
      </w:r>
      <w:r w:rsidRPr="00C67E56">
        <w:rPr>
          <w:i/>
        </w:rPr>
        <w:t>– Information från kommissionen</w:t>
      </w:r>
    </w:p>
    <w:p w:rsidR="00EC07F6" w:rsidRPr="00C67E56" w:rsidRDefault="00EC07F6" w:rsidP="00EC07F6">
      <w:pPr>
        <w:tabs>
          <w:tab w:val="left" w:pos="0"/>
        </w:tabs>
        <w:spacing w:line="240" w:lineRule="auto"/>
        <w:ind w:hanging="567"/>
        <w:rPr>
          <w:bCs/>
        </w:rPr>
      </w:pPr>
    </w:p>
    <w:p w:rsidR="00EC07F6" w:rsidRPr="00C67E56" w:rsidRDefault="00EC07F6" w:rsidP="00EC07F6">
      <w:pPr>
        <w:tabs>
          <w:tab w:val="left" w:pos="0"/>
        </w:tabs>
        <w:spacing w:line="240" w:lineRule="auto"/>
        <w:ind w:hanging="567"/>
        <w:rPr>
          <w:bCs/>
        </w:rPr>
      </w:pPr>
      <w:r w:rsidRPr="00C67E56">
        <w:rPr>
          <w:bCs/>
        </w:rPr>
        <w:tab/>
      </w:r>
      <w:r w:rsidRPr="00C67E56">
        <w:rPr>
          <w:bCs/>
        </w:rPr>
        <w:tab/>
        <w:t>Dok: 15978/10 TRANS 310 MAR 115</w:t>
      </w:r>
    </w:p>
    <w:p w:rsidR="00EC07F6" w:rsidRPr="00C67E56" w:rsidRDefault="00EC07F6" w:rsidP="00EC07F6">
      <w:pPr>
        <w:tabs>
          <w:tab w:val="left" w:pos="0"/>
        </w:tabs>
        <w:spacing w:line="240" w:lineRule="auto"/>
        <w:ind w:hanging="567"/>
        <w:rPr>
          <w:bCs/>
        </w:rPr>
      </w:pPr>
    </w:p>
    <w:p w:rsidR="00EC07F6" w:rsidRPr="00C67E56" w:rsidRDefault="00EC07F6" w:rsidP="00EC07F6">
      <w:pPr>
        <w:ind w:left="-567"/>
      </w:pPr>
      <w:r w:rsidRPr="00C67E56">
        <w:t>Frågan har inte tidigare varit föremål för behandling i EU-nämnden.</w:t>
      </w:r>
    </w:p>
    <w:p w:rsidR="00EC07F6" w:rsidRPr="00C67E56" w:rsidRDefault="00EC07F6" w:rsidP="00EC07F6">
      <w:pPr>
        <w:ind w:left="-567"/>
      </w:pPr>
    </w:p>
    <w:p w:rsidR="00EC07F6" w:rsidRPr="00C67E56" w:rsidRDefault="00EC07F6" w:rsidP="00EC07F6">
      <w:pPr>
        <w:ind w:left="-567"/>
        <w:rPr>
          <w:b/>
          <w:bCs/>
        </w:rPr>
      </w:pPr>
      <w:r w:rsidRPr="00C67E56">
        <w:rPr>
          <w:b/>
          <w:bCs/>
        </w:rPr>
        <w:t>Bakgrund</w:t>
      </w:r>
    </w:p>
    <w:p w:rsidR="00EC07F6" w:rsidRPr="00C67E56" w:rsidRDefault="00EC07F6" w:rsidP="00EC07F6">
      <w:pPr>
        <w:pStyle w:val="RKnormal"/>
        <w:ind w:left="-567"/>
      </w:pPr>
      <w:r w:rsidRPr="00C67E56">
        <w:t xml:space="preserve">Kommissionen har sammanställt ett dokument över existerande internationella maritima konventioner. I dokumentet listar Kommissionen vilka medlemsstater som har tillträtt eller inte tillträtt de olika konventionerna. </w:t>
      </w:r>
    </w:p>
    <w:p w:rsidR="00EC07F6" w:rsidRPr="00C67E56" w:rsidRDefault="00EC07F6" w:rsidP="00EC07F6">
      <w:pPr>
        <w:ind w:left="-567"/>
        <w:rPr>
          <w:b/>
          <w:bCs/>
        </w:rPr>
      </w:pPr>
    </w:p>
    <w:p w:rsidR="00EC07F6" w:rsidRPr="00C67E56" w:rsidRDefault="00EC07F6" w:rsidP="00EC07F6">
      <w:pPr>
        <w:ind w:left="-567"/>
        <w:rPr>
          <w:bCs/>
          <w:u w:val="single"/>
        </w:rPr>
      </w:pPr>
      <w:r w:rsidRPr="00C67E56">
        <w:rPr>
          <w:bCs/>
          <w:u w:val="single"/>
        </w:rPr>
        <w:t>Förslag till svensk ståndpunkt:</w:t>
      </w:r>
    </w:p>
    <w:p w:rsidR="00EC07F6" w:rsidRPr="00C67E56" w:rsidRDefault="00EC07F6" w:rsidP="00EC07F6">
      <w:pPr>
        <w:pStyle w:val="RKnormal"/>
        <w:ind w:left="-567"/>
      </w:pPr>
      <w:r w:rsidRPr="00C67E56">
        <w:t>Sverige noterar informationen.</w:t>
      </w:r>
    </w:p>
    <w:p w:rsidR="00EC07F6" w:rsidRPr="00C67E56" w:rsidRDefault="00EC07F6" w:rsidP="00EC07F6">
      <w:pPr>
        <w:tabs>
          <w:tab w:val="left" w:pos="0"/>
        </w:tabs>
        <w:spacing w:line="240" w:lineRule="auto"/>
        <w:ind w:hanging="567"/>
        <w:rPr>
          <w:bCs/>
        </w:rPr>
      </w:pPr>
    </w:p>
    <w:p w:rsidR="00EC07F6" w:rsidRPr="00C67E56" w:rsidRDefault="00EC07F6" w:rsidP="00EC07F6">
      <w:pPr>
        <w:tabs>
          <w:tab w:val="left" w:pos="0"/>
        </w:tabs>
        <w:spacing w:line="240" w:lineRule="auto"/>
        <w:ind w:hanging="567"/>
        <w:rPr>
          <w:bCs/>
        </w:rPr>
      </w:pPr>
    </w:p>
    <w:p w:rsidR="00EC07F6" w:rsidRPr="00C67E56" w:rsidRDefault="00EC07F6" w:rsidP="00EC07F6">
      <w:pPr>
        <w:tabs>
          <w:tab w:val="left" w:pos="0"/>
        </w:tabs>
        <w:spacing w:line="240" w:lineRule="auto"/>
        <w:ind w:hanging="567"/>
        <w:rPr>
          <w:bCs/>
        </w:rPr>
      </w:pPr>
    </w:p>
    <w:p w:rsidR="00EC07F6" w:rsidRPr="00C67E56" w:rsidRDefault="00EC07F6" w:rsidP="00EC07F6">
      <w:pPr>
        <w:tabs>
          <w:tab w:val="left" w:pos="0"/>
        </w:tabs>
        <w:spacing w:line="240" w:lineRule="auto"/>
        <w:ind w:hanging="567"/>
        <w:rPr>
          <w:b/>
        </w:rPr>
      </w:pPr>
      <w:r w:rsidRPr="00C67E56">
        <w:rPr>
          <w:b/>
        </w:rPr>
        <w:t>c)</w:t>
      </w:r>
      <w:r w:rsidRPr="00C67E56">
        <w:rPr>
          <w:b/>
        </w:rPr>
        <w:tab/>
        <w:t>Skadeverkningarna av turkiska restriktiva åtgärder för Cypern, EU:s sjötransporter och frihandeln</w:t>
      </w:r>
    </w:p>
    <w:p w:rsidR="00EC07F6" w:rsidRPr="00C67E56" w:rsidRDefault="00EC07F6" w:rsidP="00EC07F6">
      <w:pPr>
        <w:tabs>
          <w:tab w:val="left" w:pos="0"/>
        </w:tabs>
        <w:spacing w:line="240" w:lineRule="auto"/>
        <w:ind w:hanging="567"/>
        <w:rPr>
          <w:i/>
        </w:rPr>
      </w:pPr>
      <w:r w:rsidRPr="00C67E56">
        <w:tab/>
      </w:r>
      <w:r w:rsidRPr="00C67E56">
        <w:tab/>
      </w:r>
      <w:r w:rsidRPr="00C67E56">
        <w:rPr>
          <w:i/>
        </w:rPr>
        <w:t>– Information från den cypriotiska delegationen</w:t>
      </w:r>
    </w:p>
    <w:p w:rsidR="00EC07F6" w:rsidRPr="00C67E56" w:rsidRDefault="00EC07F6" w:rsidP="00EC07F6">
      <w:pPr>
        <w:tabs>
          <w:tab w:val="left" w:pos="0"/>
        </w:tabs>
        <w:spacing w:line="240" w:lineRule="auto"/>
        <w:ind w:hanging="567"/>
        <w:rPr>
          <w:i/>
        </w:rPr>
      </w:pPr>
    </w:p>
    <w:p w:rsidR="00EC07F6" w:rsidRPr="00C67E56" w:rsidRDefault="00EC07F6" w:rsidP="00EC07F6">
      <w:pPr>
        <w:tabs>
          <w:tab w:val="left" w:pos="0"/>
        </w:tabs>
        <w:spacing w:line="240" w:lineRule="auto"/>
        <w:ind w:hanging="567"/>
      </w:pPr>
      <w:r w:rsidRPr="00C67E56">
        <w:rPr>
          <w:i/>
        </w:rPr>
        <w:tab/>
      </w:r>
      <w:r w:rsidRPr="00C67E56">
        <w:rPr>
          <w:i/>
        </w:rPr>
        <w:tab/>
      </w:r>
      <w:r w:rsidRPr="00C67E56">
        <w:t>Dok: föreligger ännu ej</w:t>
      </w:r>
    </w:p>
    <w:p w:rsidR="00EC07F6" w:rsidRPr="00C67E56" w:rsidRDefault="00EC07F6" w:rsidP="00EC07F6">
      <w:pPr>
        <w:tabs>
          <w:tab w:val="left" w:pos="0"/>
        </w:tabs>
        <w:spacing w:line="240" w:lineRule="auto"/>
        <w:ind w:hanging="567"/>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Bakgrund</w:t>
      </w:r>
    </w:p>
    <w:p w:rsidR="00EC07F6" w:rsidRPr="00C67E56" w:rsidRDefault="00EC07F6" w:rsidP="00EC07F6">
      <w:pPr>
        <w:pStyle w:val="RKnormal"/>
        <w:ind w:left="-567"/>
      </w:pPr>
      <w:r w:rsidRPr="00C67E56">
        <w:t>Den cypriotiske delegaten kommer att informera om konkurrensbegränsade åtgärder från Turkiet på sjöfartsområdet.</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u w:val="single"/>
        </w:rPr>
      </w:pPr>
      <w:r w:rsidRPr="00C67E56">
        <w:rPr>
          <w:u w:val="single"/>
        </w:rPr>
        <w:t>Förslag till svensk ståndpunkt:</w:t>
      </w:r>
    </w:p>
    <w:p w:rsidR="00EC07F6" w:rsidRPr="00C67E56" w:rsidRDefault="00EC07F6" w:rsidP="00EC07F6">
      <w:pPr>
        <w:tabs>
          <w:tab w:val="left" w:pos="0"/>
        </w:tabs>
        <w:spacing w:line="240" w:lineRule="auto"/>
        <w:ind w:hanging="567"/>
      </w:pPr>
      <w:r w:rsidRPr="00C67E56">
        <w:t>Sverige noterar informationen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d)</w:t>
      </w:r>
      <w:r w:rsidRPr="00C67E56">
        <w:rPr>
          <w:b/>
        </w:rPr>
        <w:tab/>
        <w:t>Toppmöte om luftfart (Brygge den 25–28 oktober 2010)</w:t>
      </w:r>
    </w:p>
    <w:p w:rsidR="00EC07F6" w:rsidRPr="00C67E56" w:rsidRDefault="00EC07F6" w:rsidP="00EC07F6">
      <w:pPr>
        <w:tabs>
          <w:tab w:val="left" w:pos="0"/>
        </w:tabs>
        <w:spacing w:line="240" w:lineRule="auto"/>
        <w:ind w:hanging="567"/>
        <w:rPr>
          <w:i/>
        </w:rPr>
      </w:pPr>
      <w:r w:rsidRPr="00C67E56">
        <w:tab/>
      </w:r>
      <w:r w:rsidRPr="00C67E56">
        <w:tab/>
      </w:r>
      <w:r w:rsidRPr="00C67E56">
        <w:rPr>
          <w:i/>
        </w:rPr>
        <w:t xml:space="preserve">– Information från ordförandeskapet – Rapport om </w:t>
      </w:r>
      <w:r w:rsidRPr="00C67E56">
        <w:rPr>
          <w:i/>
        </w:rPr>
        <w:tab/>
      </w:r>
      <w:r w:rsidRPr="00C67E56">
        <w:rPr>
          <w:i/>
        </w:rPr>
        <w:tab/>
      </w:r>
      <w:r w:rsidRPr="00C67E56">
        <w:rPr>
          <w:i/>
        </w:rPr>
        <w:tab/>
        <w:t>Bryggeförklaringen och ordförandeskapet slutsatser</w:t>
      </w:r>
    </w:p>
    <w:p w:rsidR="00EC07F6" w:rsidRPr="00C67E56" w:rsidRDefault="00EC07F6" w:rsidP="00EC07F6">
      <w:pPr>
        <w:tabs>
          <w:tab w:val="left" w:pos="0"/>
        </w:tabs>
        <w:spacing w:line="240" w:lineRule="auto"/>
        <w:ind w:hanging="567"/>
        <w:rPr>
          <w:i/>
        </w:rPr>
      </w:pPr>
    </w:p>
    <w:p w:rsidR="00EC07F6" w:rsidRPr="00C67E56" w:rsidRDefault="00EC07F6" w:rsidP="00EC07F6">
      <w:pPr>
        <w:tabs>
          <w:tab w:val="left" w:pos="0"/>
        </w:tabs>
        <w:spacing w:line="240" w:lineRule="auto"/>
        <w:ind w:hanging="567"/>
      </w:pPr>
      <w:r w:rsidRPr="00C67E56">
        <w:rPr>
          <w:i/>
        </w:rPr>
        <w:tab/>
      </w:r>
      <w:r w:rsidRPr="00C67E56">
        <w:rPr>
          <w:i/>
        </w:rPr>
        <w:tab/>
      </w:r>
      <w:r w:rsidRPr="00C67E56">
        <w:t>Dok: föreligger ännu ej</w:t>
      </w:r>
    </w:p>
    <w:p w:rsidR="00EC07F6" w:rsidRPr="00C67E56" w:rsidRDefault="00EC07F6" w:rsidP="00EC07F6">
      <w:pPr>
        <w:tabs>
          <w:tab w:val="left" w:pos="0"/>
        </w:tabs>
        <w:spacing w:line="240" w:lineRule="auto"/>
        <w:ind w:hanging="567"/>
        <w:rPr>
          <w:i/>
        </w:rPr>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tabs>
          <w:tab w:val="left" w:pos="0"/>
        </w:tabs>
        <w:spacing w:line="240" w:lineRule="auto"/>
        <w:ind w:hanging="567"/>
        <w:rPr>
          <w:i/>
        </w:rPr>
      </w:pPr>
    </w:p>
    <w:p w:rsidR="00EC07F6" w:rsidRPr="00C67E56" w:rsidRDefault="00EC07F6" w:rsidP="00EC07F6">
      <w:pPr>
        <w:tabs>
          <w:tab w:val="left" w:pos="0"/>
        </w:tabs>
        <w:spacing w:line="240" w:lineRule="auto"/>
        <w:ind w:left="-567"/>
        <w:rPr>
          <w:b/>
        </w:rPr>
      </w:pPr>
      <w:r w:rsidRPr="00C67E56">
        <w:rPr>
          <w:b/>
        </w:rPr>
        <w:t>Bakgrund</w:t>
      </w:r>
      <w:r w:rsidRPr="00C67E56">
        <w:rPr>
          <w:b/>
        </w:rPr>
        <w:br/>
      </w:r>
      <w:r w:rsidRPr="00C67E56">
        <w:t xml:space="preserve">Ett toppmöte med inbjudan till generaldirektörer för luftfart hölls i Brygge den 25-28 oktober i år. Toppmötet antog en deklaration kallad Bryggedeklarationen. Deklarationen behandlar påskyndande av genomförandet av det gemensamma luftrummet och då särskilt efter den revidering som trädde ikraft 2009. Sverige ligger väl framme i etablering av exempelvis funktionellt luftrumsblock men även andra delar av det gemensamma luftrummets nya krav på flygledningssystemet. </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u w:val="single"/>
        </w:rPr>
      </w:pPr>
      <w:r w:rsidRPr="00C67E56">
        <w:rPr>
          <w:u w:val="single"/>
        </w:rPr>
        <w:t>Förslag till svensk ståndpunkt:</w:t>
      </w:r>
    </w:p>
    <w:p w:rsidR="00EC07F6" w:rsidRPr="00C67E56" w:rsidRDefault="00EC07F6" w:rsidP="00EC07F6">
      <w:pPr>
        <w:tabs>
          <w:tab w:val="left" w:pos="0"/>
        </w:tabs>
        <w:spacing w:line="240" w:lineRule="auto"/>
        <w:ind w:hanging="567"/>
      </w:pPr>
      <w:r w:rsidRPr="00C67E56">
        <w:t>Sverige noterar informationen.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e)</w:t>
      </w:r>
      <w:r w:rsidRPr="00C67E56">
        <w:rPr>
          <w:b/>
        </w:rPr>
        <w:tab/>
        <w:t xml:space="preserve">Rapport om </w:t>
      </w:r>
      <w:r w:rsidRPr="00C67E56">
        <w:rPr>
          <w:b/>
          <w:color w:val="000000"/>
        </w:rPr>
        <w:t>förhandlingarna om ett övergripande luftfartsavtal med Förbundsrepubliken Brasilien</w:t>
      </w:r>
    </w:p>
    <w:p w:rsidR="00EC07F6" w:rsidRPr="00C67E56" w:rsidRDefault="00EC07F6" w:rsidP="00EC07F6">
      <w:pPr>
        <w:tabs>
          <w:tab w:val="left" w:pos="0"/>
        </w:tabs>
        <w:spacing w:line="240" w:lineRule="auto"/>
        <w:ind w:hanging="567"/>
        <w:rPr>
          <w:i/>
        </w:rPr>
      </w:pPr>
      <w:r w:rsidRPr="00C67E56">
        <w:tab/>
      </w:r>
      <w:r w:rsidRPr="00C67E56">
        <w:tab/>
      </w:r>
      <w:r w:rsidRPr="00C67E56">
        <w:rPr>
          <w:i/>
        </w:rPr>
        <w:t>– Information från kommissionen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r w:rsidRPr="00C67E56">
        <w:tab/>
      </w:r>
      <w:r w:rsidRPr="00C67E56">
        <w:tab/>
        <w:t>Dok: föreligger ej</w:t>
      </w:r>
    </w:p>
    <w:p w:rsidR="00EC07F6" w:rsidRPr="00C67E56" w:rsidRDefault="00EC07F6" w:rsidP="00EC07F6">
      <w:pPr>
        <w:tabs>
          <w:tab w:val="left" w:pos="0"/>
        </w:tabs>
        <w:spacing w:line="240" w:lineRule="auto"/>
        <w:ind w:hanging="567"/>
      </w:pPr>
    </w:p>
    <w:p w:rsidR="00EC07F6" w:rsidRPr="00C67E56" w:rsidRDefault="00EC07F6" w:rsidP="00EC07F6">
      <w:pPr>
        <w:ind w:left="-567"/>
      </w:pPr>
      <w:r w:rsidRPr="00C67E56">
        <w:t>Frågan har inte tidigare behandlats i EU-nämnden.</w:t>
      </w:r>
    </w:p>
    <w:p w:rsidR="00EC07F6" w:rsidRPr="00C67E56" w:rsidRDefault="00EC07F6" w:rsidP="00EC07F6">
      <w:pPr>
        <w:ind w:left="-567"/>
      </w:pPr>
    </w:p>
    <w:p w:rsidR="00EC07F6" w:rsidRPr="00C67E56" w:rsidRDefault="00EC07F6" w:rsidP="00EC07F6">
      <w:pPr>
        <w:ind w:left="-567"/>
        <w:rPr>
          <w:b/>
        </w:rPr>
      </w:pPr>
      <w:r w:rsidRPr="00C67E56">
        <w:rPr>
          <w:b/>
        </w:rPr>
        <w:t>Bakgrund</w:t>
      </w:r>
    </w:p>
    <w:p w:rsidR="00EC07F6" w:rsidRPr="00C67E56" w:rsidRDefault="00EC07F6" w:rsidP="00EC07F6">
      <w:pPr>
        <w:ind w:left="-567"/>
        <w:rPr>
          <w:b/>
        </w:rPr>
      </w:pPr>
    </w:p>
    <w:p w:rsidR="00EC07F6" w:rsidRPr="00C67E56" w:rsidRDefault="00EC07F6" w:rsidP="00EC07F6">
      <w:pPr>
        <w:ind w:left="-567"/>
      </w:pPr>
      <w:r w:rsidRPr="00C67E56">
        <w:t>I oktober 2010 fick kommissionen mandat av rådet att inleda förhandlingar med Brasilien om ett luftfartsavtal. Två förhandlingsomgångar har genomförts och en tredje kommer att äga rum den 22 november 2010. Förhandlingarna sker på basis av ett europeiskt avtalsutkast och Brasilien har redan accepterat stora av förslaget. De utestående frågorna handlar huvudsakligen om trafikrättigheter och äganderätt till flygbolag.</w:t>
      </w:r>
    </w:p>
    <w:p w:rsidR="00EC07F6" w:rsidRPr="00C67E56" w:rsidRDefault="00EC07F6" w:rsidP="00EC07F6">
      <w:pPr>
        <w:ind w:left="-567"/>
      </w:pPr>
    </w:p>
    <w:p w:rsidR="00EC07F6" w:rsidRPr="00C67E56" w:rsidRDefault="00EC07F6" w:rsidP="00EC07F6">
      <w:pPr>
        <w:ind w:left="-567"/>
      </w:pPr>
      <w:r w:rsidRPr="00C67E56">
        <w:t>Kommissionen kommer att vid rådsmötet informera om läget i förhandlingarna.</w:t>
      </w:r>
    </w:p>
    <w:p w:rsidR="00EC07F6" w:rsidRPr="00C67E56" w:rsidRDefault="00EC07F6" w:rsidP="00EC07F6">
      <w:pPr>
        <w:ind w:left="-567"/>
      </w:pPr>
    </w:p>
    <w:p w:rsidR="00EC07F6" w:rsidRPr="00C67E56" w:rsidRDefault="00EC07F6" w:rsidP="00EC07F6">
      <w:pPr>
        <w:ind w:left="-567"/>
        <w:rPr>
          <w:u w:val="single"/>
        </w:rPr>
      </w:pPr>
      <w:r w:rsidRPr="00C67E56">
        <w:rPr>
          <w:u w:val="single"/>
        </w:rPr>
        <w:t>Förslag till svensk ståndpunkt:</w:t>
      </w:r>
    </w:p>
    <w:p w:rsidR="00EC07F6" w:rsidRPr="00C67E56" w:rsidRDefault="00EC07F6" w:rsidP="00EC07F6">
      <w:pPr>
        <w:ind w:left="-567"/>
      </w:pPr>
      <w:r w:rsidRPr="00C67E56">
        <w:t>Sverige bör notera informationen.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f)</w:t>
      </w:r>
      <w:r w:rsidRPr="00C67E56">
        <w:rPr>
          <w:b/>
        </w:rPr>
        <w:tab/>
        <w:t>Stärkt återhämtningsförmåga för det europeiska transportsystemet – att säkerställa oavbruten mobilitet för passagerare och gods vid plötsliga kriser på transportområdet</w:t>
      </w:r>
    </w:p>
    <w:p w:rsidR="00EC07F6" w:rsidRPr="00C67E56" w:rsidRDefault="00EC07F6" w:rsidP="00EC07F6">
      <w:pPr>
        <w:tabs>
          <w:tab w:val="left" w:pos="0"/>
        </w:tabs>
        <w:spacing w:line="240" w:lineRule="auto"/>
        <w:ind w:hanging="567"/>
        <w:rPr>
          <w:i/>
        </w:rPr>
      </w:pPr>
      <w:r w:rsidRPr="00C67E56">
        <w:tab/>
      </w:r>
      <w:r w:rsidRPr="00C67E56">
        <w:tab/>
      </w:r>
      <w:r w:rsidRPr="00C67E56">
        <w:rPr>
          <w:i/>
        </w:rPr>
        <w:t>– Information från kommissionen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r w:rsidRPr="00C67E56">
        <w:tab/>
      </w:r>
      <w:r w:rsidRPr="00C67E56">
        <w:tab/>
        <w:t>Dok: föreligger ännu ej</w:t>
      </w:r>
    </w:p>
    <w:p w:rsidR="00EC07F6" w:rsidRPr="00C67E56" w:rsidRDefault="00EC07F6" w:rsidP="00EC07F6">
      <w:pPr>
        <w:tabs>
          <w:tab w:val="left" w:pos="0"/>
        </w:tabs>
        <w:spacing w:line="240" w:lineRule="auto"/>
        <w:ind w:hanging="567"/>
      </w:pPr>
    </w:p>
    <w:p w:rsidR="00EC07F6" w:rsidRPr="00C67E56" w:rsidRDefault="00EC07F6" w:rsidP="00EC07F6">
      <w:pPr>
        <w:ind w:left="-567"/>
      </w:pPr>
      <w:r w:rsidRPr="00C67E56">
        <w:t>Frågan har inte tidigare behandlats i EU-nämnden.</w:t>
      </w:r>
    </w:p>
    <w:p w:rsidR="00EC07F6" w:rsidRPr="00C67E56" w:rsidRDefault="00EC07F6" w:rsidP="00EC07F6">
      <w:pPr>
        <w:ind w:left="-567"/>
      </w:pPr>
    </w:p>
    <w:p w:rsidR="00EC07F6" w:rsidRPr="00C67E56" w:rsidRDefault="00EC07F6" w:rsidP="00EC07F6">
      <w:pPr>
        <w:ind w:left="-567"/>
        <w:rPr>
          <w:b/>
        </w:rPr>
      </w:pPr>
      <w:r w:rsidRPr="00C67E56">
        <w:rPr>
          <w:b/>
        </w:rPr>
        <w:t>Bakgrund</w:t>
      </w:r>
    </w:p>
    <w:p w:rsidR="00EC07F6" w:rsidRPr="00C67E56" w:rsidRDefault="00EC07F6" w:rsidP="00EC07F6">
      <w:pPr>
        <w:ind w:left="-567"/>
      </w:pPr>
      <w:r w:rsidRPr="00C67E56">
        <w:t>Kommissionen lämnar information i rubricerade fråga.</w:t>
      </w:r>
    </w:p>
    <w:p w:rsidR="00EC07F6" w:rsidRPr="00C67E56" w:rsidRDefault="00EC07F6" w:rsidP="00EC07F6">
      <w:pPr>
        <w:ind w:left="-567"/>
        <w:rPr>
          <w:b/>
        </w:rPr>
      </w:pPr>
    </w:p>
    <w:p w:rsidR="00EC07F6" w:rsidRPr="00C67E56" w:rsidRDefault="00EC07F6" w:rsidP="00EC07F6">
      <w:pPr>
        <w:ind w:left="-567"/>
        <w:rPr>
          <w:u w:val="single"/>
        </w:rPr>
      </w:pPr>
      <w:r w:rsidRPr="00C67E56">
        <w:rPr>
          <w:u w:val="single"/>
        </w:rPr>
        <w:t>Förslag till svensk ståndpunkt:</w:t>
      </w:r>
    </w:p>
    <w:p w:rsidR="00EC07F6" w:rsidRPr="00C67E56" w:rsidRDefault="00EC07F6" w:rsidP="00EC07F6">
      <w:pPr>
        <w:tabs>
          <w:tab w:val="left" w:pos="0"/>
        </w:tabs>
        <w:spacing w:line="240" w:lineRule="auto"/>
        <w:ind w:left="-567" w:hanging="567"/>
      </w:pPr>
      <w:r w:rsidRPr="00C67E56">
        <w:tab/>
        <w:t>Sverige bör notera informationen.</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g)</w:t>
      </w:r>
      <w:r w:rsidRPr="00C67E56">
        <w:rPr>
          <w:b/>
        </w:rPr>
        <w:tab/>
        <w:t>Seminariet om järnvägen som förenande faktor i Europa (Liège den 15 november 2010)</w:t>
      </w:r>
    </w:p>
    <w:p w:rsidR="00EC07F6" w:rsidRPr="00C67E56" w:rsidRDefault="00EC07F6" w:rsidP="00EC07F6">
      <w:pPr>
        <w:tabs>
          <w:tab w:val="left" w:pos="0"/>
        </w:tabs>
        <w:spacing w:line="240" w:lineRule="auto"/>
        <w:ind w:hanging="567"/>
        <w:rPr>
          <w:i/>
        </w:rPr>
      </w:pPr>
      <w:r w:rsidRPr="00C67E56">
        <w:tab/>
      </w:r>
      <w:r w:rsidRPr="00C67E56">
        <w:tab/>
      </w:r>
      <w:r w:rsidRPr="00C67E56">
        <w:rPr>
          <w:i/>
        </w:rPr>
        <w:t>– Information från ordförandeskapet</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r w:rsidRPr="00C67E56">
        <w:tab/>
      </w:r>
      <w:r w:rsidRPr="00C67E56">
        <w:tab/>
        <w:t>Dok: föreligger ännu ej</w:t>
      </w: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r w:rsidRPr="00C67E56">
        <w:t>Frågan har inte tidigare behandlats i EU-nämnden.</w:t>
      </w:r>
    </w:p>
    <w:p w:rsidR="00EC07F6" w:rsidRPr="00C67E56" w:rsidRDefault="00EC07F6" w:rsidP="00EC07F6">
      <w:pPr>
        <w:tabs>
          <w:tab w:val="left" w:pos="0"/>
        </w:tabs>
        <w:spacing w:line="240" w:lineRule="auto"/>
        <w:ind w:hanging="567"/>
      </w:pPr>
    </w:p>
    <w:p w:rsidR="00EC07F6" w:rsidRPr="00C67E56" w:rsidRDefault="00EC07F6" w:rsidP="00EC07F6">
      <w:pPr>
        <w:ind w:left="-567"/>
        <w:rPr>
          <w:b/>
        </w:rPr>
      </w:pPr>
      <w:r w:rsidRPr="00C67E56">
        <w:rPr>
          <w:b/>
        </w:rPr>
        <w:t>Bakgrund</w:t>
      </w:r>
    </w:p>
    <w:p w:rsidR="00EC07F6" w:rsidRPr="00C67E56" w:rsidRDefault="00EC07F6" w:rsidP="00EC07F6">
      <w:pPr>
        <w:ind w:left="-567"/>
        <w:rPr>
          <w:b/>
        </w:rPr>
      </w:pPr>
      <w:r w:rsidRPr="00C67E56">
        <w:t>Belgiska ordförandeskapet anordnade den 15 november ett symposium i Liege om järnvägsfrågor under rubriken ”Järnvägen förenar Europa”. Ordförandeskapet kommer att lämna information om symposiet på rådsmötet.</w:t>
      </w:r>
      <w:r w:rsidRPr="00C67E56">
        <w:rPr>
          <w:b/>
        </w:rPr>
        <w:t xml:space="preserve"> </w:t>
      </w:r>
    </w:p>
    <w:p w:rsidR="00EC07F6" w:rsidRPr="00C67E56" w:rsidRDefault="00EC07F6" w:rsidP="00EC07F6">
      <w:pPr>
        <w:ind w:left="-567"/>
        <w:rPr>
          <w:b/>
        </w:rPr>
      </w:pPr>
    </w:p>
    <w:p w:rsidR="00EC07F6" w:rsidRPr="00C67E56" w:rsidRDefault="00EC07F6" w:rsidP="00EC07F6">
      <w:pPr>
        <w:ind w:left="-567"/>
        <w:rPr>
          <w:u w:val="single"/>
        </w:rPr>
      </w:pPr>
      <w:r w:rsidRPr="00C67E56">
        <w:rPr>
          <w:u w:val="single"/>
        </w:rPr>
        <w:t>Förslag till svensk ståndpunkt:</w:t>
      </w:r>
    </w:p>
    <w:p w:rsidR="00EC07F6" w:rsidRPr="00C67E56" w:rsidRDefault="00EC07F6" w:rsidP="00EC07F6">
      <w:pPr>
        <w:ind w:left="-567"/>
      </w:pPr>
      <w:r w:rsidRPr="00C67E56">
        <w:t>Sverige bör notera informationen.</w:t>
      </w:r>
    </w:p>
    <w:p w:rsidR="00EC07F6" w:rsidRPr="00C67E56" w:rsidRDefault="00EC07F6" w:rsidP="00EC07F6">
      <w:pPr>
        <w:ind w:left="-567"/>
      </w:pP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pPr>
    </w:p>
    <w:p w:rsidR="00EC07F6" w:rsidRPr="00C67E56" w:rsidRDefault="00EC07F6" w:rsidP="00EC07F6">
      <w:pPr>
        <w:tabs>
          <w:tab w:val="left" w:pos="0"/>
        </w:tabs>
        <w:spacing w:line="240" w:lineRule="auto"/>
        <w:ind w:hanging="567"/>
        <w:rPr>
          <w:b/>
        </w:rPr>
      </w:pPr>
      <w:r w:rsidRPr="00C67E56">
        <w:rPr>
          <w:b/>
        </w:rPr>
        <w:t>h)</w:t>
      </w:r>
      <w:r w:rsidRPr="00C67E56">
        <w:rPr>
          <w:b/>
        </w:rPr>
        <w:tab/>
        <w:t>Andra internationella ministerkonferensen om transportmiljö- och transportenergifrågor – Meet 2 (Rom den 8–9 november 2010)</w:t>
      </w:r>
    </w:p>
    <w:p w:rsidR="00EC07F6" w:rsidRPr="00C67E56" w:rsidRDefault="00EC07F6" w:rsidP="00EC07F6">
      <w:pPr>
        <w:tabs>
          <w:tab w:val="left" w:pos="0"/>
        </w:tabs>
        <w:spacing w:line="240" w:lineRule="auto"/>
        <w:ind w:hanging="567"/>
        <w:rPr>
          <w:i/>
          <w:iCs/>
        </w:rPr>
      </w:pPr>
      <w:r w:rsidRPr="00C67E56">
        <w:tab/>
      </w:r>
      <w:r w:rsidRPr="00C67E56">
        <w:tab/>
      </w:r>
      <w:r w:rsidRPr="00C67E56">
        <w:rPr>
          <w:i/>
        </w:rPr>
        <w:t>– Information från den italienska delegationen</w:t>
      </w:r>
    </w:p>
    <w:p w:rsidR="00EC07F6" w:rsidRPr="00C67E56" w:rsidRDefault="00EC07F6" w:rsidP="00EC07F6">
      <w:pPr>
        <w:tabs>
          <w:tab w:val="left" w:pos="0"/>
        </w:tabs>
        <w:spacing w:line="240" w:lineRule="auto"/>
        <w:ind w:hanging="567"/>
        <w:rPr>
          <w:b/>
          <w:color w:val="000000"/>
          <w:szCs w:val="24"/>
        </w:rPr>
      </w:pPr>
    </w:p>
    <w:p w:rsidR="00EC07F6" w:rsidRPr="00C67E56" w:rsidRDefault="00EC07F6" w:rsidP="00EC07F6">
      <w:pPr>
        <w:tabs>
          <w:tab w:val="left" w:pos="0"/>
        </w:tabs>
        <w:spacing w:line="240" w:lineRule="auto"/>
        <w:ind w:hanging="567"/>
      </w:pPr>
      <w:r w:rsidRPr="00C67E56">
        <w:rPr>
          <w:b/>
          <w:color w:val="000000"/>
          <w:szCs w:val="24"/>
        </w:rPr>
        <w:tab/>
      </w:r>
      <w:r w:rsidRPr="00C67E56">
        <w:rPr>
          <w:b/>
          <w:color w:val="000000"/>
          <w:szCs w:val="24"/>
        </w:rPr>
        <w:tab/>
      </w:r>
      <w:r w:rsidRPr="00C67E56">
        <w:t>Dok: föreligger ännu ej</w:t>
      </w:r>
    </w:p>
    <w:p w:rsidR="00EC07F6" w:rsidRPr="00C67E56" w:rsidRDefault="00EC07F6" w:rsidP="00EC07F6">
      <w:pPr>
        <w:pStyle w:val="RKnormal"/>
        <w:ind w:left="-567"/>
        <w:rPr>
          <w:rFonts w:cs="OrigGarmnd BT"/>
          <w:color w:val="000000"/>
          <w:szCs w:val="24"/>
          <w:lang w:eastAsia="sv-SE"/>
        </w:rPr>
      </w:pPr>
    </w:p>
    <w:p w:rsidR="00EC07F6" w:rsidRPr="00C67E56" w:rsidRDefault="00EC07F6" w:rsidP="00EC07F6">
      <w:pPr>
        <w:pStyle w:val="RKnormal"/>
        <w:ind w:left="-567"/>
      </w:pPr>
      <w:r w:rsidRPr="00C67E56">
        <w:t xml:space="preserve">Förslaget har inte tidigare behandlats i EU-nämnden. </w:t>
      </w:r>
    </w:p>
    <w:p w:rsidR="00EC07F6" w:rsidRPr="00C67E56" w:rsidRDefault="00EC07F6" w:rsidP="00EC07F6">
      <w:pPr>
        <w:overflowPunct/>
        <w:spacing w:line="240" w:lineRule="auto"/>
        <w:ind w:left="-567"/>
        <w:textAlignment w:val="auto"/>
        <w:rPr>
          <w:rFonts w:cs="OrigGarmnd BT"/>
          <w:b/>
          <w:color w:val="000000"/>
          <w:szCs w:val="24"/>
          <w:lang w:eastAsia="sv-SE"/>
        </w:rPr>
      </w:pPr>
    </w:p>
    <w:p w:rsidR="00EC07F6" w:rsidRPr="00C67E56" w:rsidRDefault="00EC07F6" w:rsidP="00EC07F6">
      <w:pPr>
        <w:overflowPunct/>
        <w:spacing w:line="240" w:lineRule="auto"/>
        <w:ind w:left="-567"/>
        <w:textAlignment w:val="auto"/>
        <w:rPr>
          <w:rFonts w:cs="OrigGarmnd BT"/>
          <w:b/>
          <w:color w:val="000000"/>
          <w:szCs w:val="24"/>
          <w:lang w:eastAsia="sv-SE"/>
        </w:rPr>
      </w:pPr>
      <w:r w:rsidRPr="00C67E56">
        <w:rPr>
          <w:rFonts w:cs="OrigGarmnd BT"/>
          <w:b/>
          <w:color w:val="000000"/>
          <w:szCs w:val="24"/>
          <w:lang w:eastAsia="sv-SE"/>
        </w:rPr>
        <w:t>Bakgrund</w:t>
      </w:r>
    </w:p>
    <w:p w:rsidR="00EC07F6" w:rsidRPr="00C67E56" w:rsidRDefault="00EC07F6" w:rsidP="00EC07F6">
      <w:pPr>
        <w:overflowPunct/>
        <w:spacing w:line="240" w:lineRule="auto"/>
        <w:ind w:left="-567"/>
        <w:textAlignment w:val="auto"/>
        <w:rPr>
          <w:rFonts w:cs="OrigGarmnd BT"/>
          <w:color w:val="000000"/>
          <w:szCs w:val="24"/>
          <w:lang w:eastAsia="sv-SE"/>
        </w:rPr>
      </w:pPr>
      <w:r w:rsidRPr="00C67E56">
        <w:rPr>
          <w:rFonts w:cs="OrigGarmnd BT"/>
          <w:color w:val="000000"/>
          <w:szCs w:val="24"/>
          <w:lang w:eastAsia="sv-SE"/>
        </w:rPr>
        <w:t xml:space="preserve">Under ledning av den italienske infrastrukturministern har representanter för 25 länder från fem världsdelar diskuterat miljöfrågor med anknytning till transportsektorn. Vid konferensen antogs en deklaration med rekommendationer om policies och åtgärder för att minska utsläppen av växthusgaser och luftföroreningar från transportsektorn. Nästa konferens, den tredje i ordningen, kommer att ledas av Frankrike.  </w:t>
      </w:r>
    </w:p>
    <w:p w:rsidR="00EC07F6" w:rsidRPr="00C67E56" w:rsidRDefault="00EC07F6" w:rsidP="00EC07F6">
      <w:pPr>
        <w:pStyle w:val="RKnormal"/>
        <w:spacing w:line="240" w:lineRule="auto"/>
        <w:ind w:left="-567"/>
      </w:pPr>
      <w:r w:rsidRPr="00C67E56">
        <w:tab/>
      </w:r>
    </w:p>
    <w:p w:rsidR="00EC07F6" w:rsidRPr="00C67E56" w:rsidRDefault="00EC07F6" w:rsidP="00EC07F6">
      <w:pPr>
        <w:spacing w:line="240" w:lineRule="auto"/>
        <w:ind w:left="-567"/>
        <w:rPr>
          <w:rFonts w:cs="OrigGarmnd BT"/>
          <w:color w:val="000000"/>
          <w:szCs w:val="24"/>
          <w:lang w:eastAsia="sv-SE"/>
        </w:rPr>
      </w:pPr>
      <w:r w:rsidRPr="00C67E56">
        <w:rPr>
          <w:rFonts w:cs="OrigGarmnd BT"/>
          <w:color w:val="000000"/>
          <w:szCs w:val="24"/>
          <w:u w:val="single"/>
          <w:lang w:eastAsia="sv-SE"/>
        </w:rPr>
        <w:t xml:space="preserve">Förslag till svensk ståndpunkt: </w:t>
      </w:r>
      <w:r w:rsidRPr="00C67E56">
        <w:rPr>
          <w:rFonts w:cs="OrigGarmnd BT"/>
          <w:color w:val="000000"/>
          <w:szCs w:val="24"/>
          <w:u w:val="single"/>
          <w:lang w:eastAsia="sv-SE"/>
        </w:rPr>
        <w:br/>
      </w:r>
      <w:r w:rsidRPr="00C67E56">
        <w:rPr>
          <w:rFonts w:cs="OrigGarmnd BT"/>
          <w:color w:val="000000"/>
          <w:szCs w:val="24"/>
          <w:lang w:eastAsia="sv-SE"/>
        </w:rPr>
        <w:t>Sverige ska notera informationen.</w:t>
      </w:r>
    </w:p>
    <w:p w:rsidR="006E056A" w:rsidRPr="00C67E56" w:rsidRDefault="006E056A" w:rsidP="006E056A">
      <w:pPr>
        <w:spacing w:line="240" w:lineRule="auto"/>
        <w:rPr>
          <w:rFonts w:cs="OrigGarmnd BT"/>
          <w:color w:val="000000"/>
          <w:szCs w:val="24"/>
          <w:lang w:eastAsia="sv-SE"/>
        </w:rPr>
      </w:pPr>
    </w:p>
    <w:p w:rsidR="003A0DA4" w:rsidRPr="00C67E56" w:rsidRDefault="003A0DA4" w:rsidP="003A0DA4">
      <w:pPr>
        <w:spacing w:line="240" w:lineRule="auto"/>
        <w:rPr>
          <w:iCs/>
        </w:rPr>
      </w:pPr>
    </w:p>
    <w:p w:rsidR="003A0DA4" w:rsidRPr="00C67E56" w:rsidRDefault="003A0DA4" w:rsidP="003A0DA4">
      <w:pPr>
        <w:spacing w:line="240" w:lineRule="auto"/>
        <w:ind w:left="-567"/>
        <w:rPr>
          <w:u w:val="single"/>
        </w:rPr>
      </w:pPr>
      <w:r w:rsidRPr="00C67E56">
        <w:rPr>
          <w:u w:val="single"/>
        </w:rPr>
        <w:t>Energi</w:t>
      </w:r>
    </w:p>
    <w:p w:rsidR="003A0DA4" w:rsidRPr="00C67E56" w:rsidRDefault="003A0DA4" w:rsidP="003A0DA4">
      <w:pPr>
        <w:spacing w:line="240" w:lineRule="auto"/>
        <w:rPr>
          <w:color w:val="000000"/>
          <w:szCs w:val="24"/>
        </w:rPr>
      </w:pPr>
    </w:p>
    <w:p w:rsidR="003A0DA4" w:rsidRPr="00C67E56" w:rsidRDefault="003A0DA4" w:rsidP="003A0DA4">
      <w:pPr>
        <w:spacing w:line="240" w:lineRule="auto"/>
        <w:ind w:left="567"/>
        <w:rPr>
          <w:b/>
          <w:bCs/>
          <w:color w:val="000000"/>
          <w:szCs w:val="24"/>
        </w:rPr>
      </w:pPr>
      <w:r w:rsidRPr="00C67E56">
        <w:rPr>
          <w:b/>
          <w:bCs/>
          <w:color w:val="000000"/>
          <w:szCs w:val="24"/>
        </w:rPr>
        <w:t>i)</w:t>
      </w:r>
      <w:r w:rsidRPr="00C67E56">
        <w:rPr>
          <w:b/>
          <w:bCs/>
          <w:color w:val="000000"/>
          <w:szCs w:val="24"/>
        </w:rPr>
        <w:tab/>
      </w:r>
      <w:r w:rsidRPr="00C67E56">
        <w:rPr>
          <w:b/>
          <w:bCs/>
          <w:lang w:eastAsia="fr-FR"/>
        </w:rPr>
        <w:t>Europeiska energiprogrammet för återhämtning</w:t>
      </w:r>
    </w:p>
    <w:p w:rsidR="003A0DA4" w:rsidRPr="00C67E56" w:rsidRDefault="003A0DA4" w:rsidP="003A0DA4">
      <w:pPr>
        <w:spacing w:line="240" w:lineRule="auto"/>
        <w:ind w:left="1134"/>
        <w:rPr>
          <w:i/>
          <w:iCs/>
          <w:color w:val="000000"/>
          <w:szCs w:val="24"/>
        </w:rPr>
      </w:pPr>
      <w:r w:rsidRPr="00C67E56">
        <w:rPr>
          <w:i/>
          <w:iCs/>
          <w:color w:val="000000"/>
          <w:szCs w:val="24"/>
        </w:rPr>
        <w:t>–</w:t>
      </w:r>
      <w:r w:rsidRPr="00C67E56">
        <w:rPr>
          <w:i/>
          <w:iCs/>
          <w:color w:val="000000"/>
          <w:szCs w:val="24"/>
        </w:rPr>
        <w:tab/>
      </w:r>
      <w:r w:rsidRPr="00C67E56">
        <w:rPr>
          <w:i/>
          <w:iCs/>
        </w:rPr>
        <w:t>Lägesrapport från kommissionen</w:t>
      </w:r>
    </w:p>
    <w:p w:rsidR="003A0DA4" w:rsidRPr="00C67E56" w:rsidRDefault="003A0DA4" w:rsidP="003A0DA4">
      <w:pPr>
        <w:spacing w:line="240" w:lineRule="auto"/>
        <w:ind w:left="1701"/>
      </w:pPr>
      <w:r w:rsidRPr="00C67E56">
        <w:t>16252/10 ENER 327 ECOFIN 725 CODEC 1256</w:t>
      </w:r>
    </w:p>
    <w:p w:rsidR="003A0DA4" w:rsidRPr="00C67E56" w:rsidRDefault="003A0DA4" w:rsidP="003A0DA4">
      <w:pPr>
        <w:spacing w:line="240" w:lineRule="auto"/>
        <w:ind w:left="567"/>
      </w:pPr>
    </w:p>
    <w:p w:rsidR="003A0DA4" w:rsidRPr="00C67E56" w:rsidRDefault="003A0DA4" w:rsidP="003A0DA4">
      <w:pPr>
        <w:pStyle w:val="RKnormal"/>
      </w:pPr>
      <w:r w:rsidRPr="00C67E56">
        <w:t>Förslaget behandlades förra gången inför TTE-rådet den 31 maj 2010 i EU-nämnden.</w:t>
      </w:r>
    </w:p>
    <w:p w:rsidR="003A0DA4" w:rsidRPr="00C67E56" w:rsidRDefault="003A0DA4" w:rsidP="003A0DA4">
      <w:pPr>
        <w:pStyle w:val="RKnormal"/>
      </w:pPr>
    </w:p>
    <w:p w:rsidR="003A0DA4" w:rsidRPr="00C67E56" w:rsidRDefault="003A0DA4" w:rsidP="003A0DA4">
      <w:pPr>
        <w:pStyle w:val="RKnormal"/>
        <w:rPr>
          <w:b/>
          <w:bCs/>
        </w:rPr>
      </w:pPr>
      <w:r w:rsidRPr="00C67E56">
        <w:rPr>
          <w:b/>
          <w:bCs/>
        </w:rPr>
        <w:t>Bakgrund</w:t>
      </w:r>
    </w:p>
    <w:p w:rsidR="003A0DA4" w:rsidRPr="00C67E56" w:rsidRDefault="003A0DA4" w:rsidP="003A0DA4">
      <w:pPr>
        <w:pStyle w:val="RKnormal"/>
      </w:pPr>
      <w:r w:rsidRPr="00C67E56">
        <w:t xml:space="preserve">Kommissionen presenterade den 31 maj 2010 ett förslag om ändring i förordningen om inrättande av ett program för hjälp till ekonomisk återhämtning genom finansiellt stöd från gemenskapen till projekt på energiområdet. I oktober nåddes en överenskommelse mellan rådet och Europaparlamentet om ett nytt finansiellt instrument för att stödja lokala och regionala investeringar i energieffektivisering och förnybar energi. Överenskommelsen innebär att 146,3 miljoner euro av de outnyttjade medel som avsattes 2009 för stöd till energiinfrastrukturprojekt ska omfördelas till det nya finansiella instrumentet. Finansiella institutioner ska svara för att förmedla stödet som är tidsbegränsat till den 31 mars 2014.  </w:t>
      </w:r>
    </w:p>
    <w:p w:rsidR="003A0DA4" w:rsidRPr="00C67E56" w:rsidRDefault="003A0DA4" w:rsidP="003A0DA4">
      <w:pPr>
        <w:pStyle w:val="RKnormal"/>
      </w:pPr>
    </w:p>
    <w:p w:rsidR="003A0DA4" w:rsidRPr="00C67E56" w:rsidRDefault="003A0DA4" w:rsidP="003A0DA4">
      <w:pPr>
        <w:pStyle w:val="RKnormal"/>
        <w:rPr>
          <w:b/>
          <w:bCs/>
        </w:rPr>
      </w:pPr>
      <w:r w:rsidRPr="00C67E56">
        <w:rPr>
          <w:b/>
          <w:bCs/>
        </w:rPr>
        <w:t>Förslag till svensk ståndpunkt</w:t>
      </w:r>
    </w:p>
    <w:p w:rsidR="003A0DA4" w:rsidRPr="00C67E56" w:rsidRDefault="003A0DA4" w:rsidP="003A0DA4">
      <w:pPr>
        <w:pStyle w:val="RKnormal"/>
      </w:pPr>
      <w:r w:rsidRPr="00C67E56">
        <w:t xml:space="preserve">Regeringen välkomnar informationen. </w:t>
      </w:r>
    </w:p>
    <w:p w:rsidR="003A0DA4" w:rsidRPr="00C67E56" w:rsidRDefault="003A0DA4" w:rsidP="003A0DA4">
      <w:pPr>
        <w:spacing w:line="240" w:lineRule="auto"/>
        <w:ind w:left="567"/>
      </w:pPr>
    </w:p>
    <w:p w:rsidR="003A0DA4" w:rsidRPr="00C67E56" w:rsidRDefault="003A0DA4" w:rsidP="003A0DA4">
      <w:pPr>
        <w:spacing w:line="240" w:lineRule="auto"/>
        <w:ind w:left="567"/>
      </w:pPr>
    </w:p>
    <w:p w:rsidR="003A0DA4" w:rsidRPr="00C67E56" w:rsidRDefault="003A0DA4" w:rsidP="003A0DA4">
      <w:pPr>
        <w:spacing w:line="240" w:lineRule="auto"/>
        <w:ind w:left="567"/>
      </w:pPr>
    </w:p>
    <w:p w:rsidR="003A0DA4" w:rsidRPr="00C67E56" w:rsidRDefault="003A0DA4" w:rsidP="003A0DA4">
      <w:pPr>
        <w:spacing w:line="240" w:lineRule="auto"/>
        <w:ind w:left="1134" w:hanging="567"/>
        <w:rPr>
          <w:b/>
          <w:bCs/>
        </w:rPr>
      </w:pPr>
      <w:r w:rsidRPr="00C67E56">
        <w:rPr>
          <w:b/>
          <w:bCs/>
        </w:rPr>
        <w:t>j)</w:t>
      </w:r>
      <w:r w:rsidRPr="00C67E56">
        <w:rPr>
          <w:b/>
          <w:bCs/>
        </w:rPr>
        <w:tab/>
        <w:t>Initiativ om utveckling av miljövänlig energi som antagits av vid Organisationens för ekonomiskt samarbete i Svartahavsområdet energiministermöte</w:t>
      </w:r>
      <w:r w:rsidRPr="00C67E56">
        <w:rPr>
          <w:b/>
          <w:bCs/>
        </w:rPr>
        <w:br/>
        <w:t>(Nauplion den 12 oktober 2010)</w:t>
      </w:r>
    </w:p>
    <w:p w:rsidR="003A0DA4" w:rsidRPr="00C67E56" w:rsidRDefault="003A0DA4" w:rsidP="003A0DA4">
      <w:pPr>
        <w:spacing w:line="240" w:lineRule="auto"/>
        <w:ind w:left="1134"/>
        <w:rPr>
          <w:i/>
          <w:iCs/>
        </w:rPr>
      </w:pPr>
      <w:r w:rsidRPr="00C67E56">
        <w:rPr>
          <w:i/>
          <w:iCs/>
        </w:rPr>
        <w:t>–</w:t>
      </w:r>
      <w:r w:rsidRPr="00C67E56">
        <w:rPr>
          <w:i/>
          <w:iCs/>
        </w:rPr>
        <w:tab/>
        <w:t>Information från den grekiska delegationen</w:t>
      </w:r>
    </w:p>
    <w:p w:rsidR="003A0DA4" w:rsidRPr="00C67E56" w:rsidRDefault="003A0DA4" w:rsidP="003A0DA4">
      <w:pPr>
        <w:spacing w:line="240" w:lineRule="auto"/>
        <w:ind w:left="1701"/>
        <w:rPr>
          <w:szCs w:val="24"/>
        </w:rPr>
      </w:pPr>
      <w:r w:rsidRPr="00C67E56">
        <w:rPr>
          <w:szCs w:val="24"/>
        </w:rPr>
        <w:t>16304/10 ENER 333 COEST 347</w:t>
      </w:r>
    </w:p>
    <w:p w:rsidR="003A0DA4" w:rsidRPr="00C67E56" w:rsidRDefault="003A0DA4" w:rsidP="003A0DA4">
      <w:pPr>
        <w:pStyle w:val="RKnormal"/>
      </w:pPr>
    </w:p>
    <w:p w:rsidR="003A0DA4" w:rsidRPr="00C67E56" w:rsidRDefault="003A0DA4" w:rsidP="003A0DA4">
      <w:pPr>
        <w:pStyle w:val="RKnormal"/>
      </w:pPr>
      <w:r w:rsidRPr="00C67E56">
        <w:t>Förslaget har inte tidigare behandlats i EU-nämnden</w:t>
      </w:r>
    </w:p>
    <w:p w:rsidR="003A0DA4" w:rsidRPr="00C67E56" w:rsidRDefault="003A0DA4" w:rsidP="003A0DA4">
      <w:pPr>
        <w:pStyle w:val="RKnormal"/>
      </w:pPr>
    </w:p>
    <w:p w:rsidR="003A0DA4" w:rsidRPr="00C67E56" w:rsidRDefault="003A0DA4" w:rsidP="003A0DA4">
      <w:pPr>
        <w:pStyle w:val="RKnormal"/>
        <w:rPr>
          <w:b/>
          <w:bCs/>
        </w:rPr>
      </w:pPr>
      <w:r w:rsidRPr="00C67E56">
        <w:rPr>
          <w:b/>
          <w:bCs/>
        </w:rPr>
        <w:t>Bakgrund</w:t>
      </w:r>
    </w:p>
    <w:p w:rsidR="003A0DA4" w:rsidRPr="00C67E56" w:rsidRDefault="003A0DA4" w:rsidP="003A0DA4">
      <w:pPr>
        <w:pStyle w:val="RKnormal"/>
      </w:pPr>
      <w:r w:rsidRPr="00C67E56">
        <w:t>Det nuvarande grekiska ordförandeskapet i Organisationen för ekonomiskt samarbete i Svarta havet gjort utvecklingen av grön energi till en av sina främsta prioriteringar. Vid det energiministermöte som hölls inom ramen för samarbetet den 12 oktober i Nafplion i Grekland undertecknades en deklaration som uttryckte deltagarnas politiska vilja att utveckla en kolsnål ekonomi i regionen. Deklarationen betonar satsningar på utveckling av förnybara energikällor, energieffektivitet samt utökad användning av naturgas. Den grekiska delegationen har aviserat att de kommer att begära ordet för att informera ministrarna om initiativet.</w:t>
      </w:r>
    </w:p>
    <w:p w:rsidR="003A0DA4" w:rsidRPr="00C67E56" w:rsidRDefault="003A0DA4" w:rsidP="003A0DA4">
      <w:pPr>
        <w:pStyle w:val="RKnormal"/>
      </w:pPr>
    </w:p>
    <w:p w:rsidR="003A0DA4" w:rsidRPr="00C67E56" w:rsidRDefault="003A0DA4" w:rsidP="003A0DA4">
      <w:pPr>
        <w:pStyle w:val="RKnormal"/>
        <w:rPr>
          <w:b/>
          <w:bCs/>
        </w:rPr>
      </w:pPr>
      <w:r w:rsidRPr="00C67E56">
        <w:rPr>
          <w:b/>
          <w:bCs/>
        </w:rPr>
        <w:t>Förslag till svensk ståndpunkt</w:t>
      </w:r>
    </w:p>
    <w:p w:rsidR="003A0DA4" w:rsidRPr="00C67E56" w:rsidRDefault="003A0DA4" w:rsidP="003A0DA4">
      <w:pPr>
        <w:pStyle w:val="RKnormal"/>
      </w:pPr>
      <w:r w:rsidRPr="00C67E56">
        <w:t>Regeringen välkomnar informationen.</w:t>
      </w:r>
    </w:p>
    <w:p w:rsidR="003A0DA4" w:rsidRPr="00C67E56" w:rsidRDefault="003A0DA4" w:rsidP="006E056A">
      <w:pPr>
        <w:spacing w:line="240" w:lineRule="auto"/>
        <w:rPr>
          <w:rFonts w:cs="OrigGarmnd BT"/>
          <w:color w:val="000000"/>
          <w:szCs w:val="24"/>
          <w:lang w:eastAsia="sv-SE"/>
        </w:rPr>
      </w:pPr>
    </w:p>
    <w:p w:rsidR="003A0DA4" w:rsidRPr="00C67E56" w:rsidRDefault="003A0DA4" w:rsidP="006E056A">
      <w:pPr>
        <w:spacing w:line="240" w:lineRule="auto"/>
        <w:rPr>
          <w:rFonts w:cs="OrigGarmnd BT"/>
          <w:color w:val="000000"/>
          <w:szCs w:val="24"/>
          <w:lang w:eastAsia="sv-SE"/>
        </w:rPr>
      </w:pPr>
    </w:p>
    <w:p w:rsidR="003A0DA4" w:rsidRPr="00C67E56" w:rsidRDefault="003A0DA4" w:rsidP="00900FC2">
      <w:pPr>
        <w:ind w:left="426" w:hanging="426"/>
        <w:jc w:val="both"/>
        <w:rPr>
          <w:bCs/>
          <w:iCs/>
          <w:u w:val="single"/>
        </w:rPr>
      </w:pPr>
      <w:r w:rsidRPr="00C67E56">
        <w:rPr>
          <w:bCs/>
          <w:iCs/>
          <w:u w:val="single"/>
        </w:rPr>
        <w:t>TELEKOM</w:t>
      </w:r>
    </w:p>
    <w:p w:rsidR="003A0DA4" w:rsidRPr="00C67E56" w:rsidRDefault="003A0DA4" w:rsidP="00900FC2">
      <w:pPr>
        <w:ind w:left="426" w:hanging="426"/>
        <w:jc w:val="both"/>
        <w:rPr>
          <w:b/>
          <w:iCs/>
        </w:rPr>
      </w:pPr>
    </w:p>
    <w:p w:rsidR="00900FC2" w:rsidRPr="00C67E56" w:rsidRDefault="00900FC2" w:rsidP="00900FC2">
      <w:pPr>
        <w:ind w:left="426" w:hanging="426"/>
        <w:jc w:val="both"/>
        <w:rPr>
          <w:b/>
          <w:iCs/>
        </w:rPr>
      </w:pPr>
      <w:r w:rsidRPr="00C67E56">
        <w:rPr>
          <w:b/>
          <w:iCs/>
        </w:rPr>
        <w:t>k)</w:t>
      </w:r>
      <w:r w:rsidRPr="00C67E56">
        <w:rPr>
          <w:b/>
          <w:iCs/>
        </w:rPr>
        <w:tab/>
        <w:t>Lägesrapport om utvecklingen av roamingtjänster i Europeiska unionen</w:t>
      </w:r>
    </w:p>
    <w:p w:rsidR="00900FC2" w:rsidRPr="00C67E56" w:rsidRDefault="00900FC2" w:rsidP="00900FC2">
      <w:pPr>
        <w:ind w:left="426" w:hanging="426"/>
        <w:jc w:val="both"/>
      </w:pPr>
      <w:r w:rsidRPr="00C67E56">
        <w:t>–</w:t>
      </w:r>
      <w:r w:rsidRPr="00C67E56">
        <w:tab/>
        <w:t>Föredragning av kommissionen</w:t>
      </w:r>
    </w:p>
    <w:p w:rsidR="00900FC2" w:rsidRPr="00C67E56" w:rsidRDefault="00900FC2" w:rsidP="00900FC2">
      <w:pPr>
        <w:pStyle w:val="RKnormal"/>
      </w:pPr>
    </w:p>
    <w:p w:rsidR="00900FC2" w:rsidRPr="00C67E56" w:rsidRDefault="00900FC2" w:rsidP="00900FC2">
      <w:pPr>
        <w:pStyle w:val="RKnormal"/>
        <w:rPr>
          <w:i/>
        </w:rPr>
      </w:pPr>
      <w:r w:rsidRPr="00C67E56">
        <w:rPr>
          <w:i/>
        </w:rPr>
        <w:t>Roamingförordningen behandlades i EUN 21 november 2008.</w:t>
      </w:r>
    </w:p>
    <w:p w:rsidR="00900FC2" w:rsidRPr="00C67E56" w:rsidRDefault="00900FC2" w:rsidP="00900FC2">
      <w:pPr>
        <w:ind w:left="426" w:hanging="426"/>
        <w:jc w:val="both"/>
        <w:rPr>
          <w:i/>
          <w:iCs/>
        </w:rPr>
      </w:pPr>
    </w:p>
    <w:p w:rsidR="00900FC2" w:rsidRPr="00C67E56" w:rsidRDefault="00900FC2" w:rsidP="00900FC2">
      <w:pPr>
        <w:pStyle w:val="Rubrik3"/>
      </w:pPr>
      <w:r w:rsidRPr="00C67E56">
        <w:t>Bakgrund</w:t>
      </w:r>
    </w:p>
    <w:p w:rsidR="00900FC2" w:rsidRPr="00C67E56" w:rsidRDefault="00900FC2" w:rsidP="00900FC2">
      <w:pPr>
        <w:pStyle w:val="RKnormal"/>
      </w:pPr>
      <w:r w:rsidRPr="00C67E56">
        <w:t xml:space="preserve">Sedan 2009 finns en EU-förordning, </w:t>
      </w:r>
      <w:r w:rsidRPr="00C67E56">
        <w:rPr>
          <w:i/>
        </w:rPr>
        <w:t>roamingförordningen,</w:t>
      </w:r>
      <w:r w:rsidRPr="00C67E56">
        <w:t xml:space="preserve"> som fast</w:t>
      </w:r>
      <w:r w:rsidRPr="00C67E56">
        <w:softHyphen/>
        <w:t>ställer bl.a. hur mycket slutkunder maximalt får betala vid roaming i mobilnät inom EU för samtal och SMS. Dessutom regleras att opera</w:t>
      </w:r>
      <w:r w:rsidRPr="00C67E56">
        <w:softHyphen/>
        <w:t xml:space="preserve">törerna måste ha kreditspärrar för roaming av datatrafik. Däremot regleras i dagsläget </w:t>
      </w:r>
      <w:r w:rsidRPr="00C67E56">
        <w:rPr>
          <w:u w:val="single"/>
        </w:rPr>
        <w:t>inte</w:t>
      </w:r>
      <w:r w:rsidRPr="00C67E56">
        <w:t xml:space="preserve"> slutkundspriset för datatrafik. </w:t>
      </w:r>
    </w:p>
    <w:p w:rsidR="00900FC2" w:rsidRPr="00C67E56" w:rsidRDefault="00900FC2" w:rsidP="00900FC2">
      <w:pPr>
        <w:pStyle w:val="RKnormal"/>
      </w:pPr>
    </w:p>
    <w:p w:rsidR="00900FC2" w:rsidRPr="00C67E56" w:rsidRDefault="00900FC2" w:rsidP="00900FC2">
      <w:pPr>
        <w:pStyle w:val="RKnormal"/>
      </w:pPr>
      <w:r w:rsidRPr="00C67E56">
        <w:t>Förordningen upphör att gälla den 30 juni 2012 och KOM ska senast den 30 juni 2011 lämna en rapport till EP och rådet om hur förordningen har fungerat. I rapporten ska ingå en utvärdering av andra metoder än prisreglering som skulle kunna användas för att skapa en konkurrens</w:t>
      </w:r>
      <w:r w:rsidRPr="00C67E56">
        <w:softHyphen/>
        <w:t xml:space="preserve">kraftig inre marknad för roaming. </w:t>
      </w:r>
    </w:p>
    <w:p w:rsidR="00900FC2" w:rsidRPr="00C67E56" w:rsidRDefault="00900FC2" w:rsidP="00900FC2">
      <w:pPr>
        <w:pStyle w:val="RKnormal"/>
      </w:pPr>
    </w:p>
    <w:p w:rsidR="00900FC2" w:rsidRPr="00C67E56" w:rsidRDefault="00900FC2" w:rsidP="00900FC2">
      <w:pPr>
        <w:pStyle w:val="RKnormal"/>
      </w:pPr>
      <w:r w:rsidRPr="00C67E56">
        <w:t>I juni 2010 lämnade KOM en interimrapport. Slutsatsen i denna är att roamingpriserna faller men att konkurrensen fortfarande inte är tillräcklig. Gapet mellan grossistpriser och slutkundspriser är alldeles för stort för dataroaming. KOM arbetar för närvarande på ett dokument som beskriver olika förslag om hur frågan ska hanteras. Detta dokument kommer KOM, enligt vad man meddelade vid ett High Level-möte i Bryssel den 26 oktober, att skickas ut på konsultation den 10 december. Konsultationen kommer att pågå under åtta veckor. På basis av utkomsten av konsultationen och Berecs yttrande i frågan kommer KOM att i juni 2011 anta sitt slutliga förslag, vilket sedan kommer att föreläggas EP och rådet.</w:t>
      </w:r>
    </w:p>
    <w:p w:rsidR="00900FC2" w:rsidRPr="00C67E56" w:rsidRDefault="00900FC2" w:rsidP="00900FC2">
      <w:pPr>
        <w:pStyle w:val="Rubrik3"/>
      </w:pPr>
      <w:r w:rsidRPr="00C67E56">
        <w:t>Tidigare behandling i EU-nämnden och Coreper</w:t>
      </w:r>
    </w:p>
    <w:p w:rsidR="00900FC2" w:rsidRPr="00C67E56" w:rsidRDefault="00900FC2" w:rsidP="00900FC2">
      <w:pPr>
        <w:pStyle w:val="RKnormal"/>
      </w:pPr>
      <w:r w:rsidRPr="00C67E56">
        <w:t>Roamingförordningen behandlades i EUN 21 november 2008.</w:t>
      </w:r>
    </w:p>
    <w:p w:rsidR="00900FC2" w:rsidRPr="00C67E56" w:rsidRDefault="00900FC2" w:rsidP="00900FC2">
      <w:pPr>
        <w:pStyle w:val="RKnormal"/>
      </w:pPr>
    </w:p>
    <w:p w:rsidR="0053043C" w:rsidRPr="00C67E56" w:rsidRDefault="0053043C" w:rsidP="0053043C">
      <w:pPr>
        <w:pStyle w:val="RKrubrik"/>
      </w:pPr>
      <w:r w:rsidRPr="00C67E56">
        <w:t xml:space="preserve">l) </w:t>
      </w:r>
      <w:r w:rsidRPr="00C67E56">
        <w:tab/>
        <w:t xml:space="preserve">Forumet för förvaltning av Internet (IGF) </w:t>
      </w:r>
    </w:p>
    <w:p w:rsidR="0053043C" w:rsidRPr="00C67E56" w:rsidRDefault="0053043C" w:rsidP="0053043C">
      <w:pPr>
        <w:pStyle w:val="RKnormal"/>
      </w:pPr>
      <w:r w:rsidRPr="00C67E56">
        <w:t xml:space="preserve">                     - Information från kommissionen och ordförandeskapet</w:t>
      </w:r>
      <w:r w:rsidRPr="00C67E56">
        <w:tab/>
      </w:r>
    </w:p>
    <w:p w:rsidR="0053043C" w:rsidRPr="00C67E56" w:rsidRDefault="0053043C" w:rsidP="0053043C">
      <w:pPr>
        <w:pStyle w:val="RKnormal"/>
      </w:pPr>
    </w:p>
    <w:p w:rsidR="0053043C" w:rsidRPr="00C67E56" w:rsidRDefault="0053043C" w:rsidP="0053043C">
      <w:pPr>
        <w:pStyle w:val="RKnormal"/>
      </w:pPr>
    </w:p>
    <w:p w:rsidR="0053043C" w:rsidRPr="00C67E56" w:rsidRDefault="0053043C" w:rsidP="0053043C">
      <w:pPr>
        <w:pStyle w:val="RKnormal"/>
        <w:rPr>
          <w:i/>
        </w:rPr>
      </w:pPr>
      <w:r w:rsidRPr="00C67E56">
        <w:rPr>
          <w:i/>
        </w:rPr>
        <w:t>F</w:t>
      </w:r>
      <w:r w:rsidR="00560648" w:rsidRPr="00C67E56">
        <w:rPr>
          <w:i/>
        </w:rPr>
        <w:t xml:space="preserve">rågan har inte tidigare </w:t>
      </w:r>
      <w:r w:rsidRPr="00C67E56">
        <w:rPr>
          <w:i/>
        </w:rPr>
        <w:t>behandla</w:t>
      </w:r>
      <w:r w:rsidR="00560648" w:rsidRPr="00C67E56">
        <w:rPr>
          <w:i/>
        </w:rPr>
        <w:t>ts i EU-nämnden.</w:t>
      </w:r>
      <w:r w:rsidRPr="00C67E56">
        <w:rPr>
          <w:i/>
        </w:rPr>
        <w:t xml:space="preserve"> </w:t>
      </w:r>
    </w:p>
    <w:p w:rsidR="0053043C" w:rsidRPr="00C67E56" w:rsidRDefault="0053043C" w:rsidP="0053043C">
      <w:pPr>
        <w:pStyle w:val="RKrubrik"/>
      </w:pPr>
      <w:r w:rsidRPr="00C67E56">
        <w:t>Bakgrund</w:t>
      </w:r>
    </w:p>
    <w:p w:rsidR="0053043C" w:rsidRPr="00C67E56" w:rsidRDefault="0053043C" w:rsidP="0053043C">
      <w:pPr>
        <w:spacing w:before="120"/>
      </w:pPr>
      <w:r w:rsidRPr="00C67E56">
        <w:t xml:space="preserve">IGF, Internet Governance Forum, är ett viktigt multistakeholder-forum för erfarenhetsutbyte och debatt kring det internationella samfundets arbete med Informationssamhället. IGF håller förberedande möten inför de informella FN-toppmötena i Internet World Summit on Information society (WSIS ).  Nyligen fattades i FN beslut om ytterligare ett femårigt mandat för IGF och i slutet av 2010 ska FN:s generalförsamling fatta beslut om formerna för IGF:s fortsatta arbete. Sverige stödjer, liksom kommissionen och övriga medlemsstater, ett fortsatt mandat för IGF att vara ett icke-beslutsfattande forum med fortsatt multi-stake holder format. FN’s generalförsamling kommer troligen att besluta om en fortsättning men frågan som diskuteras är om IGF ska flyttas in i FN-sfären vilket skulle innebära att stora grupper utesluts från deltagande. </w:t>
      </w:r>
    </w:p>
    <w:p w:rsidR="0053043C" w:rsidRPr="00C67E56" w:rsidRDefault="0053043C" w:rsidP="0053043C">
      <w:pPr>
        <w:pStyle w:val="RKnormal"/>
      </w:pPr>
    </w:p>
    <w:p w:rsidR="0053043C" w:rsidRPr="00C67E56" w:rsidRDefault="0053043C" w:rsidP="0053043C">
      <w:pPr>
        <w:pStyle w:val="RKrubrik"/>
      </w:pPr>
      <w:r w:rsidRPr="00C67E56">
        <w:t>Förslag till svensk ståndpunkt</w:t>
      </w:r>
    </w:p>
    <w:p w:rsidR="0053043C" w:rsidRPr="00C67E56" w:rsidRDefault="0053043C" w:rsidP="0053043C">
      <w:pPr>
        <w:pStyle w:val="RKnormal"/>
      </w:pPr>
      <w:r w:rsidRPr="00C67E56">
        <w:t xml:space="preserve">Sverige välkomna kommissionens och ordförandeskapets information i om IGF, Forumet för förvaltning av Internet.  </w:t>
      </w:r>
    </w:p>
    <w:p w:rsidR="006E056A" w:rsidRPr="00C67E56" w:rsidRDefault="006E056A" w:rsidP="006E056A">
      <w:pPr>
        <w:spacing w:line="240" w:lineRule="auto"/>
        <w:rPr>
          <w:rFonts w:cs="OrigGarmnd BT"/>
          <w:color w:val="000000"/>
          <w:szCs w:val="24"/>
          <w:lang w:eastAsia="sv-SE"/>
        </w:rPr>
      </w:pPr>
    </w:p>
    <w:p w:rsidR="00BA4CDB" w:rsidRPr="00C67E56" w:rsidRDefault="00BA4CDB" w:rsidP="006E056A">
      <w:pPr>
        <w:spacing w:line="240" w:lineRule="auto"/>
        <w:rPr>
          <w:rFonts w:cs="OrigGarmnd BT"/>
          <w:color w:val="000000"/>
          <w:szCs w:val="24"/>
          <w:lang w:eastAsia="sv-SE"/>
        </w:rPr>
      </w:pPr>
    </w:p>
    <w:p w:rsidR="006E056A" w:rsidRPr="00C67E56" w:rsidRDefault="006E056A" w:rsidP="006E056A">
      <w:pPr>
        <w:spacing w:line="240" w:lineRule="auto"/>
        <w:rPr>
          <w:rFonts w:cs="OrigGarmnd BT"/>
          <w:color w:val="000000"/>
          <w:szCs w:val="24"/>
          <w:lang w:eastAsia="sv-SE"/>
        </w:rPr>
      </w:pPr>
    </w:p>
    <w:p w:rsidR="006E056A" w:rsidRPr="00C67E56" w:rsidRDefault="006E056A" w:rsidP="006E056A">
      <w:pPr>
        <w:spacing w:line="240" w:lineRule="auto"/>
        <w:ind w:left="-567"/>
        <w:rPr>
          <w:b/>
          <w:iCs/>
        </w:rPr>
      </w:pPr>
      <w:r w:rsidRPr="00C67E56">
        <w:rPr>
          <w:b/>
          <w:bCs/>
          <w:szCs w:val="24"/>
        </w:rPr>
        <w:t>m)</w:t>
      </w:r>
      <w:r w:rsidRPr="00C67E56">
        <w:rPr>
          <w:b/>
          <w:bCs/>
          <w:szCs w:val="24"/>
        </w:rPr>
        <w:tab/>
        <w:t>Program och evenemang unde</w:t>
      </w:r>
      <w:r w:rsidRPr="00C67E56">
        <w:rPr>
          <w:b/>
          <w:color w:val="000000"/>
        </w:rPr>
        <w:t>r det kommande ordförandeskapet</w:t>
      </w:r>
    </w:p>
    <w:p w:rsidR="006E056A" w:rsidRPr="00C67E56" w:rsidRDefault="006E056A" w:rsidP="006E056A">
      <w:pPr>
        <w:spacing w:line="240" w:lineRule="auto"/>
        <w:ind w:left="-567"/>
        <w:rPr>
          <w:i/>
        </w:rPr>
      </w:pPr>
      <w:r w:rsidRPr="00C67E56">
        <w:rPr>
          <w:iCs/>
        </w:rPr>
        <w:tab/>
      </w:r>
      <w:r w:rsidRPr="00C67E56">
        <w:rPr>
          <w:iCs/>
        </w:rPr>
        <w:tab/>
      </w:r>
      <w:r w:rsidRPr="00C67E56">
        <w:rPr>
          <w:i/>
          <w:iCs/>
        </w:rPr>
        <w:t xml:space="preserve">– </w:t>
      </w:r>
      <w:r w:rsidRPr="00C67E56">
        <w:rPr>
          <w:i/>
        </w:rPr>
        <w:t>Information från den ungerska delegationen</w:t>
      </w:r>
    </w:p>
    <w:p w:rsidR="006E056A" w:rsidRPr="00C67E56" w:rsidRDefault="006E056A" w:rsidP="006E056A">
      <w:pPr>
        <w:spacing w:line="240" w:lineRule="auto"/>
        <w:ind w:left="-567"/>
        <w:rPr>
          <w:i/>
        </w:rPr>
      </w:pPr>
    </w:p>
    <w:p w:rsidR="006E056A" w:rsidRPr="00C67E56" w:rsidRDefault="006E056A" w:rsidP="006E056A">
      <w:pPr>
        <w:spacing w:line="240" w:lineRule="auto"/>
        <w:ind w:left="-567"/>
      </w:pPr>
      <w:r w:rsidRPr="00C67E56">
        <w:rPr>
          <w:i/>
        </w:rPr>
        <w:tab/>
      </w:r>
      <w:r w:rsidRPr="00C67E56">
        <w:rPr>
          <w:i/>
        </w:rPr>
        <w:tab/>
      </w:r>
      <w:r w:rsidRPr="00C67E56">
        <w:t>Dok: föreligger ej</w:t>
      </w:r>
    </w:p>
    <w:p w:rsidR="009E4C59" w:rsidRPr="00C67E56" w:rsidRDefault="009E4C59" w:rsidP="006E056A">
      <w:pPr>
        <w:spacing w:line="240" w:lineRule="auto"/>
        <w:ind w:left="-567"/>
      </w:pPr>
    </w:p>
    <w:p w:rsidR="009E4C59" w:rsidRPr="00C67E56" w:rsidRDefault="009E4C59" w:rsidP="009E4C59">
      <w:pPr>
        <w:rPr>
          <w:i/>
        </w:rPr>
      </w:pPr>
      <w:r w:rsidRPr="00C67E56">
        <w:rPr>
          <w:i/>
        </w:rPr>
        <w:t>Frågan har inte tidigare behandlats i EU-nämnden.</w:t>
      </w:r>
    </w:p>
    <w:p w:rsidR="009E4C59" w:rsidRPr="00C67E56" w:rsidRDefault="009E4C59" w:rsidP="009E4C59"/>
    <w:p w:rsidR="009E4C59" w:rsidRPr="00C67E56" w:rsidRDefault="009E4C59" w:rsidP="009E4C59">
      <w:pPr>
        <w:rPr>
          <w:b/>
        </w:rPr>
      </w:pPr>
      <w:r w:rsidRPr="00C67E56">
        <w:rPr>
          <w:b/>
        </w:rPr>
        <w:t>Bakgrund</w:t>
      </w:r>
    </w:p>
    <w:p w:rsidR="009E4C59" w:rsidRPr="00C67E56" w:rsidRDefault="009E4C59" w:rsidP="009E4C59"/>
    <w:p w:rsidR="009E4C59" w:rsidRPr="00C67E56" w:rsidRDefault="009E4C59" w:rsidP="009E4C59">
      <w:r w:rsidRPr="00C67E56">
        <w:t>Den 1 januari 2011 övertar Ungern ordförandeskapet i rådet som sista medlemsstat i trion efter Spanien respektive Belgien. Enligt preliminära uppgifter kommer det ungerska ordförandeskapet att hålla TTE-rådsmöten för transportministrarna den 7 mars i Bryssel och den 16 juni i Luxemburg. Ett informellt transportministermöte planeras till den 6-7 februari i Ungern. Den ungerska delegationen kommer att under den här punkten informera om sitt ordförandeskapsprogram och sina möten på transportområdet.</w:t>
      </w:r>
    </w:p>
    <w:p w:rsidR="009E4C59" w:rsidRPr="00C67E56" w:rsidRDefault="009E4C59" w:rsidP="009E4C59">
      <w:pPr>
        <w:rPr>
          <w:b/>
        </w:rPr>
      </w:pPr>
    </w:p>
    <w:p w:rsidR="009E4C59" w:rsidRPr="00C67E56" w:rsidRDefault="009E4C59" w:rsidP="009E4C59">
      <w:pPr>
        <w:rPr>
          <w:b/>
        </w:rPr>
      </w:pPr>
    </w:p>
    <w:p w:rsidR="009E4C59" w:rsidRPr="00C67E56" w:rsidRDefault="009E4C59" w:rsidP="009E4C59">
      <w:pPr>
        <w:rPr>
          <w:b/>
        </w:rPr>
      </w:pPr>
      <w:r w:rsidRPr="00C67E56">
        <w:rPr>
          <w:b/>
        </w:rPr>
        <w:t>Förslag till svensk ståndpunkt</w:t>
      </w:r>
    </w:p>
    <w:p w:rsidR="009E4C59" w:rsidRPr="00C67E56" w:rsidRDefault="009E4C59" w:rsidP="009E4C59">
      <w:pPr>
        <w:rPr>
          <w:b/>
        </w:rPr>
      </w:pPr>
    </w:p>
    <w:p w:rsidR="009E4C59" w:rsidRPr="00C67E56" w:rsidRDefault="009E4C59" w:rsidP="009E4C59">
      <w:r w:rsidRPr="00C67E56">
        <w:t>Sverige bör notera informationen.</w:t>
      </w:r>
    </w:p>
    <w:p w:rsidR="009E4C59" w:rsidRPr="00C67E56" w:rsidRDefault="009E4C59" w:rsidP="006E056A">
      <w:pPr>
        <w:spacing w:line="240" w:lineRule="auto"/>
        <w:ind w:left="-567"/>
      </w:pPr>
    </w:p>
    <w:sectPr w:rsidR="009E4C59" w:rsidRPr="00C67E5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DB6" w:rsidRPr="00C67E56" w:rsidRDefault="00174DB6">
      <w:r w:rsidRPr="00C67E56">
        <w:separator/>
      </w:r>
    </w:p>
  </w:endnote>
  <w:endnote w:type="continuationSeparator" w:id="0">
    <w:p w:rsidR="00174DB6" w:rsidRPr="00C67E56" w:rsidRDefault="00174DB6">
      <w:r w:rsidRPr="00C67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DB6" w:rsidRPr="00C67E56" w:rsidRDefault="00174DB6">
      <w:r w:rsidRPr="00C67E56">
        <w:separator/>
      </w:r>
    </w:p>
  </w:footnote>
  <w:footnote w:type="continuationSeparator" w:id="0">
    <w:p w:rsidR="00174DB6" w:rsidRPr="00C67E56" w:rsidRDefault="00174DB6">
      <w:r w:rsidRPr="00C67E56">
        <w:continuationSeparator/>
      </w:r>
    </w:p>
  </w:footnote>
  <w:footnote w:id="1">
    <w:p w:rsidR="00511663" w:rsidRPr="00C67E56" w:rsidRDefault="00511663" w:rsidP="003A0DA4">
      <w:pPr>
        <w:pStyle w:val="Fotnotstext"/>
        <w:rPr>
          <w:lang w:val="sv-SE"/>
        </w:rPr>
      </w:pPr>
      <w:r w:rsidRPr="00C67E56">
        <w:rPr>
          <w:rStyle w:val="Fotnotsreferens"/>
          <w:lang w:val="sv-SE"/>
        </w:rPr>
        <w:footnoteRef/>
      </w:r>
      <w:r w:rsidRPr="00C67E56">
        <w:rPr>
          <w:lang w:val="sv-SE"/>
        </w:rPr>
        <w:t xml:space="preserve"> </w:t>
      </w:r>
      <w:r w:rsidRPr="00C67E56">
        <w:rPr>
          <w:bCs/>
          <w:lang w:val="sv-SE"/>
        </w:rPr>
        <w:t>Europaparlamentets och rådets direktiv  2009/72/EG av den 13 juli 2009 om gemensamma regler för den inre marknaden för el och om upphävande av direktiv  2003/54/EG samt Europarlamentets och rådets direktiv 2009/73/EG  av den 13 juli  2009 om gemensamma  regler för den inre marknaden för naturgas och om upphävande av direktiv 2003/55/EG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663" w:rsidRPr="00C67E56" w:rsidRDefault="00511663">
    <w:pPr>
      <w:pStyle w:val="Sidhuvud"/>
      <w:framePr w:wrap="around" w:vAnchor="text" w:hAnchor="margin" w:xAlign="right" w:y="1"/>
      <w:rPr>
        <w:rStyle w:val="Sidnummer"/>
      </w:rPr>
    </w:pPr>
    <w:r w:rsidRPr="00C67E56">
      <w:rPr>
        <w:rStyle w:val="Sidnummer"/>
      </w:rPr>
      <w:fldChar w:fldCharType="begin" w:fldLock="1"/>
    </w:r>
    <w:r w:rsidRPr="00C67E56">
      <w:rPr>
        <w:rStyle w:val="Sidnummer"/>
      </w:rPr>
      <w:instrText xml:space="preserve">PAGE  </w:instrText>
    </w:r>
    <w:r w:rsidRPr="00C67E56">
      <w:rPr>
        <w:rStyle w:val="Sidnummer"/>
      </w:rPr>
      <w:fldChar w:fldCharType="separate"/>
    </w:r>
    <w:r w:rsidR="00504E26" w:rsidRPr="00C67E56">
      <w:rPr>
        <w:rStyle w:val="Sidnummer"/>
      </w:rPr>
      <w:t>22</w:t>
    </w:r>
    <w:r w:rsidRPr="00C67E5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1663" w:rsidRPr="00C67E56">
      <w:tblPrEx>
        <w:tblCellMar>
          <w:top w:w="0" w:type="dxa"/>
          <w:bottom w:w="0" w:type="dxa"/>
        </w:tblCellMar>
      </w:tblPrEx>
      <w:trPr>
        <w:cantSplit/>
      </w:trPr>
      <w:tc>
        <w:tcPr>
          <w:tcW w:w="3119" w:type="dxa"/>
        </w:tcPr>
        <w:p w:rsidR="00511663" w:rsidRPr="00C67E56" w:rsidRDefault="00511663">
          <w:pPr>
            <w:pStyle w:val="Sidhuvud"/>
            <w:spacing w:line="200" w:lineRule="atLeast"/>
            <w:ind w:right="357"/>
            <w:rPr>
              <w:rFonts w:ascii="TradeGothic" w:hAnsi="TradeGothic"/>
              <w:b/>
              <w:bCs/>
              <w:sz w:val="16"/>
            </w:rPr>
          </w:pPr>
        </w:p>
      </w:tc>
      <w:tc>
        <w:tcPr>
          <w:tcW w:w="4111" w:type="dxa"/>
          <w:tcMar>
            <w:left w:w="567" w:type="dxa"/>
          </w:tcMar>
        </w:tcPr>
        <w:p w:rsidR="00511663" w:rsidRPr="00C67E56" w:rsidRDefault="00511663">
          <w:pPr>
            <w:pStyle w:val="Sidhuvud"/>
            <w:ind w:right="360"/>
          </w:pPr>
        </w:p>
      </w:tc>
      <w:tc>
        <w:tcPr>
          <w:tcW w:w="1525" w:type="dxa"/>
        </w:tcPr>
        <w:p w:rsidR="00511663" w:rsidRPr="00C67E56" w:rsidRDefault="00511663">
          <w:pPr>
            <w:pStyle w:val="Sidhuvud"/>
            <w:ind w:right="360"/>
          </w:pPr>
        </w:p>
      </w:tc>
    </w:tr>
  </w:tbl>
  <w:p w:rsidR="00511663" w:rsidRPr="00C67E56" w:rsidRDefault="005116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663" w:rsidRPr="00C67E56" w:rsidRDefault="00511663">
    <w:pPr>
      <w:pStyle w:val="Sidhuvud"/>
      <w:framePr w:wrap="around" w:vAnchor="text" w:hAnchor="margin" w:xAlign="right" w:y="1"/>
      <w:rPr>
        <w:rStyle w:val="Sidnummer"/>
      </w:rPr>
    </w:pPr>
    <w:r w:rsidRPr="00C67E56">
      <w:rPr>
        <w:rStyle w:val="Sidnummer"/>
      </w:rPr>
      <w:fldChar w:fldCharType="begin" w:fldLock="1"/>
    </w:r>
    <w:r w:rsidRPr="00C67E56">
      <w:rPr>
        <w:rStyle w:val="Sidnummer"/>
      </w:rPr>
      <w:instrText xml:space="preserve">PAGE  </w:instrText>
    </w:r>
    <w:r w:rsidRPr="00C67E56">
      <w:rPr>
        <w:rStyle w:val="Sidnummer"/>
      </w:rPr>
      <w:fldChar w:fldCharType="separate"/>
    </w:r>
    <w:r w:rsidR="00504E26" w:rsidRPr="00C67E56">
      <w:rPr>
        <w:rStyle w:val="Sidnummer"/>
      </w:rPr>
      <w:t>21</w:t>
    </w:r>
    <w:r w:rsidRPr="00C67E5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1663" w:rsidRPr="00C67E56">
      <w:tblPrEx>
        <w:tblCellMar>
          <w:top w:w="0" w:type="dxa"/>
          <w:bottom w:w="0" w:type="dxa"/>
        </w:tblCellMar>
      </w:tblPrEx>
      <w:trPr>
        <w:cantSplit/>
      </w:trPr>
      <w:tc>
        <w:tcPr>
          <w:tcW w:w="3119" w:type="dxa"/>
        </w:tcPr>
        <w:p w:rsidR="00511663" w:rsidRPr="00C67E56" w:rsidRDefault="00511663">
          <w:pPr>
            <w:pStyle w:val="Sidhuvud"/>
            <w:spacing w:line="200" w:lineRule="atLeast"/>
            <w:ind w:right="357"/>
            <w:rPr>
              <w:rFonts w:ascii="TradeGothic" w:hAnsi="TradeGothic"/>
              <w:b/>
              <w:bCs/>
              <w:sz w:val="16"/>
            </w:rPr>
          </w:pPr>
        </w:p>
      </w:tc>
      <w:tc>
        <w:tcPr>
          <w:tcW w:w="4111" w:type="dxa"/>
          <w:tcMar>
            <w:left w:w="567" w:type="dxa"/>
          </w:tcMar>
        </w:tcPr>
        <w:p w:rsidR="00511663" w:rsidRPr="00C67E56" w:rsidRDefault="00511663">
          <w:pPr>
            <w:pStyle w:val="Sidhuvud"/>
            <w:ind w:right="360"/>
          </w:pPr>
        </w:p>
      </w:tc>
      <w:tc>
        <w:tcPr>
          <w:tcW w:w="1525" w:type="dxa"/>
        </w:tcPr>
        <w:p w:rsidR="00511663" w:rsidRPr="00C67E56" w:rsidRDefault="00511663">
          <w:pPr>
            <w:pStyle w:val="Sidhuvud"/>
            <w:ind w:right="360"/>
          </w:pPr>
        </w:p>
      </w:tc>
    </w:tr>
  </w:tbl>
  <w:p w:rsidR="00511663" w:rsidRPr="00C67E56" w:rsidRDefault="005116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663" w:rsidRPr="00C67E56" w:rsidRDefault="00C67E56">
    <w:pPr>
      <w:framePr w:w="2948" w:h="1321" w:hRule="exact" w:wrap="notBeside" w:vAnchor="page" w:hAnchor="page" w:x="1362" w:y="653"/>
    </w:pPr>
    <w:r w:rsidRPr="00C67E5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11663" w:rsidRPr="00C67E56" w:rsidRDefault="00511663">
    <w:pPr>
      <w:pStyle w:val="RKrubrik"/>
      <w:keepNext w:val="0"/>
      <w:tabs>
        <w:tab w:val="clear" w:pos="1134"/>
        <w:tab w:val="clear" w:pos="2835"/>
      </w:tabs>
      <w:spacing w:before="0" w:after="0" w:line="320" w:lineRule="atLeast"/>
      <w:rPr>
        <w:bCs/>
      </w:rPr>
    </w:pPr>
  </w:p>
  <w:p w:rsidR="00511663" w:rsidRPr="00C67E56" w:rsidRDefault="00511663">
    <w:pPr>
      <w:rPr>
        <w:rFonts w:ascii="TradeGothic" w:hAnsi="TradeGothic"/>
        <w:b/>
        <w:bCs/>
        <w:spacing w:val="12"/>
        <w:sz w:val="22"/>
      </w:rPr>
    </w:pPr>
  </w:p>
  <w:p w:rsidR="00511663" w:rsidRPr="00C67E56" w:rsidRDefault="00511663">
    <w:pPr>
      <w:pStyle w:val="RKrubrik"/>
      <w:keepNext w:val="0"/>
      <w:tabs>
        <w:tab w:val="clear" w:pos="1134"/>
        <w:tab w:val="clear" w:pos="2835"/>
      </w:tabs>
      <w:spacing w:before="0" w:after="0" w:line="320" w:lineRule="atLeast"/>
      <w:rPr>
        <w:bCs/>
      </w:rPr>
    </w:pPr>
  </w:p>
  <w:p w:rsidR="00511663" w:rsidRPr="00C67E56" w:rsidRDefault="0051166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159E6"/>
    <w:rsid w:val="000211AE"/>
    <w:rsid w:val="00022A7D"/>
    <w:rsid w:val="00026311"/>
    <w:rsid w:val="00056D03"/>
    <w:rsid w:val="00064F19"/>
    <w:rsid w:val="00085C65"/>
    <w:rsid w:val="000B27CA"/>
    <w:rsid w:val="000F4BC8"/>
    <w:rsid w:val="00174DB6"/>
    <w:rsid w:val="00191766"/>
    <w:rsid w:val="002577C8"/>
    <w:rsid w:val="002C029A"/>
    <w:rsid w:val="002E3F07"/>
    <w:rsid w:val="002F2AFC"/>
    <w:rsid w:val="00313A36"/>
    <w:rsid w:val="00380A30"/>
    <w:rsid w:val="003A0DA4"/>
    <w:rsid w:val="003D4835"/>
    <w:rsid w:val="003E3A00"/>
    <w:rsid w:val="00437510"/>
    <w:rsid w:val="0044568E"/>
    <w:rsid w:val="00466825"/>
    <w:rsid w:val="004712EC"/>
    <w:rsid w:val="004C105E"/>
    <w:rsid w:val="00504E26"/>
    <w:rsid w:val="00511663"/>
    <w:rsid w:val="005249A0"/>
    <w:rsid w:val="0053043C"/>
    <w:rsid w:val="00560648"/>
    <w:rsid w:val="00563518"/>
    <w:rsid w:val="00571C31"/>
    <w:rsid w:val="005C46BB"/>
    <w:rsid w:val="005C58BF"/>
    <w:rsid w:val="005F58F0"/>
    <w:rsid w:val="0064157B"/>
    <w:rsid w:val="00656887"/>
    <w:rsid w:val="006C4D4A"/>
    <w:rsid w:val="006D74EB"/>
    <w:rsid w:val="006E056A"/>
    <w:rsid w:val="006E70E1"/>
    <w:rsid w:val="007017FA"/>
    <w:rsid w:val="00775979"/>
    <w:rsid w:val="007F2C37"/>
    <w:rsid w:val="00800101"/>
    <w:rsid w:val="008101B4"/>
    <w:rsid w:val="0086705D"/>
    <w:rsid w:val="0088780D"/>
    <w:rsid w:val="00900FC2"/>
    <w:rsid w:val="00954BD5"/>
    <w:rsid w:val="009E4C59"/>
    <w:rsid w:val="00A5598A"/>
    <w:rsid w:val="00B01520"/>
    <w:rsid w:val="00B03B47"/>
    <w:rsid w:val="00B12588"/>
    <w:rsid w:val="00B43F09"/>
    <w:rsid w:val="00B54C2E"/>
    <w:rsid w:val="00B66FFE"/>
    <w:rsid w:val="00B8284C"/>
    <w:rsid w:val="00BA4CDB"/>
    <w:rsid w:val="00C3679E"/>
    <w:rsid w:val="00C64E82"/>
    <w:rsid w:val="00C67E56"/>
    <w:rsid w:val="00C76CB0"/>
    <w:rsid w:val="00CA482D"/>
    <w:rsid w:val="00CB491E"/>
    <w:rsid w:val="00CE2583"/>
    <w:rsid w:val="00D05983"/>
    <w:rsid w:val="00D07917"/>
    <w:rsid w:val="00D417D8"/>
    <w:rsid w:val="00DA316B"/>
    <w:rsid w:val="00E41B30"/>
    <w:rsid w:val="00E63C9B"/>
    <w:rsid w:val="00E915FC"/>
    <w:rsid w:val="00E91F4B"/>
    <w:rsid w:val="00E96F29"/>
    <w:rsid w:val="00EA0C7C"/>
    <w:rsid w:val="00EC07F6"/>
    <w:rsid w:val="00EC0AEE"/>
    <w:rsid w:val="00EF0F3D"/>
    <w:rsid w:val="00F24845"/>
    <w:rsid w:val="00F55479"/>
    <w:rsid w:val="00F6471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A59518-7D86-4296-985B-8A4872AF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9E6"/>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styleId="Fotnotstext">
    <w:name w:val="footnote text"/>
    <w:basedOn w:val="Normal"/>
    <w:semiHidden/>
    <w:rsid w:val="003A0DA4"/>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3A0D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5555</Words>
  <Characters>35386</Characters>
  <Application>Microsoft Office Word</Application>
  <DocSecurity>4</DocSecurity>
  <Lines>1011</Lines>
  <Paragraphs>362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2010-11-22T13:37:00Z</cp:lastPrinted>
  <dcterms:created xsi:type="dcterms:W3CDTF">2025-12-18T03:51:00Z</dcterms:created>
  <dcterms:modified xsi:type="dcterms:W3CDTF">2025-12-18T03:51:00Z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