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6BF9" w:rsidRPr="00EF6BF9" w:rsidRDefault="00EF6BF9">
      <w:pPr>
        <w:pStyle w:val="Frslagsrubrik"/>
      </w:pPr>
      <w:r w:rsidRPr="00EF6BF9">
        <w:t>Förslag till riksdagsbeslut</w:t>
      </w:r>
    </w:p>
    <w:p w:rsidR="00EF6BF9" w:rsidRPr="00EF6BF9" w:rsidRDefault="00EF6BF9">
      <w:pPr>
        <w:pStyle w:val="Hemstlatt"/>
        <w:ind w:left="0"/>
      </w:pPr>
      <w:r w:rsidRPr="00EF6BF9">
        <w:t>Riksdagen avslår förslaget om ny lydelse av 6 kap. 18 § lagen om ändring i lagen (2003:389) om elektronisk kommunik</w:t>
      </w:r>
      <w:r w:rsidRPr="00EF6BF9">
        <w:t>a</w:t>
      </w:r>
      <w:r w:rsidRPr="00EF6BF9">
        <w:t>tion.</w:t>
      </w:r>
    </w:p>
    <w:p w:rsidR="00EF6BF9" w:rsidRPr="00EF6BF9" w:rsidRDefault="00EF6BF9">
      <w:pPr>
        <w:pStyle w:val="Rubrik1"/>
      </w:pPr>
      <w:r w:rsidRPr="00EF6BF9">
        <w:t>Motivering</w:t>
      </w:r>
    </w:p>
    <w:p w:rsidR="00EF6BF9" w:rsidRPr="00EF6BF9" w:rsidRDefault="00EF6BF9">
      <w:pPr>
        <w:rPr>
          <w:szCs w:val="19"/>
        </w:rPr>
      </w:pPr>
      <w:r w:rsidRPr="00EF6BF9">
        <w:t xml:space="preserve">I proposition 2010/11:115 </w:t>
      </w:r>
      <w:r w:rsidRPr="00EF6BF9">
        <w:rPr>
          <w:i/>
        </w:rPr>
        <w:t xml:space="preserve">Bättre regler för elektroniska kommunikationer </w:t>
      </w:r>
      <w:r w:rsidRPr="00EF6BF9">
        <w:t>lämnas förslag till genomförande av två EU-direktiv på området för elektr</w:t>
      </w:r>
      <w:r w:rsidRPr="00EF6BF9">
        <w:t>o</w:t>
      </w:r>
      <w:r w:rsidRPr="00EF6BF9">
        <w:t>nisk kommunikation. Genomförandet fordrar enligt regeringen än</w:t>
      </w:r>
      <w:r w:rsidRPr="00EF6BF9">
        <w:t>d</w:t>
      </w:r>
      <w:r w:rsidRPr="00EF6BF9">
        <w:t>ringar i två nationella lagar: dels i lagen (2003:389) om elektronisk ko</w:t>
      </w:r>
      <w:r w:rsidRPr="00EF6BF9">
        <w:t>m</w:t>
      </w:r>
      <w:r w:rsidRPr="00EF6BF9">
        <w:t>munikation</w:t>
      </w:r>
      <w:r w:rsidRPr="00EF6BF9">
        <w:rPr>
          <w:szCs w:val="19"/>
        </w:rPr>
        <w:t>, dels i marknadsföringslagen (2008:486).</w:t>
      </w:r>
    </w:p>
    <w:p w:rsidR="00EF6BF9" w:rsidRPr="00EF6BF9" w:rsidRDefault="00EF6BF9">
      <w:pPr>
        <w:pStyle w:val="Normaltindrag"/>
      </w:pPr>
      <w:r w:rsidRPr="00EF6BF9">
        <w:t>Vi delar i allt väsentligt regeringens bedömning om vilka ändringar som är nödvändiga för att införliva de aktuella EU-direktiven i svensk lagstiftning. Vad avser ny lydelse av 6 kap. 18 § lagen om elekt</w:t>
      </w:r>
      <w:r w:rsidRPr="00EF6BF9">
        <w:t xml:space="preserve">ronisk kommunikation är vi dock inte beredda att stödja regeringens förslag. Den föreslagna lydelsen följer nedan. </w:t>
      </w:r>
    </w:p>
    <w:p w:rsidR="00EF6BF9" w:rsidRPr="00EF6BF9" w:rsidRDefault="00EF6BF9">
      <w:pPr>
        <w:pStyle w:val="Citat"/>
        <w:rPr>
          <w:rFonts w:ascii="TimesNewRoman" w:hAnsi="TimesNewRoman" w:cs="TimesNewRoman"/>
        </w:rPr>
      </w:pPr>
      <w:r w:rsidRPr="00EF6BF9">
        <w:t>Uppgifter får lagras i eller hämtas från en abonnents eller användares te</w:t>
      </w:r>
      <w:r w:rsidRPr="00EF6BF9">
        <w:t>r</w:t>
      </w:r>
      <w:r w:rsidRPr="00EF6BF9">
        <w:t>minalutrustning endast om abonnenten eller användaren får tillgång till information om ändamålet med behandlingen och samtycker till den. Detta hindrar inte sådan lagring eller åtkomst som behövs för att överföra ett ele</w:t>
      </w:r>
      <w:r w:rsidRPr="00EF6BF9">
        <w:t>k</w:t>
      </w:r>
      <w:r w:rsidRPr="00EF6BF9">
        <w:t>troniskt meddelande via ett elektroniskt kommunikationsnät eller som är nödvändig för att tillhandahålla en tjänst som användaren eller abonnenten uttryckligen har begärt.</w:t>
      </w:r>
    </w:p>
    <w:p w:rsidR="00EF6BF9" w:rsidRPr="00EF6BF9" w:rsidRDefault="00EF6BF9">
      <w:r w:rsidRPr="00EF6BF9">
        <w:t>Precis som en rad remissinstanser påpekat riskerar denna lydelse att fra</w:t>
      </w:r>
      <w:r w:rsidRPr="00EF6BF9">
        <w:t>m</w:t>
      </w:r>
      <w:r w:rsidRPr="00EF6BF9">
        <w:t xml:space="preserve">tvinga lösningar som bygger på att Internetanvändare aktivt måste godkänna varje s.k. cookie innan den laddas ned till den egna datorn. En sannolik effekt av detta blir att ett besök på en större reklamfinansierad hemsida kommer att </w:t>
      </w:r>
      <w:r w:rsidRPr="00EF6BF9">
        <w:lastRenderedPageBreak/>
        <w:t>genera en mycket stor mängd s.k. pop-ups med fråga om det föreligger sa</w:t>
      </w:r>
      <w:r w:rsidRPr="00EF6BF9">
        <w:t>m</w:t>
      </w:r>
      <w:r w:rsidRPr="00EF6BF9">
        <w:t xml:space="preserve">tycke för nedladdning av cookie. </w:t>
      </w:r>
    </w:p>
    <w:p w:rsidR="00EF6BF9" w:rsidRPr="00EF6BF9" w:rsidRDefault="00EF6BF9">
      <w:pPr>
        <w:pStyle w:val="Normaltindrag"/>
      </w:pPr>
      <w:r w:rsidRPr="00EF6BF9">
        <w:t>Bland de många instanser som i kritiska remissvar pekat på att de nya b</w:t>
      </w:r>
      <w:r w:rsidRPr="00EF6BF9">
        <w:t>e</w:t>
      </w:r>
      <w:r w:rsidRPr="00EF6BF9">
        <w:t>stämmelserna kommer att försvåra användningen av cookies återfinns Sver</w:t>
      </w:r>
      <w:r w:rsidRPr="00EF6BF9">
        <w:t>i</w:t>
      </w:r>
      <w:r w:rsidRPr="00EF6BF9">
        <w:t xml:space="preserve">ges Television (SVT) och Post- och telestyrelsen (PTS). </w:t>
      </w:r>
    </w:p>
    <w:p w:rsidR="00EF6BF9" w:rsidRPr="00EF6BF9" w:rsidRDefault="00EF6BF9">
      <w:pPr>
        <w:pStyle w:val="Normaltindrag"/>
      </w:pPr>
      <w:r w:rsidRPr="00EF6BF9">
        <w:t>SVT skriver: ”det är viktigt att inte försvåra användningen av s.k. cookies i syfte att t.ex. förbättra upplevelsen för besökare på en viss webbplats. Sådan användning av cookies bör inte heller fortsättningsvis kräva samtycke av webbplatsbesökaren.”</w:t>
      </w:r>
    </w:p>
    <w:p w:rsidR="00EF6BF9" w:rsidRPr="00EF6BF9" w:rsidRDefault="00EF6BF9">
      <w:pPr>
        <w:pStyle w:val="Normaltindrag"/>
      </w:pPr>
      <w:r w:rsidRPr="00EF6BF9">
        <w:t>Ett liknande resonemang förs av PTS: ”Således anser PTS att om ambiti</w:t>
      </w:r>
      <w:r w:rsidRPr="00EF6BF9">
        <w:t>o</w:t>
      </w:r>
      <w:r w:rsidRPr="00EF6BF9">
        <w:t>nen är att regleringen inte ska försvåra hanteringen av cookies så bör en mö</w:t>
      </w:r>
      <w:r w:rsidRPr="00EF6BF9">
        <w:t>j</w:t>
      </w:r>
      <w:r w:rsidRPr="00EF6BF9">
        <w:t>lighet till undantag från kravet om samtycke införas, dock med bibehållet krav på information.”</w:t>
      </w:r>
    </w:p>
    <w:p w:rsidR="00EF6BF9" w:rsidRPr="00EF6BF9" w:rsidRDefault="00EF6BF9">
      <w:pPr>
        <w:pStyle w:val="Normaltindrag"/>
      </w:pPr>
      <w:r w:rsidRPr="00EF6BF9">
        <w:t xml:space="preserve">En </w:t>
      </w:r>
      <w:r w:rsidRPr="00EF6BF9">
        <w:rPr>
          <w:bCs/>
        </w:rPr>
        <w:t>cookie</w:t>
      </w:r>
      <w:r w:rsidRPr="00EF6BF9">
        <w:t xml:space="preserve"> är en liten textbaserad datafil som en webbserver kan be att få spara i webbplatsbesökarens dator. Med hjälp av cookies kan information om en användares rörelser på en hemsida sparas. Denna information används ofta för att anpassa innehåll och funktionalitet på en hemsida. Ett annat vanligt användningsområde är att skapa underlag för att bättre rikta marknadsföring</w:t>
      </w:r>
      <w:r w:rsidRPr="00EF6BF9">
        <w:t>s</w:t>
      </w:r>
      <w:r w:rsidRPr="00EF6BF9">
        <w:t xml:space="preserve">insatser mot specifika målgrupper. </w:t>
      </w:r>
    </w:p>
    <w:p w:rsidR="00EF6BF9" w:rsidRPr="00EF6BF9" w:rsidRDefault="00EF6BF9">
      <w:pPr>
        <w:pStyle w:val="Normaltindrag"/>
      </w:pPr>
      <w:r w:rsidRPr="00EF6BF9">
        <w:t>Bakgrunden till förslaget om samtycke för att ladda ned cookies är själ</w:t>
      </w:r>
      <w:r w:rsidRPr="00EF6BF9">
        <w:t>v</w:t>
      </w:r>
      <w:r w:rsidRPr="00EF6BF9">
        <w:t>fallet en ambition om att skydda webbanvändares integritet. Det är möjligt, om än inte på något sätt givet, att den föreslagna lydelsen också får en viss sådan effekt. Men detta måste också vägas mot de potentiella negativa effe</w:t>
      </w:r>
      <w:r w:rsidRPr="00EF6BF9">
        <w:t>k</w:t>
      </w:r>
      <w:r w:rsidRPr="00EF6BF9">
        <w:t>terna såsom ökat omak för den enskilde Internetanvändaren, minskade mö</w:t>
      </w:r>
      <w:r w:rsidRPr="00EF6BF9">
        <w:t>j</w:t>
      </w:r>
      <w:r w:rsidRPr="00EF6BF9">
        <w:t xml:space="preserve">ligheter att snabbt anpassa en hemsida efter användarnas preferenser samt minskade reklamintäkter för onlinemedierna. </w:t>
      </w:r>
    </w:p>
    <w:p w:rsidR="00EF6BF9" w:rsidRPr="00EF6BF9" w:rsidRDefault="00EF6BF9">
      <w:pPr>
        <w:pStyle w:val="Normaltindrag"/>
      </w:pPr>
      <w:r w:rsidRPr="00EF6BF9">
        <w:t>Vi anser att integritetsskyddet vid nedladdning av cookies borde kunna hanteras på ett väsen</w:t>
      </w:r>
      <w:r w:rsidRPr="00EF6BF9">
        <w:t>tligt mer rationellt sätt än vad som föreslås i propositi</w:t>
      </w:r>
      <w:r w:rsidRPr="00EF6BF9">
        <w:t>o</w:t>
      </w:r>
      <w:r w:rsidRPr="00EF6BF9">
        <w:t>nen, t.ex. genom att samtycke görs samlat via webbläsarens inställningar. En sådan ordning skulle gynna såväl onlinemedierna som den enskilde Interne</w:t>
      </w:r>
      <w:r w:rsidRPr="00EF6BF9">
        <w:t>t</w:t>
      </w:r>
      <w:r w:rsidRPr="00EF6BF9">
        <w:t xml:space="preserve">användaren. Vår bedömning är också att en sådan juridisk konstruktion är fullt förenlig med skrivingarna i det aktuella EU-direktivet.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6BF9">
        <w:trPr>
          <w:cantSplit/>
        </w:trPr>
        <w:tc>
          <w:tcPr>
            <w:tcW w:w="3046" w:type="dxa"/>
          </w:tcPr>
          <w:p w:rsidR="00EF6BF9" w:rsidRPr="00EF6BF9" w:rsidRDefault="00EF6BF9">
            <w:pPr>
              <w:pStyle w:val="UnderskriftDatum"/>
              <w:spacing w:before="240"/>
            </w:pPr>
            <w:r w:rsidRPr="00EF6BF9">
              <w:t>Stockholm den 7 april 2011</w:t>
            </w:r>
          </w:p>
        </w:tc>
        <w:tc>
          <w:tcPr>
            <w:tcW w:w="3047" w:type="dxa"/>
          </w:tcPr>
          <w:p w:rsidR="00EF6BF9" w:rsidRPr="00EF6BF9" w:rsidRDefault="00EF6BF9">
            <w:pPr>
              <w:pStyle w:val="Underskrifter"/>
              <w:spacing w:before="240"/>
            </w:pPr>
          </w:p>
        </w:tc>
      </w:tr>
      <w:tr w:rsidR="00000000" w:rsidRPr="00EF6BF9">
        <w:trPr>
          <w:cantSplit/>
        </w:trPr>
        <w:tc>
          <w:tcPr>
            <w:tcW w:w="3046" w:type="dxa"/>
          </w:tcPr>
          <w:p w:rsidR="00EF6BF9" w:rsidRPr="00EF6BF9" w:rsidRDefault="00EF6BF9">
            <w:pPr>
              <w:pStyle w:val="Underskrifter"/>
            </w:pPr>
            <w:r w:rsidRPr="00EF6BF9">
              <w:t>Anders Ygeman (S)</w:t>
            </w:r>
          </w:p>
        </w:tc>
        <w:tc>
          <w:tcPr>
            <w:tcW w:w="3046" w:type="dxa"/>
          </w:tcPr>
          <w:p w:rsidR="00EF6BF9" w:rsidRPr="00EF6BF9" w:rsidRDefault="00EF6BF9">
            <w:pPr>
              <w:pStyle w:val="Underskrifter"/>
            </w:pPr>
          </w:p>
        </w:tc>
      </w:tr>
      <w:tr w:rsidR="00000000" w:rsidRPr="00EF6BF9">
        <w:trPr>
          <w:cantSplit/>
        </w:trPr>
        <w:tc>
          <w:tcPr>
            <w:tcW w:w="3046" w:type="dxa"/>
          </w:tcPr>
          <w:p w:rsidR="00EF6BF9" w:rsidRPr="00EF6BF9" w:rsidRDefault="00EF6BF9">
            <w:pPr>
              <w:pStyle w:val="Underskrifter"/>
            </w:pPr>
            <w:r w:rsidRPr="00EF6BF9">
              <w:t>Pia Nilsson (S)</w:t>
            </w:r>
          </w:p>
        </w:tc>
        <w:tc>
          <w:tcPr>
            <w:tcW w:w="3046" w:type="dxa"/>
          </w:tcPr>
          <w:p w:rsidR="00EF6BF9" w:rsidRPr="00EF6BF9" w:rsidRDefault="00EF6BF9">
            <w:pPr>
              <w:pStyle w:val="Underskrifter"/>
            </w:pPr>
            <w:r w:rsidRPr="00EF6BF9">
              <w:t>Gunilla Carlsson i Hisings Backa (S)</w:t>
            </w:r>
          </w:p>
        </w:tc>
      </w:tr>
      <w:tr w:rsidR="00000000" w:rsidRPr="00EF6BF9">
        <w:trPr>
          <w:cantSplit/>
        </w:trPr>
        <w:tc>
          <w:tcPr>
            <w:tcW w:w="3046" w:type="dxa"/>
          </w:tcPr>
          <w:p w:rsidR="00EF6BF9" w:rsidRPr="00EF6BF9" w:rsidRDefault="00EF6BF9">
            <w:pPr>
              <w:pStyle w:val="Underskrifter"/>
            </w:pPr>
            <w:r w:rsidRPr="00EF6BF9">
              <w:t>Leif Jakobsson (S)</w:t>
            </w:r>
          </w:p>
        </w:tc>
        <w:tc>
          <w:tcPr>
            <w:tcW w:w="3046" w:type="dxa"/>
          </w:tcPr>
          <w:p w:rsidR="00EF6BF9" w:rsidRPr="00EF6BF9" w:rsidRDefault="00EF6BF9">
            <w:pPr>
              <w:pStyle w:val="Underskrifter"/>
            </w:pPr>
            <w:r w:rsidRPr="00EF6BF9">
              <w:t>Lars Mejern Larsson (S)</w:t>
            </w:r>
          </w:p>
        </w:tc>
      </w:tr>
      <w:tr w:rsidR="00000000" w:rsidRPr="00EF6BF9">
        <w:trPr>
          <w:cantSplit/>
        </w:trPr>
        <w:tc>
          <w:tcPr>
            <w:tcW w:w="3046" w:type="dxa"/>
          </w:tcPr>
          <w:p w:rsidR="00EF6BF9" w:rsidRPr="00EF6BF9" w:rsidRDefault="00EF6BF9">
            <w:pPr>
              <w:pStyle w:val="Underskrifter"/>
            </w:pPr>
            <w:r w:rsidRPr="00EF6BF9">
              <w:t>Désirée Liljevall (S)</w:t>
            </w:r>
          </w:p>
        </w:tc>
        <w:tc>
          <w:tcPr>
            <w:tcW w:w="3046" w:type="dxa"/>
          </w:tcPr>
          <w:p w:rsidR="00EF6BF9" w:rsidRPr="00EF6BF9" w:rsidRDefault="00EF6BF9">
            <w:pPr>
              <w:pStyle w:val="Underskrifter"/>
            </w:pPr>
            <w:r w:rsidRPr="00EF6BF9">
              <w:t>Leif Pettersson (S)</w:t>
            </w:r>
          </w:p>
        </w:tc>
      </w:tr>
    </w:tbl>
    <w:p w:rsidR="00EF6BF9" w:rsidRPr="00EF6BF9" w:rsidRDefault="00EF6BF9">
      <w:pPr>
        <w:pStyle w:val="Normaltindrag"/>
      </w:pPr>
    </w:p>
    <w:sectPr w:rsidR="00000000" w:rsidRPr="00EF6B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6BF9" w:rsidRPr="00EF6BF9" w:rsidRDefault="00EF6BF9">
      <w:r w:rsidRPr="00EF6BF9">
        <w:separator/>
      </w:r>
    </w:p>
  </w:endnote>
  <w:endnote w:type="continuationSeparator" w:id="0">
    <w:p w:rsidR="00EF6BF9" w:rsidRPr="00EF6BF9" w:rsidRDefault="00EF6BF9">
      <w:r w:rsidRPr="00EF6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BF9" w:rsidRPr="00EF6BF9" w:rsidRDefault="00EF6BF9">
    <w:pPr>
      <w:pStyle w:val="Sidfot"/>
    </w:pPr>
    <w:r w:rsidRPr="00EF6B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66612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BF9" w:rsidRDefault="00EF6B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6BF9" w:rsidRDefault="00EF6B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BF9" w:rsidRPr="00EF6BF9" w:rsidRDefault="00EF6BF9">
    <w:pPr>
      <w:pStyle w:val="Sidfot"/>
    </w:pPr>
    <w:r w:rsidRPr="00EF6B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658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BF9" w:rsidRDefault="00EF6B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6BF9" w:rsidRDefault="00EF6B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BF9" w:rsidRPr="00EF6BF9" w:rsidRDefault="00EF6BF9">
    <w:pPr>
      <w:pStyle w:val="Sidfot"/>
    </w:pPr>
    <w:r w:rsidRPr="00EF6B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8476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BF9" w:rsidRDefault="00EF6B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6BF9" w:rsidRDefault="00EF6B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6BF9" w:rsidRPr="00EF6BF9" w:rsidRDefault="00EF6BF9">
      <w:r w:rsidRPr="00EF6BF9">
        <w:separator/>
      </w:r>
    </w:p>
  </w:footnote>
  <w:footnote w:type="continuationSeparator" w:id="0">
    <w:p w:rsidR="00EF6BF9" w:rsidRPr="00EF6BF9" w:rsidRDefault="00EF6BF9">
      <w:r w:rsidRPr="00EF6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BF9" w:rsidRPr="00EF6BF9" w:rsidRDefault="00EF6BF9">
    <w:pPr>
      <w:pStyle w:val="Sidhuvud"/>
    </w:pPr>
    <w:r w:rsidRPr="00EF6B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7345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BF9" w:rsidRDefault="00EF6B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6BF9" w:rsidRDefault="00EF6B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BF9" w:rsidRPr="00EF6BF9" w:rsidRDefault="00EF6BF9">
    <w:pPr>
      <w:pStyle w:val="Sidhuvud"/>
    </w:pPr>
    <w:r w:rsidRPr="00EF6B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3859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BF9" w:rsidRDefault="00EF6B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6BF9" w:rsidRDefault="00EF6B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6BF9" w:rsidRPr="00EF6BF9" w:rsidRDefault="00EF6BF9">
    <w:pPr>
      <w:pStyle w:val="FSHNormal"/>
      <w:tabs>
        <w:tab w:val="right" w:pos="5840"/>
      </w:tabs>
    </w:pPr>
    <w:r w:rsidRPr="00EF6BF9">
      <w:br/>
    </w:r>
    <w:r w:rsidRPr="00EF6BF9">
      <w:fldChar w:fldCharType="begin" w:fldLock="1"/>
    </w:r>
    <w:r w:rsidRPr="00EF6BF9">
      <w:instrText xml:space="preserve"> DOCPROPERTY</w:instrText>
    </w:r>
    <w:r w:rsidRPr="00EF6BF9">
      <w:rPr>
        <w:sz w:val="18"/>
      </w:rPr>
      <w:instrText xml:space="preserve"> "YearUser" *\charformat </w:instrText>
    </w:r>
    <w:r w:rsidRPr="00EF6BF9">
      <w:fldChar w:fldCharType="separate"/>
    </w:r>
    <w:r w:rsidRPr="00EF6BF9">
      <w:t>2010/11</w:t>
    </w:r>
    <w:r w:rsidRPr="00EF6BF9">
      <w:fldChar w:fldCharType="end"/>
    </w:r>
    <w:r w:rsidRPr="00EF6BF9">
      <w:t xml:space="preserve"> </w:t>
    </w:r>
    <w:r w:rsidRPr="00EF6BF9">
      <w:tab/>
      <w:t xml:space="preserve">mnr: </w:t>
    </w:r>
    <w:r w:rsidRPr="00EF6BF9">
      <w:fldChar w:fldCharType="begin" w:fldLock="1"/>
    </w:r>
    <w:r w:rsidRPr="00EF6BF9">
      <w:instrText xml:space="preserve"> DOCPROPERTY</w:instrText>
    </w:r>
    <w:r w:rsidRPr="00EF6BF9">
      <w:rPr>
        <w:sz w:val="18"/>
      </w:rPr>
      <w:instrText xml:space="preserve"> "Motionsnummer" *\charformat </w:instrText>
    </w:r>
    <w:r w:rsidRPr="00EF6BF9">
      <w:fldChar w:fldCharType="separate"/>
    </w:r>
    <w:r w:rsidRPr="00EF6BF9">
      <w:t>T14</w:t>
    </w:r>
    <w:r w:rsidRPr="00EF6BF9">
      <w:fldChar w:fldCharType="end"/>
    </w:r>
    <w:r w:rsidRPr="00EF6BF9">
      <w:br/>
    </w:r>
    <w:r w:rsidRPr="00EF6BF9">
      <w:fldChar w:fldCharType="begin" w:fldLock="1"/>
    </w:r>
    <w:r w:rsidRPr="00EF6BF9">
      <w:instrText xml:space="preserve"> DOCPROPERTY</w:instrText>
    </w:r>
    <w:r w:rsidRPr="00EF6BF9">
      <w:rPr>
        <w:sz w:val="18"/>
      </w:rPr>
      <w:instrText xml:space="preserve"> "Samling" *\charformat </w:instrText>
    </w:r>
    <w:r w:rsidRPr="00EF6BF9">
      <w:fldChar w:fldCharType="end"/>
    </w:r>
    <w:r w:rsidRPr="00EF6BF9">
      <w:tab/>
      <w:t xml:space="preserve">pnr: </w:t>
    </w:r>
    <w:r w:rsidRPr="00EF6BF9">
      <w:fldChar w:fldCharType="begin" w:fldLock="1"/>
    </w:r>
    <w:r w:rsidRPr="00EF6BF9">
      <w:instrText xml:space="preserve"> DOCPROPERTY</w:instrText>
    </w:r>
    <w:r w:rsidRPr="00EF6BF9">
      <w:rPr>
        <w:sz w:val="18"/>
      </w:rPr>
      <w:instrText xml:space="preserve"> "Partinummer" *\charformat </w:instrText>
    </w:r>
    <w:r w:rsidRPr="00EF6BF9">
      <w:fldChar w:fldCharType="separate"/>
    </w:r>
    <w:r w:rsidRPr="00EF6BF9">
      <w:t>S20007</w:t>
    </w:r>
    <w:r w:rsidRPr="00EF6BF9">
      <w:fldChar w:fldCharType="end"/>
    </w:r>
  </w:p>
  <w:p w:rsidR="00EF6BF9" w:rsidRPr="00EF6BF9" w:rsidRDefault="00EF6BF9">
    <w:pPr>
      <w:pStyle w:val="FSHRub1"/>
    </w:pPr>
    <w:r w:rsidRPr="00EF6BF9">
      <w:t>Motion till riksdagen</w:t>
    </w:r>
    <w:r w:rsidRPr="00EF6BF9">
      <w:br/>
    </w:r>
    <w:r w:rsidRPr="00EF6BF9">
      <w:fldChar w:fldCharType="begin" w:fldLock="1"/>
    </w:r>
    <w:r w:rsidRPr="00EF6BF9">
      <w:instrText xml:space="preserve"> DOCPROPERTY "YearUser" *\charformat </w:instrText>
    </w:r>
    <w:r w:rsidRPr="00EF6BF9">
      <w:fldChar w:fldCharType="separate"/>
    </w:r>
    <w:r w:rsidRPr="00EF6BF9">
      <w:t>2010/11</w:t>
    </w:r>
    <w:r w:rsidRPr="00EF6BF9">
      <w:fldChar w:fldCharType="end"/>
    </w:r>
    <w:r w:rsidRPr="00EF6BF9">
      <w:t>:</w:t>
    </w:r>
    <w:r w:rsidRPr="00EF6BF9">
      <w:fldChar w:fldCharType="begin" w:fldLock="1"/>
    </w:r>
    <w:r w:rsidRPr="00EF6BF9">
      <w:instrText xml:space="preserve"> DOCPROPERTY "Motionsnummer" *\charformat </w:instrText>
    </w:r>
    <w:r w:rsidRPr="00EF6BF9">
      <w:fldChar w:fldCharType="separate"/>
    </w:r>
    <w:r w:rsidRPr="00EF6BF9">
      <w:t>T14</w:t>
    </w:r>
    <w:r w:rsidRPr="00EF6BF9">
      <w:fldChar w:fldCharType="end"/>
    </w:r>
  </w:p>
  <w:p w:rsidR="00EF6BF9" w:rsidRPr="00EF6BF9" w:rsidRDefault="00EF6BF9">
    <w:pPr>
      <w:pStyle w:val="FSHNormalS5"/>
    </w:pPr>
    <w:r w:rsidRPr="00EF6BF9">
      <w:fldChar w:fldCharType="begin" w:fldLock="1"/>
    </w:r>
    <w:r w:rsidRPr="00EF6BF9">
      <w:instrText xml:space="preserve"> DOCPROPERTY "MotionarText" *\charformat </w:instrText>
    </w:r>
    <w:r w:rsidRPr="00EF6BF9">
      <w:fldChar w:fldCharType="separate"/>
    </w:r>
    <w:r w:rsidRPr="00EF6BF9">
      <w:t>av Anders Ygeman m.fl. (S)</w:t>
    </w:r>
    <w:r w:rsidRPr="00EF6BF9">
      <w:fldChar w:fldCharType="end"/>
    </w:r>
    <w:r w:rsidRPr="00EF6BF9">
      <w:br/>
    </w:r>
    <w:r w:rsidRPr="00EF6BF9">
      <w:fldChar w:fldCharType="begin" w:fldLock="1"/>
    </w:r>
    <w:r w:rsidRPr="00EF6BF9">
      <w:instrText xml:space="preserve"> DOCPROPERTY "SvarFrasKort" *\charformat </w:instrText>
    </w:r>
    <w:r w:rsidRPr="00EF6BF9">
      <w:fldChar w:fldCharType="separate"/>
    </w:r>
    <w:r w:rsidRPr="00EF6BF9">
      <w:t>med anledning av prop. 2010/11:115</w:t>
    </w:r>
    <w:r w:rsidRPr="00EF6BF9">
      <w:fldChar w:fldCharType="end"/>
    </w:r>
  </w:p>
  <w:p w:rsidR="00EF6BF9" w:rsidRPr="00EF6BF9" w:rsidRDefault="00EF6BF9">
    <w:pPr>
      <w:pStyle w:val="FSHTitel"/>
    </w:pPr>
    <w:r w:rsidRPr="00EF6BF9">
      <w:fldChar w:fldCharType="begin" w:fldLock="1"/>
    </w:r>
    <w:r w:rsidRPr="00EF6BF9">
      <w:instrText xml:space="preserve"> DOCPROPERTY</w:instrText>
    </w:r>
    <w:r w:rsidRPr="00EF6BF9">
      <w:rPr>
        <w:sz w:val="18"/>
      </w:rPr>
      <w:instrText xml:space="preserve"> "RubrikSvar" *\charformat </w:instrText>
    </w:r>
    <w:r w:rsidRPr="00EF6BF9">
      <w:fldChar w:fldCharType="separate"/>
    </w:r>
    <w:r w:rsidRPr="00EF6BF9">
      <w:t>Bättre regler för elektroniska kommunikationer</w:t>
    </w:r>
    <w:r w:rsidRPr="00EF6BF9">
      <w:fldChar w:fldCharType="end"/>
    </w:r>
  </w:p>
  <w:p w:rsidR="00EF6BF9" w:rsidRPr="00EF6BF9" w:rsidRDefault="00EF6BF9">
    <w:pPr>
      <w:pStyle w:val="Normal00"/>
    </w:pPr>
  </w:p>
  <w:p w:rsidR="00EF6BF9" w:rsidRPr="00EF6BF9" w:rsidRDefault="00EF6B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5994049">
    <w:abstractNumId w:val="3"/>
  </w:num>
  <w:num w:numId="2" w16cid:durableId="716780908">
    <w:abstractNumId w:val="2"/>
  </w:num>
  <w:num w:numId="3" w16cid:durableId="1099372246">
    <w:abstractNumId w:val="1"/>
  </w:num>
  <w:num w:numId="4" w16cid:durableId="852303838">
    <w:abstractNumId w:val="0"/>
  </w:num>
  <w:num w:numId="5" w16cid:durableId="1162743901">
    <w:abstractNumId w:val="7"/>
  </w:num>
  <w:num w:numId="6" w16cid:durableId="1882283679">
    <w:abstractNumId w:val="6"/>
  </w:num>
  <w:num w:numId="7" w16cid:durableId="1335261451">
    <w:abstractNumId w:val="5"/>
  </w:num>
  <w:num w:numId="8" w16cid:durableId="1778865994">
    <w:abstractNumId w:val="4"/>
  </w:num>
  <w:num w:numId="9" w16cid:durableId="1765373631">
    <w:abstractNumId w:val="8"/>
  </w:num>
  <w:num w:numId="10" w16cid:durableId="1118328426">
    <w:abstractNumId w:val="9"/>
  </w:num>
  <w:num w:numId="11" w16cid:durableId="1652827507">
    <w:abstractNumId w:val="10"/>
  </w:num>
  <w:num w:numId="12" w16cid:durableId="1891575429">
    <w:abstractNumId w:val="13"/>
  </w:num>
  <w:num w:numId="13" w16cid:durableId="1777023574">
    <w:abstractNumId w:val="15"/>
  </w:num>
  <w:num w:numId="14" w16cid:durableId="820728949">
    <w:abstractNumId w:val="16"/>
  </w:num>
  <w:num w:numId="15" w16cid:durableId="1331909871">
    <w:abstractNumId w:val="11"/>
  </w:num>
  <w:num w:numId="16" w16cid:durableId="332952304">
    <w:abstractNumId w:val="18"/>
  </w:num>
  <w:num w:numId="17" w16cid:durableId="625041331">
    <w:abstractNumId w:val="17"/>
  </w:num>
  <w:num w:numId="18" w16cid:durableId="824933324">
    <w:abstractNumId w:val="14"/>
  </w:num>
  <w:num w:numId="19" w16cid:durableId="5553559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2"/>
    <w:docVar w:name="PersonGUIDs" w:val="{A0279251-40C1-4945-8EE0-529E00B463AE},{64868F73-EEA3-4FEE-A89B-6FFA2EA4E228},{D8E3A1B5-0732-4A22-A1E7-D9341BD23932},{5802EFDE-36D9-418E-9B64-EFA75B49A63E},{98573A62-87F3-4948-9C7F-DBDBDCA46686},{5043202F-7562-4201-AABB-28310600C512},{86BFD15A-0750-4100-8B4B-48488A33B7B9}"/>
  </w:docVars>
  <w:rsids>
    <w:rsidRoot w:val="004732EF"/>
    <w:rsid w:val="004732EF"/>
    <w:rsid w:val="00EF6B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518717A-CBF6-49AA-97CF-36DEE8E1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3352</Characters>
  <Application>Microsoft Office Word</Application>
  <DocSecurity>4</DocSecurity>
  <Lines>68</Lines>
  <Paragraphs>24</Paragraphs>
  <ScaleCrop>false</ScaleCrop>
  <HeadingPairs>
    <vt:vector size="2" baseType="variant">
      <vt:variant>
        <vt:lpstr>Rubrik</vt:lpstr>
      </vt:variant>
      <vt:variant>
        <vt:i4>1</vt:i4>
      </vt:variant>
    </vt:vector>
  </HeadingPairs>
  <TitlesOfParts>
    <vt:vector size="1" baseType="lpstr">
      <vt:lpstr>S20007</vt:lpstr>
    </vt:vector>
  </TitlesOfParts>
  <Company>Riksdagen</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S20007</dc:title>
  <dc:subject>S20007</dc:subject>
  <dc:creator>Riksdagen</dc:creator>
  <cp:keywords>Riksdagen</cp:keywords>
  <dc:description>Versal/gemen i partibeteckning. Gemen i tryck för 0910, versal för 1011 och nyare</dc:description>
  <cp:lastModifiedBy>Lars Brink</cp:lastModifiedBy>
  <cp:revision>2</cp:revision>
  <cp:lastPrinted>2011-04-13T08:28:00Z</cp:lastPrinted>
  <dcterms:created xsi:type="dcterms:W3CDTF">2025-12-18T02:51:00Z</dcterms:created>
  <dcterms:modified xsi:type="dcterms:W3CDTF">2025-12-18T02:51:00Z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mot2000_530_2011-04-12</vt:lpwstr>
  </property>
  <property fmtid="{D5CDD505-2E9C-101B-9397-08002B2CF9AE}" pid="3" name="version">
    <vt:lpwstr>mot2000_520_2011-03-30</vt:lpwstr>
  </property>
  <property fmtid="{D5CDD505-2E9C-101B-9397-08002B2CF9AE}" pid="4" name="dokumenttyp">
    <vt:lpwstr>motion</vt:lpwstr>
  </property>
  <property fmtid="{D5CDD505-2E9C-101B-9397-08002B2CF9AE}" pid="5" name="Sekr">
    <vt:lpwstr>TE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2010/11:115 Bättre regler för elektroniska kommunikationer</vt:lpwstr>
  </property>
  <property fmtid="{D5CDD505-2E9C-101B-9397-08002B2CF9AE}" pid="11" name="SvarFrasKort">
    <vt:lpwstr>med anledning av prop. 2010/11:115</vt:lpwstr>
  </property>
  <property fmtid="{D5CDD505-2E9C-101B-9397-08002B2CF9AE}" pid="12" name="Svar">
    <vt:lpwstr>Proposition</vt:lpwstr>
  </property>
  <property fmtid="{D5CDD505-2E9C-101B-9397-08002B2CF9AE}" pid="13" name="SvarNr">
    <vt:lpwstr>2010/11:115</vt:lpwstr>
  </property>
  <property fmtid="{D5CDD505-2E9C-101B-9397-08002B2CF9AE}" pid="14" name="RubrikSvar">
    <vt:lpwstr>Bättre regler för elektroniska kommunikationer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S20007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Anders Ygeman m.fl. (S)</vt:lpwstr>
  </property>
  <property fmtid="{D5CDD505-2E9C-101B-9397-08002B2CF9AE}" pid="26" name="MotionarLista">
    <vt:lpwstr>Ygeman, Anders (S)\Nilsson, Pia (S)\Carlsson i Hisings Backa, Gunilla (S)\Jakobsson, Leif (S)\Larsson, Lars Mejern (S)\Liljevall, Désirée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Pia Nilsson (S), Gunilla Carlsson i Hisings Backa (S), Leif Jakobsson (S), Lars Mejern Larsson (S), Désirée Liljevall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2011</vt:lpwstr>
  </property>
  <property fmtid="{D5CDD505-2E9C-101B-9397-08002B2CF9AE}" pid="44" name="NotesUID">
    <vt:lpwstr>tore.englen@riksdagen.se</vt:lpwstr>
  </property>
  <property fmtid="{D5CDD505-2E9C-101B-9397-08002B2CF9AE}" pid="45" name="ReservUID">
    <vt:lpwstr>te0211aa</vt:lpwstr>
  </property>
  <property fmtid="{D5CDD505-2E9C-101B-9397-08002B2CF9AE}" pid="46" name="MotionID">
    <vt:lpwstr>20102011000000000083000200070075</vt:lpwstr>
  </property>
  <property fmtid="{D5CDD505-2E9C-101B-9397-08002B2CF9AE}" pid="47" name="datum">
    <vt:lpwstr>110407</vt:lpwstr>
  </property>
  <property fmtid="{D5CDD505-2E9C-101B-9397-08002B2CF9AE}" pid="48" name="avsändar-e-post">
    <vt:lpwstr>tore.englen@riksdagen.se</vt:lpwstr>
  </property>
  <property fmtid="{D5CDD505-2E9C-101B-9397-08002B2CF9AE}" pid="49" name="id">
    <vt:lpwstr>20102011000000000083000200070075</vt:lpwstr>
  </property>
  <property fmtid="{D5CDD505-2E9C-101B-9397-08002B2CF9AE}" pid="50" name="nummer">
    <vt:lpwstr>14</vt:lpwstr>
  </property>
  <property fmtid="{D5CDD505-2E9C-101B-9397-08002B2CF9AE}" pid="51" name="utskottsbeteckning">
    <vt:lpwstr>T</vt:lpwstr>
  </property>
  <property fmtid="{D5CDD505-2E9C-101B-9397-08002B2CF9AE}" pid="52" name="GlobalUID">
    <vt:lpwstr>{2E168F5E-DB1C-4C80-A920-690366E66CF4}</vt:lpwstr>
  </property>
  <property fmtid="{D5CDD505-2E9C-101B-9397-08002B2CF9AE}" pid="53" name="Överföringar">
    <vt:i4>0</vt:i4>
  </property>
  <property fmtid="{D5CDD505-2E9C-101B-9397-08002B2CF9AE}" pid="54" name="Checksum">
    <vt:lpwstr>*1003758510912*</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110413 11:09:46.155</vt:lpwstr>
  </property>
  <property fmtid="{D5CDD505-2E9C-101B-9397-08002B2CF9AE}" pid="58" name="urixGuid">
    <vt:lpwstr>{67D14368-65C2-47F2-A59F-866476B9C67C}</vt:lpwstr>
  </property>
</Properties>
</file>