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B6125F" w:rsidTr="0024315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6125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B6125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43157" w:rsidRPr="00B6125F" w:rsidTr="00243157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243157" w:rsidRPr="00B6125F" w:rsidRDefault="00243157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6125F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B6125F" w:rsidTr="0024315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B6125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B6125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6125F" w:rsidTr="0024315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6125F" w:rsidRDefault="00243157" w:rsidP="007242A3">
            <w:pPr>
              <w:framePr w:w="5035" w:h="1644" w:wrap="notBeside" w:vAnchor="page" w:hAnchor="page" w:x="6573" w:y="721"/>
            </w:pPr>
            <w:r w:rsidRPr="00B6125F">
              <w:t>2010-</w:t>
            </w:r>
            <w:r w:rsidR="00A05A3A" w:rsidRPr="00B6125F">
              <w:t>11-1</w:t>
            </w:r>
            <w:r w:rsidR="00E147AD" w:rsidRPr="00B6125F">
              <w:t>9</w:t>
            </w:r>
          </w:p>
        </w:tc>
        <w:tc>
          <w:tcPr>
            <w:tcW w:w="2999" w:type="dxa"/>
            <w:gridSpan w:val="2"/>
          </w:tcPr>
          <w:p w:rsidR="006E4E11" w:rsidRPr="00B6125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6125F" w:rsidTr="0024315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6125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B6125F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B612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6125F" w:rsidRDefault="0024315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6125F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B612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6125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612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6125F" w:rsidRDefault="0024315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B6125F">
              <w:rPr>
                <w:bCs/>
                <w:iCs/>
              </w:rPr>
              <w:t>Enheten för familjerätt och allmän förm</w:t>
            </w:r>
            <w:r w:rsidRPr="00B6125F">
              <w:rPr>
                <w:bCs/>
                <w:iCs/>
              </w:rPr>
              <w:t>ö</w:t>
            </w:r>
            <w:r w:rsidRPr="00B6125F">
              <w:rPr>
                <w:bCs/>
                <w:iCs/>
              </w:rPr>
              <w:t>genhetsrätt</w:t>
            </w:r>
          </w:p>
        </w:tc>
      </w:tr>
      <w:tr w:rsidR="006E4E11" w:rsidRPr="00B612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6125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612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6125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612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6125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612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6125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612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6125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612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6125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B6125F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243157" w:rsidRPr="00B6125F" w:rsidRDefault="00E147A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B6125F">
        <w:t>Rådets möte (</w:t>
      </w:r>
      <w:r w:rsidR="00243157" w:rsidRPr="00B6125F">
        <w:t>rättsliga och inrikes fråg</w:t>
      </w:r>
      <w:r w:rsidR="00A05A3A" w:rsidRPr="00B6125F">
        <w:t>or</w:t>
      </w:r>
      <w:r w:rsidRPr="00B6125F">
        <w:t>)</w:t>
      </w:r>
      <w:r w:rsidR="00A05A3A" w:rsidRPr="00B6125F">
        <w:t xml:space="preserve"> den 2-3 d</w:t>
      </w:r>
      <w:r w:rsidR="00A05A3A" w:rsidRPr="00B6125F">
        <w:t>e</w:t>
      </w:r>
      <w:r w:rsidR="00A05A3A" w:rsidRPr="00B6125F">
        <w:t xml:space="preserve">cember </w:t>
      </w:r>
      <w:r w:rsidRPr="00B6125F">
        <w:t>2010</w:t>
      </w:r>
    </w:p>
    <w:p w:rsidR="00243157" w:rsidRPr="00B6125F" w:rsidRDefault="00243157">
      <w:pPr>
        <w:pStyle w:val="RKnormal"/>
      </w:pPr>
    </w:p>
    <w:p w:rsidR="00243157" w:rsidRPr="00B6125F" w:rsidRDefault="00F93195">
      <w:pPr>
        <w:pStyle w:val="RKnormal"/>
      </w:pPr>
      <w:r w:rsidRPr="00B6125F">
        <w:t xml:space="preserve">Dagordningspunkt </w:t>
      </w:r>
      <w:r w:rsidR="00E147AD" w:rsidRPr="00B6125F">
        <w:t>10</w:t>
      </w:r>
    </w:p>
    <w:p w:rsidR="00243157" w:rsidRPr="00B6125F" w:rsidRDefault="00243157">
      <w:pPr>
        <w:pStyle w:val="RKnormal"/>
      </w:pPr>
    </w:p>
    <w:p w:rsidR="00243157" w:rsidRPr="00B6125F" w:rsidRDefault="00243157" w:rsidP="00243157">
      <w:pPr>
        <w:pStyle w:val="RKnormal"/>
      </w:pPr>
      <w:r w:rsidRPr="00B6125F">
        <w:t>Rubrik: Förslag till rådets förordning om genomförande av ett fördj</w:t>
      </w:r>
      <w:r w:rsidRPr="00B6125F">
        <w:t>u</w:t>
      </w:r>
      <w:r w:rsidRPr="00B6125F">
        <w:t>pat samarbete om tillämplig lag för äktenskapsskillnad och hemskil</w:t>
      </w:r>
      <w:r w:rsidRPr="00B6125F">
        <w:t>l</w:t>
      </w:r>
      <w:r w:rsidRPr="00B6125F">
        <w:t>nad</w:t>
      </w:r>
    </w:p>
    <w:p w:rsidR="00243157" w:rsidRPr="00B6125F" w:rsidRDefault="00243157">
      <w:pPr>
        <w:pStyle w:val="RKnormal"/>
      </w:pPr>
    </w:p>
    <w:p w:rsidR="00E147AD" w:rsidRPr="00B6125F" w:rsidRDefault="00243157">
      <w:pPr>
        <w:pStyle w:val="RKnormal"/>
      </w:pPr>
      <w:r w:rsidRPr="00B6125F">
        <w:t xml:space="preserve">Dokument: </w:t>
      </w:r>
      <w:r w:rsidR="00B37627" w:rsidRPr="00B6125F">
        <w:t>16424/10 JUSTCIV 202 + COR 1</w:t>
      </w:r>
      <w:r w:rsidR="000E4580" w:rsidRPr="00B6125F">
        <w:t xml:space="preserve"> (ORDF:s kompromissfö</w:t>
      </w:r>
      <w:r w:rsidR="000E4580" w:rsidRPr="00B6125F">
        <w:t>r</w:t>
      </w:r>
      <w:r w:rsidR="000E4580" w:rsidRPr="00B6125F">
        <w:t>slag</w:t>
      </w:r>
      <w:r w:rsidR="00E147AD" w:rsidRPr="00B6125F">
        <w:t>, bifogas</w:t>
      </w:r>
      <w:r w:rsidR="000E4580" w:rsidRPr="00B6125F">
        <w:t>), 16425/10 JUSTCIV 203 (ORDF:s riktlinjer till Cor</w:t>
      </w:r>
      <w:r w:rsidR="000E4580" w:rsidRPr="00B6125F">
        <w:t>e</w:t>
      </w:r>
      <w:r w:rsidR="000E4580" w:rsidRPr="00B6125F">
        <w:t>per/Rådet</w:t>
      </w:r>
      <w:r w:rsidR="00E147AD" w:rsidRPr="00B6125F">
        <w:t>, bifogas)</w:t>
      </w:r>
    </w:p>
    <w:p w:rsidR="00243157" w:rsidRPr="00B6125F" w:rsidRDefault="00A72E39">
      <w:pPr>
        <w:pStyle w:val="RKnormal"/>
      </w:pPr>
      <w:r w:rsidRPr="00B6125F">
        <w:t>Frågan behandlades</w:t>
      </w:r>
      <w:r w:rsidR="00A05A3A" w:rsidRPr="00B6125F">
        <w:t xml:space="preserve"> i Core</w:t>
      </w:r>
      <w:r w:rsidR="000E4580" w:rsidRPr="00B6125F">
        <w:t>per II den 18</w:t>
      </w:r>
      <w:r w:rsidR="00A05A3A" w:rsidRPr="00B6125F">
        <w:t xml:space="preserve"> n</w:t>
      </w:r>
      <w:r w:rsidR="00A05A3A" w:rsidRPr="00B6125F">
        <w:t>o</w:t>
      </w:r>
      <w:r w:rsidR="00A05A3A" w:rsidRPr="00B6125F">
        <w:t xml:space="preserve">vember 2010. </w:t>
      </w:r>
    </w:p>
    <w:p w:rsidR="00243157" w:rsidRPr="00B6125F" w:rsidRDefault="00243157">
      <w:pPr>
        <w:pStyle w:val="RKnormal"/>
      </w:pPr>
    </w:p>
    <w:p w:rsidR="00243157" w:rsidRPr="00B6125F" w:rsidRDefault="00243157">
      <w:pPr>
        <w:pStyle w:val="RKnormal"/>
      </w:pPr>
      <w:r w:rsidRPr="00B6125F">
        <w:t xml:space="preserve">Tidigare dokument: </w:t>
      </w:r>
      <w:r w:rsidR="00A05A3A" w:rsidRPr="00B6125F">
        <w:t xml:space="preserve">KOM (2010)104, KOM (2010)105, </w:t>
      </w:r>
      <w:r w:rsidRPr="00B6125F">
        <w:t>Fakta-PM Just</w:t>
      </w:r>
      <w:r w:rsidRPr="00B6125F">
        <w:t>i</w:t>
      </w:r>
      <w:r w:rsidRPr="00B6125F">
        <w:t>tiedepartementet 2009/10:FPM76</w:t>
      </w:r>
      <w:r w:rsidR="00A05A3A" w:rsidRPr="00B6125F">
        <w:t>, Rådets beslut om tillåtande av fö</w:t>
      </w:r>
      <w:r w:rsidR="00A05A3A" w:rsidRPr="00B6125F">
        <w:t>r</w:t>
      </w:r>
      <w:r w:rsidR="00A05A3A" w:rsidRPr="00B6125F">
        <w:t>djupat samarbete 2010/405/EU</w:t>
      </w:r>
      <w:r w:rsidR="00CC0E89" w:rsidRPr="00B6125F">
        <w:t>, 11429/10 JUSTCIV 128 (</w:t>
      </w:r>
      <w:r w:rsidR="00E147AD" w:rsidRPr="00B6125F">
        <w:t xml:space="preserve">uttalande </w:t>
      </w:r>
      <w:r w:rsidR="00CC0E89" w:rsidRPr="00B6125F">
        <w:t>från Fi</w:t>
      </w:r>
      <w:r w:rsidR="00CC0E89" w:rsidRPr="00B6125F">
        <w:t>n</w:t>
      </w:r>
      <w:r w:rsidR="00CC0E89" w:rsidRPr="00B6125F">
        <w:t>land</w:t>
      </w:r>
      <w:r w:rsidR="00E147AD" w:rsidRPr="00B6125F">
        <w:t>, bifogas</w:t>
      </w:r>
      <w:r w:rsidR="00CC0E89" w:rsidRPr="00B6125F">
        <w:t>)</w:t>
      </w:r>
    </w:p>
    <w:p w:rsidR="00243157" w:rsidRPr="00B6125F" w:rsidRDefault="00243157">
      <w:pPr>
        <w:pStyle w:val="RKnormal"/>
      </w:pPr>
    </w:p>
    <w:p w:rsidR="00A05A3A" w:rsidRPr="00B6125F" w:rsidRDefault="00243157">
      <w:pPr>
        <w:pStyle w:val="RKnormal"/>
      </w:pPr>
      <w:r w:rsidRPr="00B6125F">
        <w:t>Tidigare behand</w:t>
      </w:r>
      <w:r w:rsidR="00A05A3A" w:rsidRPr="00B6125F">
        <w:t>lad vid samråd med EU-nämnden: 2010-05-28 och</w:t>
      </w:r>
    </w:p>
    <w:p w:rsidR="00243157" w:rsidRPr="00B6125F" w:rsidRDefault="00A05A3A">
      <w:pPr>
        <w:pStyle w:val="RKnormal"/>
      </w:pPr>
      <w:r w:rsidRPr="00B6125F">
        <w:t>2010-10-01</w:t>
      </w:r>
    </w:p>
    <w:p w:rsidR="00243157" w:rsidRPr="00B6125F" w:rsidRDefault="00243157">
      <w:pPr>
        <w:pStyle w:val="RKrubrik"/>
      </w:pPr>
      <w:r w:rsidRPr="00B6125F">
        <w:t>Bakgrund</w:t>
      </w:r>
    </w:p>
    <w:p w:rsidR="00243157" w:rsidRPr="00B6125F" w:rsidRDefault="00243157" w:rsidP="00243157">
      <w:r w:rsidRPr="00B6125F">
        <w:t>Frågan om vilket lands lag som tillämpas i mål om äktenskapsskillnad avgörs i dag av de lag</w:t>
      </w:r>
      <w:r w:rsidRPr="00B6125F">
        <w:softHyphen/>
        <w:t>valsregler som gäller i domstolslandet. Lagval</w:t>
      </w:r>
      <w:r w:rsidRPr="00B6125F">
        <w:t>s</w:t>
      </w:r>
      <w:r w:rsidRPr="00B6125F">
        <w:t>reglerna är utformade på olika sätt i olika medlemsstater. En del av medlemsstaterna avgör vilken lag som är tillämplig med utgångspunkt från medborgarskap eller hemvist, medan andra medlems</w:t>
      </w:r>
      <w:r w:rsidRPr="00B6125F">
        <w:softHyphen/>
        <w:t>stater – dä</w:t>
      </w:r>
      <w:r w:rsidRPr="00B6125F">
        <w:t>r</w:t>
      </w:r>
      <w:r w:rsidRPr="00B6125F">
        <w:t>ibland Sverige – tillämpar domstolsla</w:t>
      </w:r>
      <w:r w:rsidRPr="00B6125F">
        <w:t>n</w:t>
      </w:r>
      <w:r w:rsidRPr="00B6125F">
        <w:t>dets lag (lex fori).</w:t>
      </w:r>
    </w:p>
    <w:p w:rsidR="00243157" w:rsidRPr="00B6125F" w:rsidRDefault="00243157" w:rsidP="00243157"/>
    <w:p w:rsidR="00243157" w:rsidRPr="00B6125F" w:rsidRDefault="00243157" w:rsidP="00243157">
      <w:r w:rsidRPr="00B6125F">
        <w:t>I juli 2006 presenterade kommissionen ett förslag till ändring av den s.k. Bryssel II-förordningen om domstols behörighet och införande av b</w:t>
      </w:r>
      <w:r w:rsidRPr="00B6125F">
        <w:t>e</w:t>
      </w:r>
      <w:r w:rsidRPr="00B6125F">
        <w:t>stäm</w:t>
      </w:r>
      <w:r w:rsidRPr="00B6125F">
        <w:softHyphen/>
        <w:t xml:space="preserve">melser om tillämplig lag i äktenskapsskillnadsmål (KOM </w:t>
      </w:r>
      <w:r w:rsidRPr="00B6125F">
        <w:lastRenderedPageBreak/>
        <w:t>(2006) 399). Regeringen redogjorde för det förslaget i fakta</w:t>
      </w:r>
      <w:r w:rsidRPr="00B6125F">
        <w:softHyphen/>
        <w:t>prome</w:t>
      </w:r>
      <w:r w:rsidRPr="00B6125F">
        <w:softHyphen/>
        <w:t>morian 2006/07:FPM8 Förordning om val av lag för skils</w:t>
      </w:r>
      <w:r w:rsidRPr="00B6125F">
        <w:softHyphen/>
        <w:t xml:space="preserve">mässa. </w:t>
      </w:r>
    </w:p>
    <w:p w:rsidR="00243157" w:rsidRPr="00B6125F" w:rsidRDefault="00243157" w:rsidP="00243157"/>
    <w:p w:rsidR="00243157" w:rsidRPr="00B6125F" w:rsidRDefault="00B12F85" w:rsidP="00243157">
      <w:r w:rsidRPr="00B6125F">
        <w:t>Rådet</w:t>
      </w:r>
      <w:r w:rsidR="00243157" w:rsidRPr="00B6125F">
        <w:t xml:space="preserve"> konstaterade i juni 2008 att det var omöjligt att uppnå en</w:t>
      </w:r>
      <w:r w:rsidR="00243157" w:rsidRPr="00B6125F">
        <w:softHyphen/>
        <w:t>häl</w:t>
      </w:r>
      <w:r w:rsidR="00243157" w:rsidRPr="00B6125F">
        <w:softHyphen/>
        <w:t>lighet kring de föreslagna reglerna och att det inte gick att förutse att en</w:t>
      </w:r>
      <w:r w:rsidR="00243157" w:rsidRPr="00B6125F">
        <w:softHyphen/>
        <w:t>häl</w:t>
      </w:r>
      <w:r w:rsidR="00243157" w:rsidRPr="00B6125F">
        <w:softHyphen/>
        <w:t>lighet skulle kunna uppnås under överskådlig tid. Den främsta anle</w:t>
      </w:r>
      <w:r w:rsidR="00243157" w:rsidRPr="00B6125F">
        <w:t>d</w:t>
      </w:r>
      <w:r w:rsidR="00243157" w:rsidRPr="00B6125F">
        <w:t>ningen till att enhällighet inte kunde uppnås var att Sverige inte kunde acceptera förslaget.</w:t>
      </w:r>
    </w:p>
    <w:p w:rsidR="00243157" w:rsidRPr="00B6125F" w:rsidRDefault="00243157" w:rsidP="00243157"/>
    <w:p w:rsidR="00942B22" w:rsidRPr="00B6125F" w:rsidRDefault="00942B22" w:rsidP="00942B22">
      <w:r w:rsidRPr="00B6125F">
        <w:t>Tio medlemsstater (BG, EL, ES, FR, IT, LU, HU, AT, RO och SI) har uppmanat kom</w:t>
      </w:r>
      <w:r w:rsidRPr="00B6125F">
        <w:softHyphen/>
        <w:t>mis</w:t>
      </w:r>
      <w:r w:rsidRPr="00B6125F">
        <w:softHyphen/>
        <w:t xml:space="preserve">sionen att lägga fram ett förslag om </w:t>
      </w:r>
      <w:r w:rsidR="00F93195" w:rsidRPr="00B6125F">
        <w:t xml:space="preserve">s.k. </w:t>
      </w:r>
      <w:r w:rsidRPr="00B6125F">
        <w:t>fördjupat samarbete. EL har senare dragit tillbaka sin begäran. DE</w:t>
      </w:r>
      <w:r w:rsidR="00B12F85" w:rsidRPr="00B6125F">
        <w:t xml:space="preserve">, </w:t>
      </w:r>
      <w:r w:rsidRPr="00B6125F">
        <w:t>BE</w:t>
      </w:r>
      <w:r w:rsidR="009E4776" w:rsidRPr="00B6125F">
        <w:t>, LV, PT och MT</w:t>
      </w:r>
      <w:r w:rsidRPr="00B6125F">
        <w:t xml:space="preserve"> har senare förklarat att de önskar delta i det fördjupade sa</w:t>
      </w:r>
      <w:r w:rsidRPr="00B6125F">
        <w:t>m</w:t>
      </w:r>
      <w:r w:rsidRPr="00B6125F">
        <w:t>arb</w:t>
      </w:r>
      <w:r w:rsidRPr="00B6125F">
        <w:t>e</w:t>
      </w:r>
      <w:r w:rsidRPr="00B6125F">
        <w:t xml:space="preserve">tet. </w:t>
      </w:r>
    </w:p>
    <w:p w:rsidR="00243157" w:rsidRPr="00B6125F" w:rsidRDefault="00243157" w:rsidP="00243157"/>
    <w:p w:rsidR="00243157" w:rsidRPr="00B6125F" w:rsidRDefault="00243157" w:rsidP="00243157">
      <w:r w:rsidRPr="00B6125F">
        <w:t>Kommissionen presenterade den 24 mars 2010 dels förslag till rådsb</w:t>
      </w:r>
      <w:r w:rsidRPr="00B6125F">
        <w:t>e</w:t>
      </w:r>
      <w:r w:rsidRPr="00B6125F">
        <w:t>slut som tillåter fördjupat samarbete i fråga om vilket lands lag som ska tillämpas i mål om äktenskapsskillnad och dels förslag till för</w:t>
      </w:r>
      <w:r w:rsidR="001C5393" w:rsidRPr="00B6125F">
        <w:t>or</w:t>
      </w:r>
      <w:r w:rsidR="001C5393" w:rsidRPr="00B6125F">
        <w:t>d</w:t>
      </w:r>
      <w:r w:rsidR="001C5393" w:rsidRPr="00B6125F">
        <w:t>ning om genomförande av det</w:t>
      </w:r>
      <w:r w:rsidRPr="00B6125F">
        <w:t xml:space="preserve"> fördjupade samarbetet.</w:t>
      </w:r>
    </w:p>
    <w:p w:rsidR="009E4776" w:rsidRPr="00B6125F" w:rsidRDefault="009E4776" w:rsidP="009E4776"/>
    <w:p w:rsidR="009E4776" w:rsidRPr="00B6125F" w:rsidRDefault="009E4776" w:rsidP="009E4776">
      <w:pPr>
        <w:pStyle w:val="RKnormal"/>
      </w:pPr>
      <w:r w:rsidRPr="00B6125F">
        <w:t>Vid rådets möte i juni 2010 träffades en politisk överenskommelse om att tillåta fördjupat samarbete. Samtidigt beslutades att Europaparl</w:t>
      </w:r>
      <w:r w:rsidRPr="00B6125F">
        <w:t>a</w:t>
      </w:r>
      <w:r w:rsidRPr="00B6125F">
        <w:t>mentets godkännande skulle inhämtas. Det träffades även en princi</w:t>
      </w:r>
      <w:r w:rsidRPr="00B6125F">
        <w:t>p</w:t>
      </w:r>
      <w:r w:rsidRPr="00B6125F">
        <w:t>överen</w:t>
      </w:r>
      <w:r w:rsidRPr="00B6125F">
        <w:t>s</w:t>
      </w:r>
      <w:r w:rsidRPr="00B6125F">
        <w:t>kommelse om huvuddragen i den föreslagna förordningen om genomf</w:t>
      </w:r>
      <w:r w:rsidRPr="00B6125F">
        <w:t>ö</w:t>
      </w:r>
      <w:r w:rsidRPr="00B6125F">
        <w:t xml:space="preserve">rande av det aktuella samarbetet. </w:t>
      </w:r>
    </w:p>
    <w:p w:rsidR="009E4776" w:rsidRPr="00B6125F" w:rsidRDefault="009E4776" w:rsidP="009E4776">
      <w:pPr>
        <w:pStyle w:val="RKnormal"/>
      </w:pPr>
    </w:p>
    <w:p w:rsidR="009E4776" w:rsidRPr="00B6125F" w:rsidRDefault="009E4776" w:rsidP="009E4776">
      <w:pPr>
        <w:pStyle w:val="RKnormal"/>
      </w:pPr>
      <w:r w:rsidRPr="00B6125F">
        <w:t>Den 16 juni 2010 godkände Europaparlamentet förslaget om tillåtande att upprätta ett fördjupat samarbete. Den 12 juli 2010 beslutade r</w:t>
      </w:r>
      <w:r w:rsidRPr="00B6125F">
        <w:t>å</w:t>
      </w:r>
      <w:r w:rsidRPr="00B6125F">
        <w:t xml:space="preserve">det att tillåta fördjupat samarbete inom det föreslagna området. </w:t>
      </w:r>
    </w:p>
    <w:p w:rsidR="009E4776" w:rsidRPr="00B6125F" w:rsidRDefault="009E4776" w:rsidP="00793DA9">
      <w:pPr>
        <w:pStyle w:val="RKnormal"/>
      </w:pPr>
    </w:p>
    <w:p w:rsidR="0056751C" w:rsidRPr="00B6125F" w:rsidRDefault="009E4776" w:rsidP="0056751C">
      <w:pPr>
        <w:pStyle w:val="RKnormal"/>
      </w:pPr>
      <w:r w:rsidRPr="00B6125F">
        <w:t xml:space="preserve">Förhandlingar om innehållet i genomförandeförordningen pågår. </w:t>
      </w:r>
      <w:r w:rsidR="00CC0E89" w:rsidRPr="00B6125F">
        <w:t>ORDF har presenterat en kompromisslösning baserad på förhandlin</w:t>
      </w:r>
      <w:r w:rsidR="00CC0E89" w:rsidRPr="00B6125F">
        <w:t>g</w:t>
      </w:r>
      <w:r w:rsidR="00CC0E89" w:rsidRPr="00B6125F">
        <w:t>arna mellan medlemsstaterna och kontakterna med Europaparlame</w:t>
      </w:r>
      <w:r w:rsidR="00CC0E89" w:rsidRPr="00B6125F">
        <w:t>n</w:t>
      </w:r>
      <w:r w:rsidR="00CC0E89" w:rsidRPr="00B6125F">
        <w:t xml:space="preserve">tet. </w:t>
      </w:r>
      <w:r w:rsidR="00793DA9" w:rsidRPr="00B6125F">
        <w:t>Försl</w:t>
      </w:r>
      <w:r w:rsidR="00793DA9" w:rsidRPr="00B6125F">
        <w:t>a</w:t>
      </w:r>
      <w:r w:rsidRPr="00B6125F">
        <w:t>get till genomförandeförordning</w:t>
      </w:r>
      <w:r w:rsidR="00793DA9" w:rsidRPr="00B6125F">
        <w:t xml:space="preserve"> är upptaget till behandling vid ministerrådet för </w:t>
      </w:r>
      <w:r w:rsidR="000E4580" w:rsidRPr="00B6125F">
        <w:t>överenskommelse</w:t>
      </w:r>
      <w:r w:rsidR="00CC0E89" w:rsidRPr="00B6125F">
        <w:t xml:space="preserve"> </w:t>
      </w:r>
      <w:r w:rsidR="00CC0E89" w:rsidRPr="00B6125F">
        <w:rPr>
          <w:i/>
        </w:rPr>
        <w:t xml:space="preserve">dels </w:t>
      </w:r>
      <w:r w:rsidR="00CC0E89" w:rsidRPr="00B6125F">
        <w:t>om innehållet i kompr</w:t>
      </w:r>
      <w:r w:rsidR="00CC0E89" w:rsidRPr="00B6125F">
        <w:t>o</w:t>
      </w:r>
      <w:r w:rsidR="00CC0E89" w:rsidRPr="00B6125F">
        <w:t xml:space="preserve">misslösningen och </w:t>
      </w:r>
      <w:r w:rsidR="00CC0E89" w:rsidRPr="00B6125F">
        <w:rPr>
          <w:i/>
        </w:rPr>
        <w:t>dels</w:t>
      </w:r>
      <w:r w:rsidR="00CC0E89" w:rsidRPr="00B6125F">
        <w:t xml:space="preserve"> om innehållet i en deklaration </w:t>
      </w:r>
      <w:r w:rsidR="00B37627" w:rsidRPr="00B6125F">
        <w:t xml:space="preserve">till KOM </w:t>
      </w:r>
      <w:r w:rsidR="00CC0E89" w:rsidRPr="00B6125F">
        <w:t>som ska antas samtidigt med förordningen</w:t>
      </w:r>
      <w:r w:rsidR="00793DA9" w:rsidRPr="00B6125F">
        <w:t>.</w:t>
      </w:r>
      <w:r w:rsidR="00CC0E89" w:rsidRPr="00B6125F">
        <w:t xml:space="preserve"> </w:t>
      </w:r>
      <w:r w:rsidR="0056751C" w:rsidRPr="00B6125F">
        <w:t>Deklarationen är en uppm</w:t>
      </w:r>
      <w:r w:rsidR="0056751C" w:rsidRPr="00B6125F">
        <w:t>a</w:t>
      </w:r>
      <w:r w:rsidR="0056751C" w:rsidRPr="00B6125F">
        <w:t>ning till kommissionen att snarast möjligt förelägga rådet och Europ</w:t>
      </w:r>
      <w:r w:rsidR="0056751C" w:rsidRPr="00B6125F">
        <w:t>a</w:t>
      </w:r>
      <w:r w:rsidR="0056751C" w:rsidRPr="00B6125F">
        <w:t>parlamentet ett förslag till ändring av Bryssel II-förordningen i syfte att f</w:t>
      </w:r>
      <w:r w:rsidR="0056751C" w:rsidRPr="00B6125F">
        <w:t>ö</w:t>
      </w:r>
      <w:r w:rsidR="0056751C" w:rsidRPr="00B6125F">
        <w:t>reskriva om en behörig domstol för de fall då alla domstolar som har domsrätt finns i medlem</w:t>
      </w:r>
      <w:r w:rsidR="0056751C" w:rsidRPr="00B6125F">
        <w:t>s</w:t>
      </w:r>
      <w:r w:rsidR="0056751C" w:rsidRPr="00B6125F">
        <w:t>stater vars lag inte innehåller skilsmässa över huvud taget eller inte anser att det aktuella äktenskapet är giltigt</w:t>
      </w:r>
      <w:r w:rsidR="00A72E39" w:rsidRPr="00B6125F">
        <w:t xml:space="preserve"> och makarna således annars kunde sakna tillgång till skilsmässa</w:t>
      </w:r>
      <w:r w:rsidR="0056751C" w:rsidRPr="00B6125F">
        <w:t xml:space="preserve"> (</w:t>
      </w:r>
      <w:r w:rsidR="00A72E39" w:rsidRPr="00B6125F">
        <w:t>sk. nödf</w:t>
      </w:r>
      <w:r w:rsidR="00A72E39" w:rsidRPr="00B6125F">
        <w:t>o</w:t>
      </w:r>
      <w:r w:rsidR="00A72E39" w:rsidRPr="00B6125F">
        <w:t xml:space="preserve">rum eller </w:t>
      </w:r>
      <w:r w:rsidR="0056751C" w:rsidRPr="00B6125F">
        <w:t>forum n</w:t>
      </w:r>
      <w:r w:rsidR="0056751C" w:rsidRPr="00B6125F">
        <w:t>e</w:t>
      </w:r>
      <w:r w:rsidR="0056751C" w:rsidRPr="00B6125F">
        <w:t>cessitatis).</w:t>
      </w:r>
    </w:p>
    <w:p w:rsidR="0056751C" w:rsidRPr="00B6125F" w:rsidRDefault="0056751C" w:rsidP="0056751C">
      <w:pPr>
        <w:pStyle w:val="RKnormal"/>
      </w:pPr>
    </w:p>
    <w:p w:rsidR="00793DA9" w:rsidRPr="00B6125F" w:rsidRDefault="00CC0E89" w:rsidP="00793DA9">
      <w:pPr>
        <w:pStyle w:val="RKnormal"/>
      </w:pPr>
      <w:r w:rsidRPr="00B6125F">
        <w:t xml:space="preserve">ORDF önskar vidare att rådet noterar </w:t>
      </w:r>
      <w:r w:rsidR="00E147AD" w:rsidRPr="00B6125F">
        <w:t>det uttalande</w:t>
      </w:r>
      <w:r w:rsidRPr="00B6125F">
        <w:t xml:space="preserve"> som Finland sedan t</w:t>
      </w:r>
      <w:r w:rsidRPr="00B6125F">
        <w:t>i</w:t>
      </w:r>
      <w:r w:rsidRPr="00B6125F">
        <w:t xml:space="preserve">digare avgivit som bl.a. innebär att Finland beklagar det faktum att ett fördjupat samarbete kommer att inledas för första gången på det familjerättsliga området </w:t>
      </w:r>
      <w:r w:rsidR="0056751C" w:rsidRPr="00B6125F">
        <w:t>och att man i förhandlingarna om det u</w:t>
      </w:r>
      <w:r w:rsidR="0056751C" w:rsidRPr="00B6125F">
        <w:t>r</w:t>
      </w:r>
      <w:r w:rsidR="0056751C" w:rsidRPr="00B6125F">
        <w:t>sprungliga fö</w:t>
      </w:r>
      <w:r w:rsidR="0056751C" w:rsidRPr="00B6125F">
        <w:t>r</w:t>
      </w:r>
      <w:r w:rsidR="0056751C" w:rsidRPr="00B6125F">
        <w:t>slaget inte kunde vara tillräckligt flexibel för att på ett opartiskt sätt b</w:t>
      </w:r>
      <w:r w:rsidR="0056751C" w:rsidRPr="00B6125F">
        <w:t>e</w:t>
      </w:r>
      <w:r w:rsidR="0056751C" w:rsidRPr="00B6125F">
        <w:t xml:space="preserve">akta medlemsstaternas nationella skillnader </w:t>
      </w:r>
      <w:r w:rsidRPr="00B6125F">
        <w:t>(se dok. 11429/10 JUS</w:t>
      </w:r>
      <w:r w:rsidRPr="00B6125F">
        <w:t>T</w:t>
      </w:r>
      <w:r w:rsidRPr="00B6125F">
        <w:t>CIV 128).</w:t>
      </w:r>
    </w:p>
    <w:p w:rsidR="00B37627" w:rsidRPr="00B6125F" w:rsidRDefault="00B37627" w:rsidP="00793DA9">
      <w:pPr>
        <w:pStyle w:val="RKnormal"/>
      </w:pPr>
    </w:p>
    <w:p w:rsidR="00B37627" w:rsidRPr="00B6125F" w:rsidRDefault="00A72E39" w:rsidP="00793DA9">
      <w:pPr>
        <w:pStyle w:val="RKnormal"/>
      </w:pPr>
      <w:r w:rsidRPr="00B6125F">
        <w:t xml:space="preserve">Sverige har i </w:t>
      </w:r>
      <w:r w:rsidR="00B37627" w:rsidRPr="00B6125F">
        <w:t xml:space="preserve">Coreper II den 18 november 2010 </w:t>
      </w:r>
      <w:r w:rsidRPr="00B6125F">
        <w:t>presenter</w:t>
      </w:r>
      <w:r w:rsidR="00E147AD" w:rsidRPr="00B6125F">
        <w:t>at ett ensidigt uttalande</w:t>
      </w:r>
      <w:r w:rsidR="00B37627" w:rsidRPr="00B6125F">
        <w:t xml:space="preserve"> i anledning av förslag</w:t>
      </w:r>
      <w:r w:rsidRPr="00B6125F">
        <w:t>et till genomförandeförordning</w:t>
      </w:r>
      <w:r w:rsidR="00596B7A" w:rsidRPr="00B6125F">
        <w:t xml:space="preserve">, </w:t>
      </w:r>
      <w:r w:rsidR="00596B7A" w:rsidRPr="00B6125F">
        <w:rPr>
          <w:u w:val="single"/>
        </w:rPr>
        <w:t>se b</w:t>
      </w:r>
      <w:r w:rsidR="00596B7A" w:rsidRPr="00B6125F">
        <w:rPr>
          <w:u w:val="single"/>
        </w:rPr>
        <w:t>i</w:t>
      </w:r>
      <w:r w:rsidR="00596B7A" w:rsidRPr="00B6125F">
        <w:rPr>
          <w:u w:val="single"/>
        </w:rPr>
        <w:t>laga</w:t>
      </w:r>
      <w:r w:rsidR="00B37627" w:rsidRPr="00B6125F">
        <w:rPr>
          <w:u w:val="single"/>
        </w:rPr>
        <w:t>.</w:t>
      </w:r>
      <w:r w:rsidR="00B37627" w:rsidRPr="00B6125F">
        <w:t xml:space="preserve"> </w:t>
      </w:r>
      <w:r w:rsidR="00596B7A" w:rsidRPr="00B6125F">
        <w:t>I uttalandet beskrivs anledningen till Sveriges kritik mot det u</w:t>
      </w:r>
      <w:r w:rsidR="00596B7A" w:rsidRPr="00B6125F">
        <w:t>r</w:t>
      </w:r>
      <w:r w:rsidR="00596B7A" w:rsidRPr="00B6125F">
        <w:t>sprungliga förslaget, dvs. att vi inte kan godta lösningar som inskrä</w:t>
      </w:r>
      <w:r w:rsidR="00596B7A" w:rsidRPr="00B6125F">
        <w:t>n</w:t>
      </w:r>
      <w:r w:rsidR="00596B7A" w:rsidRPr="00B6125F">
        <w:t>ker möjligheten till skilsmässa i vissa situationer. Vidare nämns att Sverige inte velat blockera möjligheten för de medlemsstater som ön</w:t>
      </w:r>
      <w:r w:rsidR="00596B7A" w:rsidRPr="00B6125F">
        <w:t>s</w:t>
      </w:r>
      <w:r w:rsidR="00596B7A" w:rsidRPr="00B6125F">
        <w:t>kar samarbeta fördjupat i frågan. Slutligen anges att Sverige fi</w:t>
      </w:r>
      <w:r w:rsidR="00596B7A" w:rsidRPr="00B6125F">
        <w:t>n</w:t>
      </w:r>
      <w:r w:rsidR="00596B7A" w:rsidRPr="00B6125F">
        <w:t xml:space="preserve">ner det beklagligt att </w:t>
      </w:r>
      <w:r w:rsidRPr="00B6125F">
        <w:t xml:space="preserve">även </w:t>
      </w:r>
      <w:r w:rsidR="00596B7A" w:rsidRPr="00B6125F">
        <w:t>genomförandeförordningen innehåller lösningar som i praktiken har k</w:t>
      </w:r>
      <w:r w:rsidR="00596B7A" w:rsidRPr="00B6125F">
        <w:t>a</w:t>
      </w:r>
      <w:r w:rsidR="00596B7A" w:rsidRPr="00B6125F">
        <w:t>raktären av undantag som begränsar rätten till skilsmässa för vissa gru</w:t>
      </w:r>
      <w:r w:rsidR="00596B7A" w:rsidRPr="00B6125F">
        <w:t>p</w:t>
      </w:r>
      <w:r w:rsidR="00596B7A" w:rsidRPr="00B6125F">
        <w:t>per.</w:t>
      </w:r>
    </w:p>
    <w:p w:rsidR="00243157" w:rsidRPr="00B6125F" w:rsidRDefault="00243157">
      <w:pPr>
        <w:pStyle w:val="RKrubrik"/>
      </w:pPr>
      <w:r w:rsidRPr="00B6125F">
        <w:t>Rättslig grund och beslutsförfarande</w:t>
      </w:r>
    </w:p>
    <w:p w:rsidR="00243157" w:rsidRPr="00B6125F" w:rsidRDefault="00243157" w:rsidP="00243157">
      <w:r w:rsidRPr="00B6125F">
        <w:t xml:space="preserve">Den rättsliga grunden för fördjupat samarbete är artikel 20 i EU-fördraget, och artiklarna 326–334 i EUF-fördraget. </w:t>
      </w:r>
    </w:p>
    <w:p w:rsidR="00243157" w:rsidRPr="00B6125F" w:rsidRDefault="00243157" w:rsidP="00243157"/>
    <w:p w:rsidR="00243157" w:rsidRPr="00B6125F" w:rsidRDefault="00243157" w:rsidP="00243157">
      <w:r w:rsidRPr="00B6125F">
        <w:t>Förslaget till förordning som genomför det fördjupade samarbetet b</w:t>
      </w:r>
      <w:r w:rsidRPr="00B6125F">
        <w:t>a</w:t>
      </w:r>
      <w:r w:rsidRPr="00B6125F">
        <w:t>seras även på artikel 81(3) i EUF-fördraget. Eftersom förslaget rör f</w:t>
      </w:r>
      <w:r w:rsidRPr="00B6125F">
        <w:t>a</w:t>
      </w:r>
      <w:r w:rsidRPr="00B6125F">
        <w:t>miljerätt beslutar rådet med enhällig</w:t>
      </w:r>
      <w:r w:rsidRPr="00B6125F">
        <w:softHyphen/>
        <w:t>het efter yttrande av Europapa</w:t>
      </w:r>
      <w:r w:rsidRPr="00B6125F">
        <w:t>r</w:t>
      </w:r>
      <w:r w:rsidRPr="00B6125F">
        <w:t>lamentet. Alla rådsmedlemmar får delta i rådets överläggningar men endast de rådsmedlemmar som företräder med</w:t>
      </w:r>
      <w:r w:rsidRPr="00B6125F">
        <w:softHyphen/>
        <w:t>lems</w:t>
      </w:r>
      <w:r w:rsidRPr="00B6125F">
        <w:softHyphen/>
        <w:t>stater som deltar i det fördj</w:t>
      </w:r>
      <w:r w:rsidRPr="00B6125F">
        <w:t>u</w:t>
      </w:r>
      <w:r w:rsidRPr="00B6125F">
        <w:t>pade samarbetet får delta i omröstningen (artikel 20(3) i EU-fördraget).</w:t>
      </w:r>
    </w:p>
    <w:p w:rsidR="00243157" w:rsidRPr="00B6125F" w:rsidRDefault="00243157" w:rsidP="004271E6">
      <w:pPr>
        <w:pStyle w:val="RKrubrik"/>
        <w:rPr>
          <w:i/>
          <w:iCs/>
        </w:rPr>
      </w:pPr>
      <w:r w:rsidRPr="00B6125F">
        <w:t>Svensk ståndpunkt</w:t>
      </w:r>
    </w:p>
    <w:p w:rsidR="00243157" w:rsidRPr="00B6125F" w:rsidRDefault="00243157" w:rsidP="00243157">
      <w:r w:rsidRPr="00B6125F">
        <w:t>Sverige har i förhandlingarna om förslaget som lades fram 2006 ifråg</w:t>
      </w:r>
      <w:r w:rsidRPr="00B6125F">
        <w:t>a</w:t>
      </w:r>
      <w:r w:rsidRPr="00B6125F">
        <w:t>satt behovet av enhetliga lagvalsregler om äktenskapsskillnad. Sverige har motsatt sig regler som innebär att domstolarna ska tillämpa ett annat lands lag i vissa mål om äktenskapsskillnad. Sådana regler kan innebära att mö</w:t>
      </w:r>
      <w:r w:rsidRPr="00B6125F">
        <w:t>j</w:t>
      </w:r>
      <w:r w:rsidRPr="00B6125F">
        <w:t>lig</w:t>
      </w:r>
      <w:r w:rsidRPr="00B6125F">
        <w:softHyphen/>
        <w:t>heten att få skilsmässa i svensk domstol inskränks för vissa grupper. Innehållet i det nu framlagda förslaget till förordning om genomförande av ett fördjupat sam</w:t>
      </w:r>
      <w:r w:rsidRPr="00B6125F">
        <w:softHyphen/>
        <w:t>arbete överensstämmer i rel</w:t>
      </w:r>
      <w:r w:rsidRPr="00B6125F">
        <w:t>e</w:t>
      </w:r>
      <w:r w:rsidRPr="00B6125F">
        <w:t>vanta delar huvudsakligen med innehållet i förslaget från 2006. Sver</w:t>
      </w:r>
      <w:r w:rsidRPr="00B6125F">
        <w:t>i</w:t>
      </w:r>
      <w:r w:rsidRPr="00B6125F">
        <w:t xml:space="preserve">ges ståndpunkt har inte förändrats. </w:t>
      </w:r>
      <w:r w:rsidR="004271E6" w:rsidRPr="00B6125F">
        <w:t>Sverige deltar inte i det fördjupade samarbetet.</w:t>
      </w:r>
    </w:p>
    <w:p w:rsidR="004271E6" w:rsidRPr="00B6125F" w:rsidRDefault="004271E6" w:rsidP="00243157"/>
    <w:p w:rsidR="004271E6" w:rsidRPr="00B6125F" w:rsidRDefault="004271E6" w:rsidP="004271E6">
      <w:pPr>
        <w:pStyle w:val="RKnormal"/>
      </w:pPr>
      <w:r w:rsidRPr="00B6125F">
        <w:t>Sverige har, liksom övriga icke-deltagande medlemsstater, möjlighet att lämna sy</w:t>
      </w:r>
      <w:r w:rsidRPr="00B6125F">
        <w:t>n</w:t>
      </w:r>
      <w:r w:rsidRPr="00B6125F">
        <w:t xml:space="preserve">punkter på förordningens innehåll men har inte rätt att vara med och besluta om innehållet. Sveriges utgångspunkt </w:t>
      </w:r>
      <w:r w:rsidR="0060047E" w:rsidRPr="00B6125F">
        <w:t>är</w:t>
      </w:r>
      <w:r w:rsidRPr="00B6125F">
        <w:t xml:space="preserve"> att b</w:t>
      </w:r>
      <w:r w:rsidRPr="00B6125F">
        <w:t>e</w:t>
      </w:r>
      <w:r w:rsidRPr="00B6125F">
        <w:t>vaka att innehållet i förordningen inte blir sådant att det kan påverka de medlemsstater som inte deltar eller går utöver det aviserade omr</w:t>
      </w:r>
      <w:r w:rsidRPr="00B6125F">
        <w:t>å</w:t>
      </w:r>
      <w:r w:rsidRPr="00B6125F">
        <w:t xml:space="preserve">det, dvs. tillämplig lag för skilsmässa och hemskillnad. </w:t>
      </w:r>
    </w:p>
    <w:p w:rsidR="007C5197" w:rsidRPr="00B6125F" w:rsidRDefault="007C5197" w:rsidP="00A77E17">
      <w:pPr>
        <w:pStyle w:val="RKnormal"/>
      </w:pPr>
    </w:p>
    <w:p w:rsidR="00352B7B" w:rsidRPr="00B6125F" w:rsidRDefault="00352B7B" w:rsidP="00352B7B">
      <w:pPr>
        <w:pStyle w:val="RKnormal"/>
      </w:pPr>
      <w:r w:rsidRPr="00B6125F">
        <w:t>Enligt artikel 7 a behöver domstolar i en MS vars lag inte innehåller b</w:t>
      </w:r>
      <w:r w:rsidRPr="00B6125F">
        <w:t>e</w:t>
      </w:r>
      <w:r w:rsidRPr="00B6125F">
        <w:t>stämmelser om skilsmässa överhuvudtaget (MT) eller inte anser att det akt</w:t>
      </w:r>
      <w:r w:rsidRPr="00B6125F">
        <w:t>u</w:t>
      </w:r>
      <w:r w:rsidRPr="00B6125F">
        <w:t>ella äktenskapet är giltigt(t.ex. mellan makar av samma kön), inte tillämpa den av förordningen utpekade lagen och döma till skil</w:t>
      </w:r>
      <w:r w:rsidRPr="00B6125F">
        <w:t>s</w:t>
      </w:r>
      <w:r w:rsidRPr="00B6125F">
        <w:t>mässa i enlighet med denna. Artikeln fanns med även i de senare ve</w:t>
      </w:r>
      <w:r w:rsidRPr="00B6125F">
        <w:t>r</w:t>
      </w:r>
      <w:r w:rsidRPr="00B6125F">
        <w:t>sionerna av det ursprungliga förslaget, tillsammans med en behöri</w:t>
      </w:r>
      <w:r w:rsidRPr="00B6125F">
        <w:t>g</w:t>
      </w:r>
      <w:r w:rsidRPr="00B6125F">
        <w:t>hetsregel, forum n</w:t>
      </w:r>
      <w:r w:rsidRPr="00B6125F">
        <w:t>e</w:t>
      </w:r>
      <w:r w:rsidRPr="00B6125F">
        <w:t xml:space="preserve">cessitatis, för att undvika att det inte skulle gå att skilja sig i något av de annars behöriga länderna. </w:t>
      </w:r>
    </w:p>
    <w:p w:rsidR="00352B7B" w:rsidRPr="00B6125F" w:rsidRDefault="00352B7B" w:rsidP="00352B7B">
      <w:pPr>
        <w:pStyle w:val="RKnormal"/>
      </w:pPr>
    </w:p>
    <w:p w:rsidR="00352B7B" w:rsidRPr="00B6125F" w:rsidRDefault="00352B7B" w:rsidP="00352B7B">
      <w:pPr>
        <w:pStyle w:val="RKnormal"/>
      </w:pPr>
      <w:r w:rsidRPr="00B6125F">
        <w:t>Några MS, bl.a. Sverige, har i förhandlingarna ifrågasatt lämpligheten av en u</w:t>
      </w:r>
      <w:r w:rsidRPr="00B6125F">
        <w:t>n</w:t>
      </w:r>
      <w:r w:rsidRPr="00B6125F">
        <w:t>dantagsmöjlighet såsom den i artikel 7 a, särskilt inom ramen för ett fördjupat samarbete, som ju i sig utgör en undantagslösning. Det fö</w:t>
      </w:r>
      <w:r w:rsidRPr="00B6125F">
        <w:t>r</w:t>
      </w:r>
      <w:r w:rsidRPr="00B6125F">
        <w:t>sta ledet ger en undantagsregel som är så bred att, vad gäller MT, förordningen i praktiken nästan aldrig skulle tillä</w:t>
      </w:r>
      <w:r w:rsidRPr="00B6125F">
        <w:t>m</w:t>
      </w:r>
      <w:r w:rsidRPr="00B6125F">
        <w:t>pas. Eftersom det av artikel 1 i förordningen framgår att dess tillämpningsområde inte omfattar pr</w:t>
      </w:r>
      <w:r w:rsidRPr="00B6125F">
        <w:t>e</w:t>
      </w:r>
      <w:r w:rsidRPr="00B6125F">
        <w:t>liminärfrågor som t.ex. ett äktenskaps giltighet torde det andra ledet av bestämmelsen inte heller vara nö</w:t>
      </w:r>
      <w:r w:rsidRPr="00B6125F">
        <w:t>d</w:t>
      </w:r>
      <w:r w:rsidRPr="00B6125F">
        <w:t xml:space="preserve">vändigt. </w:t>
      </w:r>
    </w:p>
    <w:p w:rsidR="00352B7B" w:rsidRPr="00B6125F" w:rsidRDefault="00352B7B" w:rsidP="007C5197">
      <w:pPr>
        <w:pStyle w:val="RKnormal"/>
      </w:pPr>
    </w:p>
    <w:p w:rsidR="007C5197" w:rsidRPr="00B6125F" w:rsidRDefault="007C5197" w:rsidP="007C5197">
      <w:pPr>
        <w:pStyle w:val="RKnormal"/>
      </w:pPr>
      <w:r w:rsidRPr="00B6125F">
        <w:t>I ORDF:s kompromisslösning finns, i syfte att mellan deltagande me</w:t>
      </w:r>
      <w:r w:rsidRPr="00B6125F">
        <w:t>d</w:t>
      </w:r>
      <w:r w:rsidRPr="00B6125F">
        <w:t>lemsstater nå enighet om artikel 7 a, fö</w:t>
      </w:r>
      <w:r w:rsidR="0060047E" w:rsidRPr="00B6125F">
        <w:t>rslag om att rådet</w:t>
      </w:r>
      <w:r w:rsidRPr="00B6125F">
        <w:t xml:space="preserve">, i samband med antagandet av förordningen, </w:t>
      </w:r>
      <w:r w:rsidR="0056751C" w:rsidRPr="00B6125F">
        <w:t xml:space="preserve">i en deklaration </w:t>
      </w:r>
      <w:r w:rsidRPr="00B6125F">
        <w:t>ska uppmana ko</w:t>
      </w:r>
      <w:r w:rsidRPr="00B6125F">
        <w:t>m</w:t>
      </w:r>
      <w:r w:rsidRPr="00B6125F">
        <w:t>missionen att snarast möjligt förelägga rådet och Europaparlamentet ett förslag till ändring av Bryssel II-förordningen i syfte att f</w:t>
      </w:r>
      <w:r w:rsidRPr="00B6125F">
        <w:t>ö</w:t>
      </w:r>
      <w:r w:rsidRPr="00B6125F">
        <w:t>reskriva om en behörig domstol för de fall då alla domstolar som har domsrätt finns i medlem</w:t>
      </w:r>
      <w:r w:rsidRPr="00B6125F">
        <w:t>s</w:t>
      </w:r>
      <w:r w:rsidRPr="00B6125F">
        <w:t>stater vars lag inte innehåller skilsmässa över huvud taget eller inte anser att det aktuella äktenskapet är giltigt (forum n</w:t>
      </w:r>
      <w:r w:rsidRPr="00B6125F">
        <w:t>e</w:t>
      </w:r>
      <w:r w:rsidRPr="00B6125F">
        <w:t>cessitatis).</w:t>
      </w:r>
    </w:p>
    <w:p w:rsidR="007C5197" w:rsidRPr="00B6125F" w:rsidRDefault="007C5197" w:rsidP="007C5197">
      <w:pPr>
        <w:pStyle w:val="RKnormal"/>
      </w:pPr>
    </w:p>
    <w:p w:rsidR="007C5197" w:rsidRPr="00B6125F" w:rsidRDefault="007C5197" w:rsidP="007C5197">
      <w:pPr>
        <w:pStyle w:val="RKnormal"/>
      </w:pPr>
      <w:r w:rsidRPr="00B6125F">
        <w:t>Oavsett om artikel 7 a kvarstår eller inte kan det finnas</w:t>
      </w:r>
      <w:r w:rsidR="001C5393" w:rsidRPr="00B6125F">
        <w:t xml:space="preserve"> behov av att överväga en tilläggsreglering om forum necessitatis</w:t>
      </w:r>
      <w:r w:rsidRPr="00B6125F">
        <w:t xml:space="preserve"> i Bryssel II-förordningen på sätt som ORDF föreslår. Sverige kan därför stödja ORDF:s förslag om en dekl</w:t>
      </w:r>
      <w:r w:rsidRPr="00B6125F">
        <w:t>a</w:t>
      </w:r>
      <w:r w:rsidRPr="00B6125F">
        <w:t xml:space="preserve">ration.  </w:t>
      </w:r>
    </w:p>
    <w:p w:rsidR="00B37627" w:rsidRPr="00B6125F" w:rsidRDefault="00B37627" w:rsidP="007C5197">
      <w:pPr>
        <w:pStyle w:val="RKnormal"/>
      </w:pPr>
    </w:p>
    <w:p w:rsidR="00B37627" w:rsidRPr="00B6125F" w:rsidRDefault="0056751C" w:rsidP="00B37627">
      <w:pPr>
        <w:pStyle w:val="RKnormal"/>
      </w:pPr>
      <w:r w:rsidRPr="00B6125F">
        <w:t>Med hänsyn till att Finland</w:t>
      </w:r>
      <w:r w:rsidR="00B37627" w:rsidRPr="00B6125F">
        <w:t xml:space="preserve"> avger </w:t>
      </w:r>
      <w:r w:rsidR="00E147AD" w:rsidRPr="00B6125F">
        <w:t>ett uttalande</w:t>
      </w:r>
      <w:r w:rsidRPr="00B6125F">
        <w:t xml:space="preserve"> och till Sveriges</w:t>
      </w:r>
      <w:r w:rsidR="00B37627" w:rsidRPr="00B6125F">
        <w:t xml:space="preserve"> instäl</w:t>
      </w:r>
      <w:r w:rsidR="00B37627" w:rsidRPr="00B6125F">
        <w:t>l</w:t>
      </w:r>
      <w:r w:rsidR="00B37627" w:rsidRPr="00B6125F">
        <w:t>ning till den ursprungliga för</w:t>
      </w:r>
      <w:r w:rsidRPr="00B6125F">
        <w:t>ordningen har Sverige</w:t>
      </w:r>
      <w:r w:rsidR="00B37627" w:rsidRPr="00B6125F">
        <w:t xml:space="preserve">, i samband med att genomförandeförordningen </w:t>
      </w:r>
      <w:r w:rsidRPr="00B6125F">
        <w:t>behandlades på Coreper II inför rådsm</w:t>
      </w:r>
      <w:r w:rsidRPr="00B6125F">
        <w:t>ö</w:t>
      </w:r>
      <w:r w:rsidRPr="00B6125F">
        <w:t>tet</w:t>
      </w:r>
      <w:r w:rsidR="00596B7A" w:rsidRPr="00B6125F">
        <w:t>, lagt fram ett uttalande</w:t>
      </w:r>
      <w:r w:rsidR="00B37627" w:rsidRPr="00B6125F">
        <w:t xml:space="preserve">, </w:t>
      </w:r>
      <w:r w:rsidR="00B37627" w:rsidRPr="00B6125F">
        <w:rPr>
          <w:u w:val="single"/>
        </w:rPr>
        <w:t>se bilaga</w:t>
      </w:r>
      <w:r w:rsidR="00B37627" w:rsidRPr="00B6125F">
        <w:t>.</w:t>
      </w:r>
      <w:r w:rsidR="00596B7A" w:rsidRPr="00B6125F">
        <w:t xml:space="preserve"> Uttalandet</w:t>
      </w:r>
      <w:r w:rsidRPr="00B6125F">
        <w:t xml:space="preserve"> är inriktad på Sveriges</w:t>
      </w:r>
      <w:r w:rsidR="00B37627" w:rsidRPr="00B6125F">
        <w:t xml:space="preserve"> problem med förordningen i sak, inte på det fördjupade sa</w:t>
      </w:r>
      <w:r w:rsidR="00B37627" w:rsidRPr="00B6125F">
        <w:t>m</w:t>
      </w:r>
      <w:r w:rsidR="00B37627" w:rsidRPr="00B6125F">
        <w:t xml:space="preserve">arbetet i sig. </w:t>
      </w:r>
    </w:p>
    <w:p w:rsidR="00243157" w:rsidRPr="00B6125F" w:rsidRDefault="00243157">
      <w:pPr>
        <w:pStyle w:val="RKrubrik"/>
      </w:pPr>
      <w:r w:rsidRPr="00B6125F">
        <w:t>Europaparlamentets inställning</w:t>
      </w:r>
    </w:p>
    <w:p w:rsidR="00243157" w:rsidRPr="00B6125F" w:rsidRDefault="00052599" w:rsidP="00243157">
      <w:pPr>
        <w:pStyle w:val="RKnormal"/>
      </w:pPr>
      <w:r w:rsidRPr="00B6125F">
        <w:t>Den 16 juni 2010 godkände Europaparlamentet förslaget om tillåtande att upprätta ett fördjupat samarbete.</w:t>
      </w:r>
    </w:p>
    <w:p w:rsidR="00052599" w:rsidRPr="00B6125F" w:rsidRDefault="00052599" w:rsidP="00243157">
      <w:pPr>
        <w:pStyle w:val="RKnormal"/>
      </w:pPr>
    </w:p>
    <w:p w:rsidR="00243157" w:rsidRPr="00B6125F" w:rsidRDefault="00243157">
      <w:pPr>
        <w:pStyle w:val="RKnormal"/>
      </w:pPr>
      <w:r w:rsidRPr="00B6125F">
        <w:t xml:space="preserve">Europaparlamentet har </w:t>
      </w:r>
      <w:r w:rsidR="00F93195" w:rsidRPr="00B6125F">
        <w:t xml:space="preserve">ännu </w:t>
      </w:r>
      <w:r w:rsidRPr="00B6125F">
        <w:t xml:space="preserve">inte yttrat sig över </w:t>
      </w:r>
      <w:r w:rsidR="00052599" w:rsidRPr="00B6125F">
        <w:t>förslaget till genomf</w:t>
      </w:r>
      <w:r w:rsidR="00052599" w:rsidRPr="00B6125F">
        <w:t>ö</w:t>
      </w:r>
      <w:r w:rsidR="00052599" w:rsidRPr="00B6125F">
        <w:t>randeförordning</w:t>
      </w:r>
      <w:r w:rsidRPr="00B6125F">
        <w:t>.</w:t>
      </w:r>
      <w:r w:rsidR="004271E6" w:rsidRPr="00B6125F">
        <w:t xml:space="preserve"> E</w:t>
      </w:r>
      <w:r w:rsidR="004271E6" w:rsidRPr="00B6125F">
        <w:t>u</w:t>
      </w:r>
      <w:r w:rsidR="004271E6" w:rsidRPr="00B6125F">
        <w:t>ropaparlamentet väntas avge sitt yttrande före årets slut.</w:t>
      </w:r>
    </w:p>
    <w:p w:rsidR="00243157" w:rsidRPr="00B6125F" w:rsidRDefault="00243157" w:rsidP="00052599">
      <w:pPr>
        <w:pStyle w:val="RKrubrik"/>
        <w:rPr>
          <w:i/>
          <w:iCs/>
        </w:rPr>
      </w:pPr>
      <w:r w:rsidRPr="00B6125F">
        <w:t>Förslaget</w:t>
      </w:r>
    </w:p>
    <w:p w:rsidR="00243157" w:rsidRPr="00B6125F" w:rsidRDefault="00052599" w:rsidP="00243157">
      <w:r w:rsidRPr="00B6125F">
        <w:t xml:space="preserve">Förslaget till genomförandeförordning </w:t>
      </w:r>
      <w:r w:rsidR="00243157" w:rsidRPr="00B6125F">
        <w:t>utgår från de bestämmelser som fanns i kommissionens förslag från 2006, med beaktande av än</w:t>
      </w:r>
      <w:r w:rsidR="00243157" w:rsidRPr="00B6125F">
        <w:t>d</w:t>
      </w:r>
      <w:r w:rsidR="00243157" w:rsidRPr="00B6125F">
        <w:t>ringar som de flesta medlemsstater har kunnat enas om vid förhan</w:t>
      </w:r>
      <w:r w:rsidR="00243157" w:rsidRPr="00B6125F">
        <w:t>d</w:t>
      </w:r>
      <w:r w:rsidR="00243157" w:rsidRPr="00B6125F">
        <w:t>lingarna av det. För</w:t>
      </w:r>
      <w:r w:rsidR="00243157" w:rsidRPr="00B6125F">
        <w:softHyphen/>
        <w:t>slaget innehåller dock inga ändringar av Bryssel II-förordningens regler om behörigt domstolsland i äktenskapsskil</w:t>
      </w:r>
      <w:r w:rsidR="00243157" w:rsidRPr="00B6125F">
        <w:t>l</w:t>
      </w:r>
      <w:r w:rsidR="00243157" w:rsidRPr="00B6125F">
        <w:t>nadsmål, utan enbart regler om ti</w:t>
      </w:r>
      <w:r w:rsidR="00243157" w:rsidRPr="00B6125F">
        <w:t>l</w:t>
      </w:r>
      <w:r w:rsidR="00243157" w:rsidRPr="00B6125F">
        <w:t>lämplig lag.</w:t>
      </w:r>
      <w:r w:rsidRPr="00B6125F">
        <w:t xml:space="preserve"> </w:t>
      </w:r>
    </w:p>
    <w:p w:rsidR="00243157" w:rsidRPr="00B6125F" w:rsidRDefault="00243157">
      <w:pPr>
        <w:pStyle w:val="RKrubrik"/>
        <w:rPr>
          <w:i/>
          <w:iCs/>
        </w:rPr>
      </w:pPr>
      <w:r w:rsidRPr="00B6125F">
        <w:rPr>
          <w:i/>
          <w:iCs/>
        </w:rPr>
        <w:t>Gällande svenska regler och förslagets effekter på de</w:t>
      </w:r>
      <w:r w:rsidRPr="00B6125F">
        <w:rPr>
          <w:i/>
          <w:iCs/>
        </w:rPr>
        <w:t>s</w:t>
      </w:r>
      <w:r w:rsidRPr="00B6125F">
        <w:rPr>
          <w:i/>
          <w:iCs/>
        </w:rPr>
        <w:t>sa</w:t>
      </w:r>
    </w:p>
    <w:p w:rsidR="00243157" w:rsidRPr="00B6125F" w:rsidRDefault="00243157" w:rsidP="00243157">
      <w:r w:rsidRPr="00B6125F">
        <w:t>Bestämmelser som reglerar vilket lands lag som ska tillämpas i svenska domstolar i mål om äktenskapsskillnad finns i förordningen (1931:429) om vissa internationella rättsförhållanden rörande äktenskap, ado</w:t>
      </w:r>
      <w:r w:rsidRPr="00B6125F">
        <w:t>p</w:t>
      </w:r>
      <w:r w:rsidRPr="00B6125F">
        <w:t>tion och förmynderskap (NÄF) och i lagen (1904:26 s. 1) om vissa i</w:t>
      </w:r>
      <w:r w:rsidRPr="00B6125F">
        <w:t>n</w:t>
      </w:r>
      <w:r w:rsidRPr="00B6125F">
        <w:t>tern</w:t>
      </w:r>
      <w:r w:rsidRPr="00B6125F">
        <w:t>a</w:t>
      </w:r>
      <w:r w:rsidRPr="00B6125F">
        <w:t>tionella rättsförhållanden rörande äktenskap och förmynderskap (IÄL). Reglerna i NÄF grundar sig på en konvention mellan de nordi</w:t>
      </w:r>
      <w:r w:rsidRPr="00B6125F">
        <w:t>s</w:t>
      </w:r>
      <w:r w:rsidRPr="00B6125F">
        <w:t>ka lä</w:t>
      </w:r>
      <w:r w:rsidRPr="00B6125F">
        <w:t>n</w:t>
      </w:r>
      <w:r w:rsidRPr="00B6125F">
        <w:t xml:space="preserve">derna. </w:t>
      </w:r>
    </w:p>
    <w:p w:rsidR="00243157" w:rsidRPr="00B6125F" w:rsidRDefault="00243157" w:rsidP="00243157"/>
    <w:p w:rsidR="00243157" w:rsidRPr="00B6125F" w:rsidRDefault="00243157" w:rsidP="00243157">
      <w:r w:rsidRPr="00B6125F">
        <w:t>I faktapromemorian 2006/07:FPM8 finns exempel på vilka konsekve</w:t>
      </w:r>
      <w:r w:rsidRPr="00B6125F">
        <w:t>n</w:t>
      </w:r>
      <w:r w:rsidRPr="00B6125F">
        <w:t xml:space="preserve">ser förslaget kan få i vissa konkreta situationer. </w:t>
      </w:r>
    </w:p>
    <w:p w:rsidR="00243157" w:rsidRPr="00B6125F" w:rsidRDefault="00243157" w:rsidP="00243157"/>
    <w:p w:rsidR="00243157" w:rsidRPr="00B6125F" w:rsidRDefault="00243157" w:rsidP="00243157">
      <w:r w:rsidRPr="00B6125F">
        <w:t>Den föreslagna förordningen är bindande och direkt tillämplig i de med</w:t>
      </w:r>
      <w:r w:rsidRPr="00B6125F">
        <w:softHyphen/>
        <w:t>lemsstater som deltar</w:t>
      </w:r>
      <w:r w:rsidR="001C5393" w:rsidRPr="00B6125F">
        <w:t xml:space="preserve"> i det fördjupade samarbetet. Eftersom</w:t>
      </w:r>
      <w:r w:rsidRPr="00B6125F">
        <w:t xml:space="preserve"> Sv</w:t>
      </w:r>
      <w:r w:rsidRPr="00B6125F">
        <w:t>e</w:t>
      </w:r>
      <w:r w:rsidRPr="00B6125F">
        <w:t>rige inte deltar i det fördju</w:t>
      </w:r>
      <w:r w:rsidR="001C5393" w:rsidRPr="00B6125F">
        <w:t xml:space="preserve">pade samarbetet, kommer </w:t>
      </w:r>
      <w:r w:rsidRPr="00B6125F">
        <w:t>de föreslagna lagvalsregle</w:t>
      </w:r>
      <w:r w:rsidRPr="00B6125F">
        <w:t>r</w:t>
      </w:r>
      <w:r w:rsidRPr="00B6125F">
        <w:t>na inte att tillämpas i Sverige. I stället kommer svenska domstolar att for</w:t>
      </w:r>
      <w:r w:rsidRPr="00B6125F">
        <w:t>t</w:t>
      </w:r>
      <w:r w:rsidRPr="00B6125F">
        <w:t>sätta att tillämpa de internationella privaträttsliga regler som gäl</w:t>
      </w:r>
      <w:r w:rsidRPr="00B6125F">
        <w:t>l</w:t>
      </w:r>
      <w:r w:rsidRPr="00B6125F">
        <w:t>er i dag. Det är ingenting som hindrar att Sverige i ett senare skede väljer att a</w:t>
      </w:r>
      <w:r w:rsidRPr="00B6125F">
        <w:t>n</w:t>
      </w:r>
      <w:r w:rsidRPr="00B6125F">
        <w:t xml:space="preserve">sluta sig till det fördjupade samarbetet. </w:t>
      </w:r>
    </w:p>
    <w:p w:rsidR="00243157" w:rsidRPr="00B6125F" w:rsidRDefault="00243157" w:rsidP="00243157"/>
    <w:p w:rsidR="00243157" w:rsidRPr="00B6125F" w:rsidRDefault="00243157" w:rsidP="00243157">
      <w:r w:rsidRPr="00B6125F">
        <w:t>Svenskar i gränsöverskridande äktenskap, t.ex. svenskar som är bosatta utom</w:t>
      </w:r>
      <w:r w:rsidRPr="00B6125F">
        <w:softHyphen/>
        <w:t>lands, kan komma att beröras av reglerna även om Sverige inte de</w:t>
      </w:r>
      <w:r w:rsidRPr="00B6125F">
        <w:t>l</w:t>
      </w:r>
      <w:r w:rsidRPr="00B6125F">
        <w:t>tar i det fördjupade samarbetet. Om en ansökan om skilsmässa lämnas in till en dom</w:t>
      </w:r>
      <w:r w:rsidRPr="00B6125F">
        <w:softHyphen/>
        <w:t>stol i ett land som deltar i det fördjupade sama</w:t>
      </w:r>
      <w:r w:rsidRPr="00B6125F">
        <w:t>r</w:t>
      </w:r>
      <w:r w:rsidRPr="00B6125F">
        <w:t>betet och de</w:t>
      </w:r>
      <w:r w:rsidRPr="00B6125F">
        <w:t>n</w:t>
      </w:r>
      <w:r w:rsidRPr="00B6125F">
        <w:t>na domstol – enligt bestämmelserna i Bryssel II-förordningen – är beh</w:t>
      </w:r>
      <w:r w:rsidRPr="00B6125F">
        <w:t>ö</w:t>
      </w:r>
      <w:r w:rsidRPr="00B6125F">
        <w:t>rig att pröva an</w:t>
      </w:r>
      <w:r w:rsidRPr="00B6125F">
        <w:softHyphen/>
        <w:t>sökan, ska lagvalsreglerna i den föreslagna förordningen tillämpas.</w:t>
      </w:r>
    </w:p>
    <w:p w:rsidR="00243157" w:rsidRPr="00B6125F" w:rsidRDefault="00243157">
      <w:pPr>
        <w:pStyle w:val="RKrubrik"/>
      </w:pPr>
      <w:r w:rsidRPr="00B6125F">
        <w:t>Ekonomiska konsekvenser</w:t>
      </w:r>
    </w:p>
    <w:p w:rsidR="00243157" w:rsidRPr="00B6125F" w:rsidRDefault="00243157" w:rsidP="00243157">
      <w:r w:rsidRPr="00B6125F">
        <w:t>Kommissionen hänvisar till den konsekvensanalys (SEC[2006] 949) som gjordes i samband med det ursprungliga förslaget. Kommissi</w:t>
      </w:r>
      <w:r w:rsidRPr="00B6125F">
        <w:t>o</w:t>
      </w:r>
      <w:r w:rsidRPr="00B6125F">
        <w:t>nens bedöm</w:t>
      </w:r>
      <w:r w:rsidRPr="00B6125F">
        <w:softHyphen/>
        <w:t>ning är att förslaget till förordning inte kommer att me</w:t>
      </w:r>
      <w:r w:rsidRPr="00B6125F">
        <w:t>d</w:t>
      </w:r>
      <w:r w:rsidRPr="00B6125F">
        <w:t>föra några ekono</w:t>
      </w:r>
      <w:r w:rsidRPr="00B6125F">
        <w:softHyphen/>
        <w:t xml:space="preserve">miska konsekvenser för </w:t>
      </w:r>
      <w:r w:rsidR="00E147AD" w:rsidRPr="00B6125F">
        <w:t>unionens</w:t>
      </w:r>
      <w:r w:rsidRPr="00B6125F">
        <w:t xml:space="preserve"> budget och endast en mycket b</w:t>
      </w:r>
      <w:r w:rsidRPr="00B6125F">
        <w:t>e</w:t>
      </w:r>
      <w:r w:rsidRPr="00B6125F">
        <w:t>grän</w:t>
      </w:r>
      <w:r w:rsidRPr="00B6125F">
        <w:softHyphen/>
        <w:t xml:space="preserve">sad påverkan för berörda nationella myndigheter. </w:t>
      </w:r>
    </w:p>
    <w:p w:rsidR="00243157" w:rsidRPr="00B6125F" w:rsidRDefault="00243157">
      <w:pPr>
        <w:pStyle w:val="RKnormal"/>
      </w:pPr>
    </w:p>
    <w:p w:rsidR="00243157" w:rsidRPr="00B6125F" w:rsidRDefault="00243157">
      <w:pPr>
        <w:pStyle w:val="RKnormal"/>
      </w:pPr>
    </w:p>
    <w:p w:rsidR="00243157" w:rsidRPr="00B6125F" w:rsidRDefault="00243157">
      <w:pPr>
        <w:pStyle w:val="RKnormal"/>
        <w:rPr>
          <w:i/>
          <w:iCs/>
        </w:rPr>
      </w:pPr>
    </w:p>
    <w:p w:rsidR="006E4E11" w:rsidRPr="00B6125F" w:rsidRDefault="006E4E11">
      <w:pPr>
        <w:pStyle w:val="RKnormal"/>
      </w:pPr>
    </w:p>
    <w:p w:rsidR="00243157" w:rsidRPr="00B6125F" w:rsidRDefault="00243157">
      <w:pPr>
        <w:pStyle w:val="RKnormal"/>
      </w:pPr>
    </w:p>
    <w:sectPr w:rsidR="00243157" w:rsidRPr="00B6125F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493" w:rsidRPr="00B6125F" w:rsidRDefault="00156493">
      <w:r w:rsidRPr="00B6125F">
        <w:separator/>
      </w:r>
    </w:p>
  </w:endnote>
  <w:endnote w:type="continuationSeparator" w:id="0">
    <w:p w:rsidR="00156493" w:rsidRPr="00B6125F" w:rsidRDefault="00156493">
      <w:r w:rsidRPr="00B612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493" w:rsidRPr="00B6125F" w:rsidRDefault="00156493">
      <w:r w:rsidRPr="00B6125F">
        <w:separator/>
      </w:r>
    </w:p>
  </w:footnote>
  <w:footnote w:type="continuationSeparator" w:id="0">
    <w:p w:rsidR="00156493" w:rsidRPr="00B6125F" w:rsidRDefault="00156493">
      <w:r w:rsidRPr="00B612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B7B" w:rsidRPr="00B6125F" w:rsidRDefault="00352B7B">
    <w:pPr>
      <w:pStyle w:val="Sidhuvud"/>
      <w:framePr w:wrap="around" w:vAnchor="text" w:hAnchor="margin" w:xAlign="right" w:y="1"/>
      <w:rPr>
        <w:rStyle w:val="Sidnummer"/>
      </w:rPr>
    </w:pPr>
    <w:r w:rsidRPr="00B6125F">
      <w:rPr>
        <w:rStyle w:val="Sidnummer"/>
      </w:rPr>
      <w:fldChar w:fldCharType="begin" w:fldLock="1"/>
    </w:r>
    <w:r w:rsidRPr="00B6125F">
      <w:rPr>
        <w:rStyle w:val="Sidnummer"/>
      </w:rPr>
      <w:instrText xml:space="preserve">PAGE  </w:instrText>
    </w:r>
    <w:r w:rsidRPr="00B6125F">
      <w:rPr>
        <w:rStyle w:val="Sidnummer"/>
      </w:rPr>
      <w:fldChar w:fldCharType="separate"/>
    </w:r>
    <w:r w:rsidR="004C65F1" w:rsidRPr="00B6125F">
      <w:rPr>
        <w:rStyle w:val="Sidnummer"/>
      </w:rPr>
      <w:t>2</w:t>
    </w:r>
    <w:r w:rsidRPr="00B6125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52B7B" w:rsidRPr="00B6125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52B7B" w:rsidRPr="00B6125F" w:rsidRDefault="00352B7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52B7B" w:rsidRPr="00B6125F" w:rsidRDefault="00352B7B">
          <w:pPr>
            <w:pStyle w:val="Sidhuvud"/>
            <w:ind w:right="360"/>
          </w:pPr>
        </w:p>
      </w:tc>
      <w:tc>
        <w:tcPr>
          <w:tcW w:w="1525" w:type="dxa"/>
        </w:tcPr>
        <w:p w:rsidR="00352B7B" w:rsidRPr="00B6125F" w:rsidRDefault="00352B7B">
          <w:pPr>
            <w:pStyle w:val="Sidhuvud"/>
            <w:ind w:right="360"/>
          </w:pPr>
        </w:p>
      </w:tc>
    </w:tr>
  </w:tbl>
  <w:p w:rsidR="00352B7B" w:rsidRPr="00B6125F" w:rsidRDefault="00352B7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B7B" w:rsidRPr="00B6125F" w:rsidRDefault="00352B7B">
    <w:pPr>
      <w:pStyle w:val="Sidhuvud"/>
      <w:framePr w:wrap="around" w:vAnchor="text" w:hAnchor="margin" w:xAlign="right" w:y="1"/>
      <w:rPr>
        <w:rStyle w:val="Sidnummer"/>
      </w:rPr>
    </w:pPr>
    <w:r w:rsidRPr="00B6125F">
      <w:rPr>
        <w:rStyle w:val="Sidnummer"/>
      </w:rPr>
      <w:fldChar w:fldCharType="begin" w:fldLock="1"/>
    </w:r>
    <w:r w:rsidRPr="00B6125F">
      <w:rPr>
        <w:rStyle w:val="Sidnummer"/>
      </w:rPr>
      <w:instrText xml:space="preserve">PAGE  </w:instrText>
    </w:r>
    <w:r w:rsidRPr="00B6125F">
      <w:rPr>
        <w:rStyle w:val="Sidnummer"/>
      </w:rPr>
      <w:fldChar w:fldCharType="separate"/>
    </w:r>
    <w:r w:rsidR="004C65F1" w:rsidRPr="00B6125F">
      <w:rPr>
        <w:rStyle w:val="Sidnummer"/>
      </w:rPr>
      <w:t>3</w:t>
    </w:r>
    <w:r w:rsidRPr="00B6125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52B7B" w:rsidRPr="00B6125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52B7B" w:rsidRPr="00B6125F" w:rsidRDefault="00352B7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52B7B" w:rsidRPr="00B6125F" w:rsidRDefault="00352B7B">
          <w:pPr>
            <w:pStyle w:val="Sidhuvud"/>
            <w:ind w:right="360"/>
          </w:pPr>
        </w:p>
      </w:tc>
      <w:tc>
        <w:tcPr>
          <w:tcW w:w="1525" w:type="dxa"/>
        </w:tcPr>
        <w:p w:rsidR="00352B7B" w:rsidRPr="00B6125F" w:rsidRDefault="00352B7B">
          <w:pPr>
            <w:pStyle w:val="Sidhuvud"/>
            <w:ind w:right="360"/>
          </w:pPr>
        </w:p>
      </w:tc>
    </w:tr>
  </w:tbl>
  <w:p w:rsidR="00352B7B" w:rsidRPr="00B6125F" w:rsidRDefault="00352B7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B7B" w:rsidRPr="00B6125F" w:rsidRDefault="00B6125F">
    <w:pPr>
      <w:framePr w:w="2948" w:h="1321" w:hRule="exact" w:wrap="notBeside" w:vAnchor="page" w:hAnchor="page" w:x="1362" w:y="653"/>
    </w:pPr>
    <w:r w:rsidRPr="00B6125F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2B7B" w:rsidRPr="00B6125F" w:rsidRDefault="00352B7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52B7B" w:rsidRPr="00B6125F" w:rsidRDefault="00352B7B">
    <w:pPr>
      <w:rPr>
        <w:rFonts w:ascii="TradeGothic" w:hAnsi="TradeGothic"/>
        <w:b/>
        <w:bCs/>
        <w:spacing w:val="12"/>
        <w:sz w:val="22"/>
      </w:rPr>
    </w:pPr>
  </w:p>
  <w:p w:rsidR="00352B7B" w:rsidRPr="00B6125F" w:rsidRDefault="00352B7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52B7B" w:rsidRPr="00B6125F" w:rsidRDefault="00352B7B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243157"/>
    <w:rsid w:val="00052599"/>
    <w:rsid w:val="000E4580"/>
    <w:rsid w:val="00150384"/>
    <w:rsid w:val="00156493"/>
    <w:rsid w:val="001805B7"/>
    <w:rsid w:val="00190EBF"/>
    <w:rsid w:val="001C5393"/>
    <w:rsid w:val="00243157"/>
    <w:rsid w:val="00290132"/>
    <w:rsid w:val="00300E8B"/>
    <w:rsid w:val="00352B7B"/>
    <w:rsid w:val="003B2F89"/>
    <w:rsid w:val="004271E6"/>
    <w:rsid w:val="00497583"/>
    <w:rsid w:val="004A328D"/>
    <w:rsid w:val="004C65F1"/>
    <w:rsid w:val="004D13EC"/>
    <w:rsid w:val="00505413"/>
    <w:rsid w:val="0056751C"/>
    <w:rsid w:val="00596B7A"/>
    <w:rsid w:val="0060047E"/>
    <w:rsid w:val="00612929"/>
    <w:rsid w:val="00657B82"/>
    <w:rsid w:val="006D05F2"/>
    <w:rsid w:val="006E4E11"/>
    <w:rsid w:val="006E6630"/>
    <w:rsid w:val="007242A3"/>
    <w:rsid w:val="00793DA9"/>
    <w:rsid w:val="007B5CA5"/>
    <w:rsid w:val="007C5197"/>
    <w:rsid w:val="008A17E5"/>
    <w:rsid w:val="008C2C3D"/>
    <w:rsid w:val="00901A74"/>
    <w:rsid w:val="00942B22"/>
    <w:rsid w:val="00954783"/>
    <w:rsid w:val="009D3917"/>
    <w:rsid w:val="009E4776"/>
    <w:rsid w:val="00A05A3A"/>
    <w:rsid w:val="00A72E39"/>
    <w:rsid w:val="00A77E17"/>
    <w:rsid w:val="00B12F85"/>
    <w:rsid w:val="00B37627"/>
    <w:rsid w:val="00B40DE1"/>
    <w:rsid w:val="00B6125F"/>
    <w:rsid w:val="00BF688A"/>
    <w:rsid w:val="00C56839"/>
    <w:rsid w:val="00CC0E89"/>
    <w:rsid w:val="00DB7555"/>
    <w:rsid w:val="00DC7167"/>
    <w:rsid w:val="00E147AD"/>
    <w:rsid w:val="00E15F08"/>
    <w:rsid w:val="00EC25F9"/>
    <w:rsid w:val="00F01AA4"/>
    <w:rsid w:val="00F63D68"/>
    <w:rsid w:val="00F9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2B20EA-CF90-411D-8C2D-9B154051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4C6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1601</Words>
  <Characters>9821</Characters>
  <Application>Microsoft Office Word</Application>
  <DocSecurity>4</DocSecurity>
  <Lines>239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2010-11-22T12:28:00Z</cp:lastPrinted>
  <dcterms:created xsi:type="dcterms:W3CDTF">2025-12-18T03:51:00Z</dcterms:created>
  <dcterms:modified xsi:type="dcterms:W3CDTF">2025-12-18T03:51:00Z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SearchKeywords">
    <vt:lpwstr/>
  </property>
  <property fmtid="{D5CDD505-2E9C-101B-9397-08002B2CF9AE}" pid="6" name="RKOrdnaSarskildSkyddsvard">
    <vt:lpwstr>0</vt:lpwstr>
  </property>
  <property fmtid="{D5CDD505-2E9C-101B-9397-08002B2CF9AE}" pid="7" name="RKOrdnaDepartement">
    <vt:lpwstr>Justitiedepartementet</vt:lpwstr>
  </property>
  <property fmtid="{D5CDD505-2E9C-101B-9397-08002B2CF9AE}" pid="8" name="RKOrdnaActivityCategory">
    <vt:lpwstr>4.1. Europeiska unionen</vt:lpwstr>
  </property>
</Properties>
</file>