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82CC5" w:rsidTr="00EA0F30">
        <w:tblPrEx>
          <w:tblCellMar>
            <w:top w:w="0" w:type="dxa"/>
            <w:bottom w:w="0" w:type="dxa"/>
          </w:tblCellMar>
        </w:tblPrEx>
        <w:tc>
          <w:tcPr>
            <w:tcW w:w="2268" w:type="dxa"/>
          </w:tcPr>
          <w:p w:rsidR="006E4E11" w:rsidRPr="00C82CC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82CC5" w:rsidRDefault="006E4E11" w:rsidP="007242A3">
            <w:pPr>
              <w:framePr w:w="5035" w:h="1644" w:wrap="notBeside" w:vAnchor="page" w:hAnchor="page" w:x="6573" w:y="721"/>
              <w:rPr>
                <w:rFonts w:ascii="TradeGothic" w:hAnsi="TradeGothic"/>
                <w:i/>
                <w:sz w:val="18"/>
              </w:rPr>
            </w:pPr>
          </w:p>
        </w:tc>
      </w:tr>
      <w:tr w:rsidR="00EA0F30" w:rsidRPr="00C82CC5" w:rsidTr="00EA0F30">
        <w:tblPrEx>
          <w:tblCellMar>
            <w:top w:w="0" w:type="dxa"/>
            <w:bottom w:w="0" w:type="dxa"/>
          </w:tblCellMar>
        </w:tblPrEx>
        <w:tc>
          <w:tcPr>
            <w:tcW w:w="5267" w:type="dxa"/>
            <w:gridSpan w:val="3"/>
          </w:tcPr>
          <w:p w:rsidR="00EA0F30" w:rsidRPr="00C82CC5" w:rsidRDefault="00EA0F30" w:rsidP="007242A3">
            <w:pPr>
              <w:framePr w:w="5035" w:h="1644" w:wrap="notBeside" w:vAnchor="page" w:hAnchor="page" w:x="6573" w:y="721"/>
              <w:rPr>
                <w:rFonts w:ascii="TradeGothic" w:hAnsi="TradeGothic"/>
                <w:b/>
                <w:sz w:val="22"/>
              </w:rPr>
            </w:pPr>
            <w:r w:rsidRPr="00C82CC5">
              <w:rPr>
                <w:rFonts w:ascii="TradeGothic" w:hAnsi="TradeGothic"/>
                <w:b/>
                <w:sz w:val="22"/>
              </w:rPr>
              <w:t>Kommenterad dagordning</w:t>
            </w:r>
          </w:p>
        </w:tc>
      </w:tr>
      <w:tr w:rsidR="006E4E11" w:rsidRPr="00C82CC5" w:rsidTr="00EA0F30">
        <w:tblPrEx>
          <w:tblCellMar>
            <w:top w:w="0" w:type="dxa"/>
            <w:bottom w:w="0" w:type="dxa"/>
          </w:tblCellMar>
        </w:tblPrEx>
        <w:tc>
          <w:tcPr>
            <w:tcW w:w="3402" w:type="dxa"/>
            <w:gridSpan w:val="2"/>
          </w:tcPr>
          <w:p w:rsidR="006E4E11" w:rsidRPr="00C82CC5" w:rsidRDefault="00EA0F30" w:rsidP="007242A3">
            <w:pPr>
              <w:framePr w:w="5035" w:h="1644" w:wrap="notBeside" w:vAnchor="page" w:hAnchor="page" w:x="6573" w:y="721"/>
              <w:rPr>
                <w:rFonts w:ascii="TradeGothic" w:hAnsi="TradeGothic"/>
                <w:b/>
                <w:sz w:val="22"/>
              </w:rPr>
            </w:pPr>
            <w:r w:rsidRPr="00C82CC5">
              <w:rPr>
                <w:rFonts w:ascii="TradeGothic" w:hAnsi="TradeGothic"/>
                <w:b/>
                <w:sz w:val="22"/>
              </w:rPr>
              <w:t>rådet</w:t>
            </w:r>
          </w:p>
        </w:tc>
        <w:tc>
          <w:tcPr>
            <w:tcW w:w="1865" w:type="dxa"/>
          </w:tcPr>
          <w:p w:rsidR="006E4E11" w:rsidRPr="00C82CC5" w:rsidRDefault="006E4E11" w:rsidP="007242A3">
            <w:pPr>
              <w:framePr w:w="5035" w:h="1644" w:wrap="notBeside" w:vAnchor="page" w:hAnchor="page" w:x="6573" w:y="721"/>
            </w:pPr>
          </w:p>
        </w:tc>
      </w:tr>
      <w:tr w:rsidR="006E4E11" w:rsidRPr="00C82CC5" w:rsidTr="00EA0F30">
        <w:tblPrEx>
          <w:tblCellMar>
            <w:top w:w="0" w:type="dxa"/>
            <w:bottom w:w="0" w:type="dxa"/>
          </w:tblCellMar>
        </w:tblPrEx>
        <w:tc>
          <w:tcPr>
            <w:tcW w:w="2268" w:type="dxa"/>
          </w:tcPr>
          <w:p w:rsidR="006E4E11" w:rsidRPr="00C82CC5" w:rsidRDefault="00EA0F30" w:rsidP="007242A3">
            <w:pPr>
              <w:framePr w:w="5035" w:h="1644" w:wrap="notBeside" w:vAnchor="page" w:hAnchor="page" w:x="6573" w:y="721"/>
            </w:pPr>
            <w:r w:rsidRPr="00C82CC5">
              <w:t>2010-03-0</w:t>
            </w:r>
            <w:r w:rsidR="00457A0D" w:rsidRPr="00C82CC5">
              <w:t>8</w:t>
            </w:r>
          </w:p>
        </w:tc>
        <w:tc>
          <w:tcPr>
            <w:tcW w:w="2999" w:type="dxa"/>
            <w:gridSpan w:val="2"/>
          </w:tcPr>
          <w:p w:rsidR="006E4E11" w:rsidRPr="00C82CC5" w:rsidRDefault="006E4E11" w:rsidP="007242A3">
            <w:pPr>
              <w:framePr w:w="5035" w:h="1644" w:wrap="notBeside" w:vAnchor="page" w:hAnchor="page" w:x="6573" w:y="721"/>
            </w:pPr>
          </w:p>
        </w:tc>
      </w:tr>
      <w:tr w:rsidR="006E4E11" w:rsidRPr="00C82CC5" w:rsidTr="00EA0F30">
        <w:tblPrEx>
          <w:tblCellMar>
            <w:top w:w="0" w:type="dxa"/>
            <w:bottom w:w="0" w:type="dxa"/>
          </w:tblCellMar>
        </w:tblPrEx>
        <w:tc>
          <w:tcPr>
            <w:tcW w:w="2268" w:type="dxa"/>
          </w:tcPr>
          <w:p w:rsidR="006E4E11" w:rsidRPr="00C82CC5" w:rsidRDefault="006E4E11" w:rsidP="007242A3">
            <w:pPr>
              <w:framePr w:w="5035" w:h="1644" w:wrap="notBeside" w:vAnchor="page" w:hAnchor="page" w:x="6573" w:y="721"/>
            </w:pPr>
          </w:p>
        </w:tc>
        <w:tc>
          <w:tcPr>
            <w:tcW w:w="2999" w:type="dxa"/>
            <w:gridSpan w:val="2"/>
          </w:tcPr>
          <w:p w:rsidR="006E4E11" w:rsidRPr="00C82CC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82CC5">
        <w:tblPrEx>
          <w:tblCellMar>
            <w:top w:w="0" w:type="dxa"/>
            <w:bottom w:w="0" w:type="dxa"/>
          </w:tblCellMar>
        </w:tblPrEx>
        <w:trPr>
          <w:trHeight w:val="284"/>
        </w:trPr>
        <w:tc>
          <w:tcPr>
            <w:tcW w:w="4911" w:type="dxa"/>
          </w:tcPr>
          <w:p w:rsidR="006E4E11" w:rsidRPr="00C82CC5" w:rsidRDefault="00EA0F30">
            <w:pPr>
              <w:pStyle w:val="Avsndare"/>
              <w:framePr w:h="2483" w:wrap="notBeside" w:x="1504"/>
              <w:rPr>
                <w:b/>
                <w:i w:val="0"/>
                <w:sz w:val="22"/>
              </w:rPr>
            </w:pPr>
            <w:r w:rsidRPr="00C82CC5">
              <w:rPr>
                <w:b/>
                <w:i w:val="0"/>
                <w:sz w:val="22"/>
              </w:rPr>
              <w:t>Miljödepartementet</w:t>
            </w: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EA0F30">
            <w:pPr>
              <w:pStyle w:val="Avsndare"/>
              <w:framePr w:h="2483" w:wrap="notBeside" w:x="1504"/>
              <w:rPr>
                <w:bCs/>
                <w:iCs/>
              </w:rPr>
            </w:pPr>
            <w:r w:rsidRPr="00C82CC5">
              <w:rPr>
                <w:bCs/>
                <w:iCs/>
              </w:rPr>
              <w:t>Internationella enheten</w:t>
            </w: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r w:rsidR="006E4E11" w:rsidRPr="00C82CC5">
        <w:tblPrEx>
          <w:tblCellMar>
            <w:top w:w="0" w:type="dxa"/>
            <w:bottom w:w="0" w:type="dxa"/>
          </w:tblCellMar>
        </w:tblPrEx>
        <w:trPr>
          <w:trHeight w:val="284"/>
        </w:trPr>
        <w:tc>
          <w:tcPr>
            <w:tcW w:w="4911" w:type="dxa"/>
          </w:tcPr>
          <w:p w:rsidR="006E4E11" w:rsidRPr="00C82CC5" w:rsidRDefault="006E4E11">
            <w:pPr>
              <w:pStyle w:val="Avsndare"/>
              <w:framePr w:h="2483" w:wrap="notBeside" w:x="1504"/>
              <w:rPr>
                <w:bCs/>
                <w:iCs/>
              </w:rPr>
            </w:pPr>
          </w:p>
        </w:tc>
      </w:tr>
    </w:tbl>
    <w:p w:rsidR="006E4E11" w:rsidRPr="00C82CC5" w:rsidRDefault="006E4E11">
      <w:pPr>
        <w:framePr w:w="4400" w:h="2523" w:wrap="notBeside" w:vAnchor="page" w:hAnchor="page" w:x="6453" w:y="2445"/>
        <w:ind w:left="142"/>
        <w:rPr>
          <w:b/>
        </w:rPr>
      </w:pPr>
    </w:p>
    <w:p w:rsidR="00EA0F30" w:rsidRPr="00C82CC5" w:rsidRDefault="00EA0F30">
      <w:pPr>
        <w:pStyle w:val="RKrubrik"/>
        <w:pBdr>
          <w:bottom w:val="single" w:sz="6" w:space="1" w:color="auto"/>
        </w:pBdr>
      </w:pPr>
      <w:bookmarkStart w:id="0" w:name="bRubrik"/>
      <w:bookmarkEnd w:id="0"/>
      <w:r w:rsidRPr="00C82CC5">
        <w:t>Rådets möte (miljöministrarna) den 15 mars 2010</w:t>
      </w:r>
    </w:p>
    <w:p w:rsidR="00EA0F30" w:rsidRPr="00C82CC5" w:rsidRDefault="00EA0F30">
      <w:pPr>
        <w:pStyle w:val="RKrubrik"/>
      </w:pPr>
      <w:r w:rsidRPr="00C82CC5">
        <w:t>Kommenterad dagordning</w:t>
      </w:r>
    </w:p>
    <w:p w:rsidR="00EA0F30" w:rsidRPr="00C82CC5" w:rsidRDefault="00EA0F30">
      <w:pPr>
        <w:pStyle w:val="RKnormal"/>
      </w:pPr>
    </w:p>
    <w:p w:rsidR="00EA0F30" w:rsidRPr="00C82CC5" w:rsidRDefault="00EA0F30">
      <w:pPr>
        <w:pStyle w:val="RKrubrik"/>
      </w:pPr>
      <w:r w:rsidRPr="00C82CC5">
        <w:t>1.</w:t>
      </w:r>
      <w:r w:rsidRPr="00C82CC5">
        <w:tab/>
        <w:t>Godkännande av dagordningen</w:t>
      </w:r>
    </w:p>
    <w:p w:rsidR="00EA0F30" w:rsidRPr="00C82CC5" w:rsidRDefault="00EA0F30">
      <w:pPr>
        <w:pStyle w:val="RKnormal"/>
      </w:pPr>
    </w:p>
    <w:p w:rsidR="00EA0F30" w:rsidRPr="00C82CC5" w:rsidRDefault="00EA0F30">
      <w:pPr>
        <w:pStyle w:val="RKrubrik"/>
      </w:pPr>
      <w:r w:rsidRPr="00C82CC5">
        <w:t>2.</w:t>
      </w:r>
      <w:r w:rsidRPr="00C82CC5">
        <w:tab/>
        <w:t>A-punkter</w:t>
      </w:r>
    </w:p>
    <w:p w:rsidR="00EA0F30" w:rsidRPr="00C82CC5" w:rsidRDefault="00F13C43">
      <w:pPr>
        <w:pStyle w:val="RKnormal"/>
      </w:pPr>
      <w:r w:rsidRPr="00C82CC5">
        <w:t>A-punktslistan är ännu ej känd.</w:t>
      </w:r>
    </w:p>
    <w:p w:rsidR="00EA0F30" w:rsidRPr="00C82CC5" w:rsidRDefault="00EA0F30" w:rsidP="00EA0F30">
      <w:pPr>
        <w:pStyle w:val="RKrubrik"/>
      </w:pPr>
      <w:r w:rsidRPr="00C82CC5">
        <w:t>3.</w:t>
      </w:r>
      <w:r w:rsidRPr="00C82CC5">
        <w:tab/>
        <w:t>Förslag till Europaparlame</w:t>
      </w:r>
      <w:r w:rsidR="001668B5" w:rsidRPr="00C82CC5">
        <w:t>ntets och rådets förordning om k</w:t>
      </w:r>
      <w:r w:rsidRPr="00C82CC5">
        <w:t>old</w:t>
      </w:r>
      <w:r w:rsidRPr="00C82CC5">
        <w:t>i</w:t>
      </w:r>
      <w:r w:rsidRPr="00C82CC5">
        <w:t>oxidkrav för lätta nyttofordon</w:t>
      </w:r>
    </w:p>
    <w:p w:rsidR="008D30B1" w:rsidRPr="00C82CC5" w:rsidRDefault="008D30B1" w:rsidP="008D30B1">
      <w:pPr>
        <w:pStyle w:val="RKnormal"/>
        <w:rPr>
          <w:i/>
        </w:rPr>
      </w:pPr>
      <w:r w:rsidRPr="00C82CC5">
        <w:rPr>
          <w:i/>
        </w:rPr>
        <w:t>-Policydebatt</w:t>
      </w:r>
    </w:p>
    <w:p w:rsidR="00EA0F30" w:rsidRPr="00C82CC5" w:rsidRDefault="00EA0F30" w:rsidP="00EA0F30">
      <w:pPr>
        <w:pStyle w:val="Rubrik4"/>
      </w:pPr>
      <w:r w:rsidRPr="00C82CC5">
        <w:t>Avsikten med behandlingen vid rådet</w:t>
      </w:r>
    </w:p>
    <w:p w:rsidR="00EA0F30" w:rsidRPr="00C82CC5" w:rsidRDefault="00EA0F30" w:rsidP="00EA0F30">
      <w:pPr>
        <w:pStyle w:val="RKnormal"/>
      </w:pPr>
      <w:r w:rsidRPr="00C82CC5">
        <w:t xml:space="preserve">Vid miljörådsmötet kommer en policydebatt att föras inom ramen för frågor som </w:t>
      </w:r>
      <w:r w:rsidR="001668B5" w:rsidRPr="00C82CC5">
        <w:t>ordförandeskapet</w:t>
      </w:r>
      <w:r w:rsidRPr="00C82CC5">
        <w:t xml:space="preserve"> har pr</w:t>
      </w:r>
      <w:r w:rsidRPr="00C82CC5">
        <w:t>e</w:t>
      </w:r>
      <w:r w:rsidRPr="00C82CC5">
        <w:t xml:space="preserve">senterat. </w:t>
      </w:r>
    </w:p>
    <w:p w:rsidR="00EA0F30" w:rsidRPr="00C82CC5" w:rsidRDefault="00EA0F30" w:rsidP="00EA0F30">
      <w:pPr>
        <w:pStyle w:val="Rubrik4"/>
      </w:pPr>
      <w:r w:rsidRPr="00C82CC5">
        <w:t>Bakgrund</w:t>
      </w:r>
    </w:p>
    <w:p w:rsidR="00EA0F30" w:rsidRPr="00C82CC5" w:rsidRDefault="00EA0F30" w:rsidP="00EA0F30">
      <w:pPr>
        <w:pStyle w:val="RKnormal"/>
      </w:pPr>
      <w:r w:rsidRPr="00C82CC5">
        <w:t>Syftet med förslaget är att minska utsläppen av koldioxid från lätta ny</w:t>
      </w:r>
      <w:r w:rsidRPr="00C82CC5">
        <w:t>t</w:t>
      </w:r>
      <w:r w:rsidRPr="00C82CC5">
        <w:t>tofordon. Minskningen beräknas svara för ungefär två procent av EU:s totala utsläppsminskning till 2020. Förslaget kompletterar den under 2008 antagna förordningen om koldioxidkrav för personbilar.</w:t>
      </w:r>
    </w:p>
    <w:p w:rsidR="00EA0F30" w:rsidRPr="00C82CC5" w:rsidRDefault="00EA0F30" w:rsidP="00EA0F30">
      <w:pPr>
        <w:pStyle w:val="RKnormal"/>
      </w:pPr>
    </w:p>
    <w:p w:rsidR="00EA0F30" w:rsidRPr="00C82CC5" w:rsidRDefault="00EA0F30" w:rsidP="00EA0F30">
      <w:pPr>
        <w:pStyle w:val="RKnormal"/>
      </w:pPr>
      <w:r w:rsidRPr="00C82CC5">
        <w:t xml:space="preserve">Frågorna </w:t>
      </w:r>
      <w:r w:rsidR="001668B5" w:rsidRPr="00C82CC5">
        <w:t>som ordförandeskapet</w:t>
      </w:r>
      <w:r w:rsidRPr="00C82CC5">
        <w:t xml:space="preserve"> har ställt inför miljörådet lyder: </w:t>
      </w:r>
    </w:p>
    <w:p w:rsidR="008D4056" w:rsidRPr="00C82CC5" w:rsidRDefault="008D4056" w:rsidP="008D4056">
      <w:pPr>
        <w:overflowPunct/>
        <w:spacing w:line="240" w:lineRule="auto"/>
        <w:textAlignment w:val="auto"/>
        <w:rPr>
          <w:rFonts w:cs="Helv"/>
          <w:color w:val="000000"/>
          <w:szCs w:val="24"/>
          <w:lang w:eastAsia="sv-SE"/>
        </w:rPr>
      </w:pPr>
      <w:r w:rsidRPr="00C82CC5">
        <w:rPr>
          <w:rFonts w:cs="Helv"/>
          <w:color w:val="000000"/>
          <w:szCs w:val="24"/>
          <w:lang w:eastAsia="sv-SE"/>
        </w:rPr>
        <w:t>1. Accepterar ministrarna att det föreslagna långsiktiga målet på 135 g CO2/km ska uppnås år 2020 och att en översyn ska göras för at</w:t>
      </w:r>
      <w:r w:rsidR="001668B5" w:rsidRPr="00C82CC5">
        <w:rPr>
          <w:rFonts w:cs="Helv"/>
          <w:color w:val="000000"/>
          <w:szCs w:val="24"/>
          <w:lang w:eastAsia="sv-SE"/>
        </w:rPr>
        <w:t>t bekräfta att detta är möjligt?</w:t>
      </w:r>
    </w:p>
    <w:p w:rsidR="008D4056" w:rsidRPr="00C82CC5" w:rsidRDefault="008D4056" w:rsidP="008D4056">
      <w:pPr>
        <w:overflowPunct/>
        <w:spacing w:line="240" w:lineRule="auto"/>
        <w:textAlignment w:val="auto"/>
        <w:rPr>
          <w:rFonts w:cs="Helv"/>
          <w:color w:val="000000"/>
          <w:szCs w:val="24"/>
          <w:lang w:eastAsia="sv-SE"/>
        </w:rPr>
      </w:pPr>
    </w:p>
    <w:p w:rsidR="00EA0F30" w:rsidRPr="00C82CC5" w:rsidRDefault="008D4056" w:rsidP="008D4056">
      <w:pPr>
        <w:pStyle w:val="RKnormal"/>
        <w:rPr>
          <w:szCs w:val="24"/>
        </w:rPr>
      </w:pPr>
      <w:r w:rsidRPr="00C82CC5">
        <w:rPr>
          <w:rFonts w:cs="Helv"/>
          <w:color w:val="000000"/>
          <w:szCs w:val="24"/>
          <w:lang w:eastAsia="sv-SE"/>
        </w:rPr>
        <w:lastRenderedPageBreak/>
        <w:t xml:space="preserve">2. Är förslagets flexibelt nog för att </w:t>
      </w:r>
      <w:r w:rsidR="001668B5" w:rsidRPr="00C82CC5">
        <w:rPr>
          <w:rFonts w:cs="Helv"/>
          <w:color w:val="000000"/>
          <w:szCs w:val="24"/>
          <w:lang w:eastAsia="sv-SE"/>
        </w:rPr>
        <w:t xml:space="preserve">säkerhetställa </w:t>
      </w:r>
      <w:r w:rsidRPr="00C82CC5">
        <w:rPr>
          <w:rFonts w:cs="Helv"/>
          <w:color w:val="000000"/>
          <w:szCs w:val="24"/>
          <w:lang w:eastAsia="sv-SE"/>
        </w:rPr>
        <w:t>balansen mellan behovet att minska CO2-utsläppen och möjligheten att u</w:t>
      </w:r>
      <w:r w:rsidR="001668B5" w:rsidRPr="00C82CC5">
        <w:rPr>
          <w:rFonts w:cs="Helv"/>
          <w:color w:val="000000"/>
          <w:szCs w:val="24"/>
          <w:lang w:eastAsia="sv-SE"/>
        </w:rPr>
        <w:t>ppnå målen med</w:t>
      </w:r>
      <w:r w:rsidRPr="00C82CC5">
        <w:rPr>
          <w:rFonts w:cs="Helv"/>
          <w:color w:val="000000"/>
          <w:szCs w:val="24"/>
          <w:lang w:eastAsia="sv-SE"/>
        </w:rPr>
        <w:t xml:space="preserve"> lagstiftningen? Är vidare vitesnivåerna lämpliga för </w:t>
      </w:r>
      <w:r w:rsidR="001668B5" w:rsidRPr="00C82CC5">
        <w:rPr>
          <w:rFonts w:cs="Helv"/>
          <w:color w:val="000000"/>
          <w:szCs w:val="24"/>
          <w:lang w:eastAsia="sv-SE"/>
        </w:rPr>
        <w:t xml:space="preserve">att </w:t>
      </w:r>
      <w:r w:rsidRPr="00C82CC5">
        <w:rPr>
          <w:rFonts w:cs="Helv"/>
          <w:color w:val="000000"/>
          <w:szCs w:val="24"/>
          <w:lang w:eastAsia="sv-SE"/>
        </w:rPr>
        <w:t>säkerställa  syftet med förordningen?</w:t>
      </w:r>
    </w:p>
    <w:p w:rsidR="00EA0F30" w:rsidRPr="00C82CC5" w:rsidRDefault="00EA0F30" w:rsidP="00EA0F30">
      <w:pPr>
        <w:pStyle w:val="Rubrik4"/>
      </w:pPr>
      <w:r w:rsidRPr="00C82CC5">
        <w:t>Förslag till svensk ståndpunkt</w:t>
      </w:r>
    </w:p>
    <w:p w:rsidR="00EA0F30" w:rsidRPr="00C82CC5" w:rsidRDefault="00EA0F30" w:rsidP="00EA0F30">
      <w:pPr>
        <w:pStyle w:val="RKnormal"/>
      </w:pPr>
      <w:r w:rsidRPr="00C82CC5">
        <w:t>Den övergripande svenska ståndpunkten är att kraven på lätta nyttofo</w:t>
      </w:r>
      <w:r w:rsidRPr="00C82CC5">
        <w:t>r</w:t>
      </w:r>
      <w:r w:rsidRPr="00C82CC5">
        <w:t>don bör vara på samma tekniska och ekonomiska nivå som de motsv</w:t>
      </w:r>
      <w:r w:rsidRPr="00C82CC5">
        <w:t>a</w:t>
      </w:r>
      <w:r w:rsidRPr="00C82CC5">
        <w:t>rande kraven för personbilar.</w:t>
      </w:r>
    </w:p>
    <w:p w:rsidR="00EA0F30" w:rsidRPr="00C82CC5" w:rsidRDefault="00EA0F30" w:rsidP="00EA0F30">
      <w:pPr>
        <w:pStyle w:val="RKnormal"/>
      </w:pPr>
    </w:p>
    <w:p w:rsidR="00EA0F30" w:rsidRPr="00C82CC5" w:rsidRDefault="00EA0F30" w:rsidP="00EA0F30">
      <w:pPr>
        <w:pStyle w:val="RKnormal"/>
      </w:pPr>
      <w:r w:rsidRPr="00C82CC5">
        <w:t>Sverige stödjer såväl förslaget att det genomsnittliga målet på 175 g ko</w:t>
      </w:r>
      <w:r w:rsidRPr="00C82CC5">
        <w:t>l</w:t>
      </w:r>
      <w:r w:rsidRPr="00C82CC5">
        <w:t>dioxid per kilometer ska nås med hjälp av en gränsvärdeskurva som i dagsläget är en funktion av bilens vikt som förslaget med en sanktion</w:t>
      </w:r>
      <w:r w:rsidRPr="00C82CC5">
        <w:t>s</w:t>
      </w:r>
      <w:r w:rsidRPr="00C82CC5">
        <w:t>avgift för biltillverk</w:t>
      </w:r>
      <w:r w:rsidRPr="00C82CC5">
        <w:t>a</w:t>
      </w:r>
      <w:r w:rsidRPr="00C82CC5">
        <w:t>re som överskrider sina specifika utsläppsmål, men verkar för att både utsläppskravet och sanktionsavgiften bör tillämpas utan i</w:t>
      </w:r>
      <w:r w:rsidRPr="00C82CC5">
        <w:t>n</w:t>
      </w:r>
      <w:r w:rsidRPr="00C82CC5">
        <w:t xml:space="preserve">fasning. Sverige anser därmed att flexibiliteten borde vara mindre i förslaget för att möjliggöra tidigare utsläppsminskningar. </w:t>
      </w:r>
    </w:p>
    <w:p w:rsidR="00EA0F30" w:rsidRPr="00C82CC5" w:rsidRDefault="00EA0F30" w:rsidP="00EA0F30">
      <w:pPr>
        <w:pStyle w:val="RKnormal"/>
      </w:pPr>
    </w:p>
    <w:p w:rsidR="00EA0F30" w:rsidRPr="00C82CC5" w:rsidRDefault="00EA0F30" w:rsidP="00EA0F30">
      <w:pPr>
        <w:pStyle w:val="RKnormal"/>
      </w:pPr>
      <w:r w:rsidRPr="00C82CC5">
        <w:t>Sverige stödjer även det föresl</w:t>
      </w:r>
      <w:r w:rsidR="007F474F" w:rsidRPr="00C82CC5">
        <w:t>agna långsiktiga målet</w:t>
      </w:r>
      <w:r w:rsidRPr="00C82CC5">
        <w:t xml:space="preserve"> om 135 g koldio</w:t>
      </w:r>
      <w:r w:rsidRPr="00C82CC5">
        <w:t>x</w:t>
      </w:r>
      <w:r w:rsidRPr="00C82CC5">
        <w:t xml:space="preserve">id/km till 2020. </w:t>
      </w:r>
    </w:p>
    <w:p w:rsidR="00EA0F30" w:rsidRPr="00C82CC5" w:rsidRDefault="00EA0F30" w:rsidP="00EA0F30">
      <w:pPr>
        <w:pStyle w:val="RKnormal"/>
      </w:pPr>
    </w:p>
    <w:p w:rsidR="00EA0F30" w:rsidRPr="00C82CC5" w:rsidRDefault="00EA0F30">
      <w:pPr>
        <w:pStyle w:val="RKnormal"/>
      </w:pPr>
      <w:r w:rsidRPr="00C82CC5">
        <w:t>Därtill driver Sverige på för att möjligheten att ge en viss bonus för lö</w:t>
      </w:r>
      <w:r w:rsidRPr="00C82CC5">
        <w:t>s</w:t>
      </w:r>
      <w:r w:rsidRPr="00C82CC5">
        <w:t>ningar som gynnar a</w:t>
      </w:r>
      <w:r w:rsidRPr="00C82CC5">
        <w:t>n</w:t>
      </w:r>
      <w:r w:rsidRPr="00C82CC5">
        <w:t>vändningen av biobränslen bör finnas.</w:t>
      </w:r>
    </w:p>
    <w:p w:rsidR="0077728B" w:rsidRPr="00C82CC5" w:rsidRDefault="0077728B">
      <w:pPr>
        <w:pStyle w:val="RKnormal"/>
      </w:pPr>
    </w:p>
    <w:p w:rsidR="0077728B" w:rsidRPr="00C82CC5" w:rsidRDefault="0077728B">
      <w:pPr>
        <w:pStyle w:val="RKnormal"/>
        <w:rPr>
          <w:i/>
        </w:rPr>
      </w:pPr>
      <w:r w:rsidRPr="00C82CC5">
        <w:rPr>
          <w:i/>
        </w:rPr>
        <w:t xml:space="preserve">Förslaget har tidigare </w:t>
      </w:r>
      <w:r w:rsidR="007F474F" w:rsidRPr="00C82CC5">
        <w:rPr>
          <w:i/>
        </w:rPr>
        <w:t xml:space="preserve">behandlats </w:t>
      </w:r>
      <w:r w:rsidRPr="00C82CC5">
        <w:rPr>
          <w:i/>
        </w:rPr>
        <w:t>i EU-nämnden</w:t>
      </w:r>
      <w:r w:rsidR="00B431D8" w:rsidRPr="00C82CC5">
        <w:rPr>
          <w:i/>
        </w:rPr>
        <w:t xml:space="preserve"> den</w:t>
      </w:r>
      <w:r w:rsidR="00B710F9" w:rsidRPr="00C82CC5">
        <w:rPr>
          <w:i/>
        </w:rPr>
        <w:t xml:space="preserve"> </w:t>
      </w:r>
      <w:r w:rsidR="00B431D8" w:rsidRPr="00C82CC5">
        <w:rPr>
          <w:i/>
        </w:rPr>
        <w:t>18 december 2009</w:t>
      </w:r>
      <w:r w:rsidRPr="00C82CC5">
        <w:rPr>
          <w:i/>
        </w:rPr>
        <w:t xml:space="preserve">. </w:t>
      </w:r>
    </w:p>
    <w:p w:rsidR="008D30B1" w:rsidRPr="00C82CC5" w:rsidRDefault="008D30B1">
      <w:pPr>
        <w:pStyle w:val="RKnormal"/>
      </w:pPr>
    </w:p>
    <w:p w:rsidR="008D30B1" w:rsidRPr="00C82CC5" w:rsidRDefault="008D30B1">
      <w:pPr>
        <w:pStyle w:val="RKnormal"/>
        <w:rPr>
          <w:i/>
        </w:rPr>
      </w:pPr>
      <w:r w:rsidRPr="00C82CC5">
        <w:rPr>
          <w:i/>
        </w:rPr>
        <w:t>Se vidare bilaga 1.</w:t>
      </w:r>
    </w:p>
    <w:p w:rsidR="008D30B1" w:rsidRPr="00C82CC5" w:rsidRDefault="008D30B1">
      <w:pPr>
        <w:pStyle w:val="RKnormal"/>
        <w:rPr>
          <w:i/>
        </w:rPr>
      </w:pPr>
    </w:p>
    <w:p w:rsidR="00EA0F30" w:rsidRPr="00C82CC5" w:rsidRDefault="00EA0F30">
      <w:pPr>
        <w:pStyle w:val="RKrubrik"/>
      </w:pPr>
      <w:r w:rsidRPr="00C82CC5">
        <w:t>4.</w:t>
      </w:r>
      <w:r w:rsidRPr="00C82CC5">
        <w:tab/>
      </w:r>
      <w:r w:rsidR="008D30B1" w:rsidRPr="00C82CC5">
        <w:t>Förslag till Europaparlamentets och rådets direktiv om inrättande av rambestämmelser för markskydd och om ändring av direktiv 2004/35/EG</w:t>
      </w:r>
    </w:p>
    <w:p w:rsidR="007249F1" w:rsidRPr="00C82CC5" w:rsidRDefault="008D30B1" w:rsidP="007249F1">
      <w:pPr>
        <w:pStyle w:val="RKnormal"/>
        <w:rPr>
          <w:i/>
        </w:rPr>
      </w:pPr>
      <w:r w:rsidRPr="00C82CC5">
        <w:rPr>
          <w:i/>
        </w:rPr>
        <w:t>- Lägesrapport</w:t>
      </w:r>
    </w:p>
    <w:p w:rsidR="00705F03" w:rsidRPr="00C82CC5" w:rsidRDefault="00705F03" w:rsidP="00705F03">
      <w:pPr>
        <w:pStyle w:val="Rubrik4"/>
        <w:rPr>
          <w:sz w:val="24"/>
          <w:szCs w:val="24"/>
        </w:rPr>
      </w:pPr>
      <w:r w:rsidRPr="00C82CC5">
        <w:rPr>
          <w:sz w:val="24"/>
          <w:szCs w:val="24"/>
        </w:rPr>
        <w:t>Avsikten med behandlingen vid rådet</w:t>
      </w:r>
    </w:p>
    <w:p w:rsidR="00705F03" w:rsidRPr="00C82CC5" w:rsidRDefault="00705F03" w:rsidP="007249F1">
      <w:pPr>
        <w:pStyle w:val="RKnormal"/>
      </w:pPr>
    </w:p>
    <w:p w:rsidR="007249F1" w:rsidRPr="00C82CC5" w:rsidRDefault="007249F1" w:rsidP="007249F1">
      <w:pPr>
        <w:pStyle w:val="RKnormal"/>
      </w:pPr>
      <w:r w:rsidRPr="00C82CC5">
        <w:t xml:space="preserve">Vid miljörådsmötet </w:t>
      </w:r>
      <w:r w:rsidR="007F474F" w:rsidRPr="00C82CC5">
        <w:t>kommer ordförandeskapet</w:t>
      </w:r>
      <w:r w:rsidRPr="00C82CC5">
        <w:t xml:space="preserve"> att lämna en lägesrapport om förslaget om markskydd. </w:t>
      </w:r>
    </w:p>
    <w:p w:rsidR="007249F1" w:rsidRPr="00C82CC5" w:rsidRDefault="007249F1" w:rsidP="007249F1">
      <w:pPr>
        <w:pStyle w:val="RKnormal"/>
        <w:rPr>
          <w:szCs w:val="24"/>
        </w:rPr>
      </w:pPr>
    </w:p>
    <w:p w:rsidR="007249F1" w:rsidRPr="00C82CC5" w:rsidRDefault="00705F03" w:rsidP="008D30B1">
      <w:pPr>
        <w:pStyle w:val="RKnormal"/>
        <w:rPr>
          <w:b/>
          <w:i/>
          <w:szCs w:val="24"/>
        </w:rPr>
      </w:pPr>
      <w:r w:rsidRPr="00C82CC5">
        <w:rPr>
          <w:b/>
          <w:i/>
          <w:szCs w:val="24"/>
        </w:rPr>
        <w:t>Bakgrund</w:t>
      </w:r>
    </w:p>
    <w:p w:rsidR="00705F03" w:rsidRPr="00C82CC5" w:rsidRDefault="00705F03" w:rsidP="00705F03">
      <w:pPr>
        <w:tabs>
          <w:tab w:val="left" w:pos="2835"/>
        </w:tabs>
        <w:overflowPunct/>
        <w:spacing w:line="240" w:lineRule="auto"/>
        <w:textAlignment w:val="auto"/>
        <w:rPr>
          <w:rFonts w:cs="Helv"/>
          <w:color w:val="000000"/>
          <w:szCs w:val="24"/>
          <w:lang w:eastAsia="sv-SE"/>
        </w:rPr>
      </w:pPr>
      <w:r w:rsidRPr="00C82CC5">
        <w:rPr>
          <w:rFonts w:cs="Helv"/>
          <w:color w:val="000000"/>
          <w:szCs w:val="24"/>
          <w:lang w:eastAsia="sv-SE"/>
        </w:rPr>
        <w:t>Kommissionen förslag till markskyddsdirektiv presenterades 2006. Trots int</w:t>
      </w:r>
      <w:r w:rsidR="007F474F" w:rsidRPr="00C82CC5">
        <w:rPr>
          <w:rFonts w:cs="Helv"/>
          <w:color w:val="000000"/>
          <w:szCs w:val="24"/>
          <w:lang w:eastAsia="sv-SE"/>
        </w:rPr>
        <w:t xml:space="preserve">ensiva förhandlingar kunde </w:t>
      </w:r>
      <w:r w:rsidRPr="00C82CC5">
        <w:rPr>
          <w:rFonts w:cs="Helv"/>
          <w:color w:val="000000"/>
          <w:szCs w:val="24"/>
          <w:lang w:eastAsia="sv-SE"/>
        </w:rPr>
        <w:t xml:space="preserve">en politisk överenskommelse </w:t>
      </w:r>
      <w:r w:rsidR="007F474F" w:rsidRPr="00C82CC5">
        <w:rPr>
          <w:rFonts w:cs="Helv"/>
          <w:color w:val="000000"/>
          <w:szCs w:val="24"/>
          <w:lang w:eastAsia="sv-SE"/>
        </w:rPr>
        <w:t xml:space="preserve">inte </w:t>
      </w:r>
      <w:r w:rsidRPr="00C82CC5">
        <w:rPr>
          <w:rFonts w:cs="Helv"/>
          <w:color w:val="000000"/>
          <w:szCs w:val="24"/>
          <w:lang w:eastAsia="sv-SE"/>
        </w:rPr>
        <w:t xml:space="preserve">nås under det portugisiska ordförandeskapet </w:t>
      </w:r>
      <w:r w:rsidR="007F474F" w:rsidRPr="00C82CC5">
        <w:rPr>
          <w:rFonts w:cs="Helv"/>
          <w:color w:val="000000"/>
          <w:szCs w:val="24"/>
          <w:lang w:eastAsia="sv-SE"/>
        </w:rPr>
        <w:t xml:space="preserve">i </w:t>
      </w:r>
      <w:r w:rsidRPr="00C82CC5">
        <w:rPr>
          <w:rFonts w:cs="Helv"/>
          <w:color w:val="000000"/>
          <w:szCs w:val="24"/>
          <w:lang w:eastAsia="sv-SE"/>
        </w:rPr>
        <w:t>december 2007. Tjeckien gjorde stora ansträngningar under våren 2009, men den blocker</w:t>
      </w:r>
      <w:r w:rsidR="007F474F" w:rsidRPr="00C82CC5">
        <w:rPr>
          <w:rFonts w:cs="Helv"/>
          <w:color w:val="000000"/>
          <w:szCs w:val="24"/>
          <w:lang w:eastAsia="sv-SE"/>
        </w:rPr>
        <w:t>ande minoriteten kvarstod och ordförandeskapet</w:t>
      </w:r>
      <w:r w:rsidRPr="00C82CC5">
        <w:rPr>
          <w:rFonts w:cs="Helv"/>
          <w:color w:val="000000"/>
          <w:szCs w:val="24"/>
          <w:lang w:eastAsia="sv-SE"/>
        </w:rPr>
        <w:t xml:space="preserve"> presenterade en lägesrapport vid rådsmötet </w:t>
      </w:r>
      <w:r w:rsidR="007F474F" w:rsidRPr="00C82CC5">
        <w:rPr>
          <w:rFonts w:cs="Helv"/>
          <w:color w:val="000000"/>
          <w:szCs w:val="24"/>
          <w:lang w:eastAsia="sv-SE"/>
        </w:rPr>
        <w:t xml:space="preserve">den </w:t>
      </w:r>
      <w:r w:rsidRPr="00C82CC5">
        <w:rPr>
          <w:rFonts w:cs="Helv"/>
          <w:color w:val="000000"/>
          <w:szCs w:val="24"/>
          <w:lang w:eastAsia="sv-SE"/>
        </w:rPr>
        <w:t xml:space="preserve">25 juni 2009.  </w:t>
      </w:r>
    </w:p>
    <w:p w:rsidR="00705F03" w:rsidRPr="00C82CC5" w:rsidRDefault="00705F03" w:rsidP="00705F03">
      <w:pPr>
        <w:tabs>
          <w:tab w:val="left" w:pos="2835"/>
        </w:tabs>
        <w:overflowPunct/>
        <w:spacing w:line="240" w:lineRule="auto"/>
        <w:textAlignment w:val="auto"/>
        <w:rPr>
          <w:rFonts w:cs="Helv"/>
          <w:color w:val="000000"/>
          <w:szCs w:val="24"/>
          <w:lang w:eastAsia="sv-SE"/>
        </w:rPr>
      </w:pPr>
    </w:p>
    <w:p w:rsidR="00705F03" w:rsidRPr="00C82CC5" w:rsidRDefault="00705F03" w:rsidP="00705F03">
      <w:pPr>
        <w:tabs>
          <w:tab w:val="left" w:pos="2835"/>
        </w:tabs>
        <w:overflowPunct/>
        <w:spacing w:line="240" w:lineRule="auto"/>
        <w:textAlignment w:val="auto"/>
        <w:rPr>
          <w:rFonts w:cs="Helv"/>
          <w:color w:val="000000"/>
          <w:szCs w:val="24"/>
          <w:lang w:eastAsia="sv-SE"/>
        </w:rPr>
      </w:pPr>
      <w:r w:rsidRPr="00C82CC5">
        <w:rPr>
          <w:rFonts w:cs="Helv"/>
          <w:color w:val="000000"/>
          <w:szCs w:val="24"/>
          <w:lang w:eastAsia="sv-SE"/>
        </w:rPr>
        <w:t>Några medlemsländer avvisar ett direktiv och förespråkar nationell reglering kombinerat eventuellt med en strategi på gemenskapsnivå. Även andra</w:t>
      </w:r>
      <w:r w:rsidR="007F474F" w:rsidRPr="00C82CC5">
        <w:rPr>
          <w:rFonts w:cs="Helv"/>
          <w:color w:val="000000"/>
          <w:szCs w:val="24"/>
          <w:lang w:eastAsia="sv-SE"/>
        </w:rPr>
        <w:t xml:space="preserve"> medlemsländer</w:t>
      </w:r>
      <w:r w:rsidRPr="00C82CC5">
        <w:rPr>
          <w:rFonts w:cs="Helv"/>
          <w:color w:val="000000"/>
          <w:szCs w:val="24"/>
          <w:lang w:eastAsia="sv-SE"/>
        </w:rPr>
        <w:t xml:space="preserve"> har problem med förslaget. Samtidigt finns en rad medlemsländer som har en stark önskan om gemenskapslagstiftning med högre grad av harmonisering.  Kommissionen förordar också en sådan ansats och har därför haft svårt att acceptera a</w:t>
      </w:r>
      <w:r w:rsidR="007F474F" w:rsidRPr="00C82CC5">
        <w:rPr>
          <w:rFonts w:cs="Helv"/>
          <w:color w:val="000000"/>
          <w:szCs w:val="24"/>
          <w:lang w:eastAsia="sv-SE"/>
        </w:rPr>
        <w:t xml:space="preserve">tt medlemsländerna ges större </w:t>
      </w:r>
      <w:r w:rsidRPr="00C82CC5">
        <w:rPr>
          <w:rFonts w:cs="Helv"/>
          <w:color w:val="000000"/>
          <w:szCs w:val="24"/>
          <w:lang w:eastAsia="sv-SE"/>
        </w:rPr>
        <w:t xml:space="preserve">flexibilitet. </w:t>
      </w:r>
    </w:p>
    <w:p w:rsidR="00705F03" w:rsidRPr="00C82CC5" w:rsidRDefault="00705F03" w:rsidP="00705F03">
      <w:pPr>
        <w:tabs>
          <w:tab w:val="left" w:pos="2835"/>
        </w:tabs>
        <w:overflowPunct/>
        <w:spacing w:line="240" w:lineRule="auto"/>
        <w:textAlignment w:val="auto"/>
        <w:rPr>
          <w:rFonts w:cs="Helv"/>
          <w:color w:val="000000"/>
          <w:szCs w:val="24"/>
          <w:lang w:eastAsia="sv-SE"/>
        </w:rPr>
      </w:pPr>
    </w:p>
    <w:p w:rsidR="00705F03" w:rsidRPr="00C82CC5" w:rsidRDefault="00705F03" w:rsidP="00705F03">
      <w:pPr>
        <w:tabs>
          <w:tab w:val="left" w:pos="2835"/>
        </w:tabs>
        <w:overflowPunct/>
        <w:spacing w:line="240" w:lineRule="auto"/>
        <w:textAlignment w:val="auto"/>
        <w:rPr>
          <w:rFonts w:cs="Helv"/>
          <w:color w:val="000000"/>
          <w:szCs w:val="24"/>
          <w:lang w:eastAsia="sv-SE"/>
        </w:rPr>
      </w:pPr>
      <w:r w:rsidRPr="00C82CC5">
        <w:rPr>
          <w:rFonts w:cs="Helv"/>
          <w:color w:val="000000"/>
          <w:szCs w:val="24"/>
          <w:lang w:eastAsia="sv-SE"/>
        </w:rPr>
        <w:t>Det svenska ordförandeskapet tog inte upp frågan efter bedömningen att det behöv</w:t>
      </w:r>
      <w:r w:rsidR="007F474F" w:rsidRPr="00C82CC5">
        <w:rPr>
          <w:rFonts w:cs="Helv"/>
          <w:color w:val="000000"/>
          <w:szCs w:val="24"/>
          <w:lang w:eastAsia="sv-SE"/>
        </w:rPr>
        <w:t>de</w:t>
      </w:r>
      <w:r w:rsidRPr="00C82CC5">
        <w:rPr>
          <w:rFonts w:cs="Helv"/>
          <w:color w:val="000000"/>
          <w:szCs w:val="24"/>
          <w:lang w:eastAsia="sv-SE"/>
        </w:rPr>
        <w:t>s tid för att reflektera över hur man lämpligast bör hantera markskyddsfrågorna.</w:t>
      </w:r>
    </w:p>
    <w:p w:rsidR="00705F03" w:rsidRPr="00C82CC5" w:rsidRDefault="00705F03" w:rsidP="00705F03">
      <w:pPr>
        <w:tabs>
          <w:tab w:val="left" w:pos="2835"/>
        </w:tabs>
        <w:overflowPunct/>
        <w:spacing w:line="240" w:lineRule="auto"/>
        <w:textAlignment w:val="auto"/>
        <w:rPr>
          <w:rFonts w:cs="Helv"/>
          <w:color w:val="000000"/>
          <w:szCs w:val="24"/>
          <w:lang w:eastAsia="sv-SE"/>
        </w:rPr>
      </w:pPr>
    </w:p>
    <w:p w:rsidR="00705F03" w:rsidRPr="00C82CC5" w:rsidRDefault="00705F03" w:rsidP="00705F03">
      <w:pPr>
        <w:pStyle w:val="RKnormal"/>
        <w:rPr>
          <w:rFonts w:cs="Helv"/>
          <w:color w:val="000000"/>
          <w:szCs w:val="24"/>
          <w:lang w:eastAsia="sv-SE"/>
        </w:rPr>
      </w:pPr>
      <w:r w:rsidRPr="00C82CC5">
        <w:rPr>
          <w:rFonts w:cs="Helv"/>
          <w:color w:val="000000"/>
          <w:szCs w:val="24"/>
          <w:lang w:eastAsia="sv-SE"/>
        </w:rPr>
        <w:t xml:space="preserve">Det spanska ordförandeskapet har åter tagit upp förhandlingarna och då utgått från den text som </w:t>
      </w:r>
      <w:r w:rsidR="007F474F" w:rsidRPr="00C82CC5">
        <w:rPr>
          <w:rFonts w:cs="Helv"/>
          <w:color w:val="000000"/>
          <w:szCs w:val="24"/>
          <w:lang w:eastAsia="sv-SE"/>
        </w:rPr>
        <w:t xml:space="preserve">det </w:t>
      </w:r>
      <w:r w:rsidRPr="00C82CC5">
        <w:rPr>
          <w:rFonts w:cs="Helv"/>
          <w:color w:val="000000"/>
          <w:szCs w:val="24"/>
          <w:lang w:eastAsia="sv-SE"/>
        </w:rPr>
        <w:t>portugisiska ordförandeskapet lade fram i december 2007. Den blockerande minoriteten kvarstår dock och de väljer därför att lämna en lägesrapport.</w:t>
      </w:r>
      <w:r w:rsidR="009D1812" w:rsidRPr="00C82CC5">
        <w:rPr>
          <w:rFonts w:cs="Helv"/>
          <w:color w:val="000000"/>
          <w:szCs w:val="24"/>
          <w:lang w:eastAsia="sv-SE"/>
        </w:rPr>
        <w:t xml:space="preserve"> </w:t>
      </w:r>
    </w:p>
    <w:p w:rsidR="009D1812" w:rsidRPr="00C82CC5" w:rsidRDefault="009D1812" w:rsidP="00705F03">
      <w:pPr>
        <w:pStyle w:val="RKnormal"/>
        <w:rPr>
          <w:rFonts w:cs="Helv"/>
          <w:color w:val="000000"/>
          <w:szCs w:val="24"/>
          <w:lang w:eastAsia="sv-SE"/>
        </w:rPr>
      </w:pPr>
    </w:p>
    <w:p w:rsidR="009D1812" w:rsidRPr="00C82CC5" w:rsidRDefault="009D1812" w:rsidP="00705F03">
      <w:pPr>
        <w:pStyle w:val="RKnormal"/>
        <w:rPr>
          <w:szCs w:val="24"/>
        </w:rPr>
      </w:pPr>
      <w:r w:rsidRPr="00C82CC5">
        <w:rPr>
          <w:rFonts w:cs="OrigGarmnd BT"/>
          <w:szCs w:val="24"/>
          <w:lang w:eastAsia="sv-SE"/>
        </w:rPr>
        <w:t>Europas mark behöver ett hållbart skydd. I ljuset av det låsta förhandlingsläget och behovet av ett europeiskt markskydd är Sverige positivt till att även undersöka andra sätt att hantera frågan än genom ett direktiv.</w:t>
      </w:r>
    </w:p>
    <w:p w:rsidR="007249F1" w:rsidRPr="00C82CC5" w:rsidRDefault="007249F1" w:rsidP="008D30B1">
      <w:pPr>
        <w:pStyle w:val="RKnormal"/>
      </w:pPr>
    </w:p>
    <w:p w:rsidR="007249F1" w:rsidRPr="00C82CC5" w:rsidRDefault="007249F1" w:rsidP="007249F1">
      <w:pPr>
        <w:spacing w:line="240" w:lineRule="auto"/>
        <w:rPr>
          <w:i/>
        </w:rPr>
      </w:pPr>
      <w:r w:rsidRPr="00C82CC5">
        <w:rPr>
          <w:i/>
        </w:rPr>
        <w:t xml:space="preserve">Frågan har tidigare behandlats i EU-nämnden  (bla </w:t>
      </w:r>
      <w:r w:rsidR="007F474F" w:rsidRPr="00C82CC5">
        <w:rPr>
          <w:i/>
        </w:rPr>
        <w:t xml:space="preserve">i </w:t>
      </w:r>
      <w:r w:rsidRPr="00C82CC5">
        <w:rPr>
          <w:i/>
        </w:rPr>
        <w:t>dec</w:t>
      </w:r>
      <w:r w:rsidR="007F474F" w:rsidRPr="00C82CC5">
        <w:rPr>
          <w:i/>
        </w:rPr>
        <w:t xml:space="preserve">ember </w:t>
      </w:r>
      <w:r w:rsidRPr="00C82CC5">
        <w:rPr>
          <w:i/>
        </w:rPr>
        <w:t xml:space="preserve"> 2007)</w:t>
      </w:r>
    </w:p>
    <w:p w:rsidR="008D30B1" w:rsidRPr="00C82CC5" w:rsidRDefault="008D30B1" w:rsidP="008D30B1">
      <w:pPr>
        <w:pStyle w:val="RKnormal"/>
      </w:pPr>
    </w:p>
    <w:p w:rsidR="008D30B1" w:rsidRPr="00C82CC5" w:rsidRDefault="007249F1" w:rsidP="007249F1">
      <w:pPr>
        <w:pStyle w:val="RKrubrik"/>
      </w:pPr>
      <w:r w:rsidRPr="00C82CC5">
        <w:t xml:space="preserve">5. </w:t>
      </w:r>
      <w:r w:rsidRPr="00C82CC5">
        <w:tab/>
        <w:t>A-punkter</w:t>
      </w:r>
    </w:p>
    <w:p w:rsidR="007249F1" w:rsidRPr="00C82CC5" w:rsidRDefault="00F13C43" w:rsidP="007249F1">
      <w:pPr>
        <w:pStyle w:val="RKnormal"/>
      </w:pPr>
      <w:r w:rsidRPr="00C82CC5">
        <w:t>A-punktslistan är ännu ej känd.</w:t>
      </w:r>
    </w:p>
    <w:p w:rsidR="007249F1" w:rsidRPr="00C82CC5" w:rsidRDefault="007249F1" w:rsidP="007249F1">
      <w:pPr>
        <w:pStyle w:val="RKrubrik"/>
      </w:pPr>
      <w:r w:rsidRPr="00C82CC5">
        <w:t xml:space="preserve">6. </w:t>
      </w:r>
      <w:r w:rsidRPr="00C82CC5">
        <w:tab/>
        <w:t>Klimatförändringar: Uppföljning av Köpenhamnskonferensen (7-19 december 2009)</w:t>
      </w:r>
    </w:p>
    <w:p w:rsidR="007249F1" w:rsidRPr="00C82CC5" w:rsidRDefault="007249F1" w:rsidP="007249F1">
      <w:pPr>
        <w:pStyle w:val="RKnormal"/>
        <w:rPr>
          <w:i/>
        </w:rPr>
      </w:pPr>
      <w:r w:rsidRPr="00C82CC5">
        <w:rPr>
          <w:i/>
        </w:rPr>
        <w:t>- Antagande av rådsslutsatser</w:t>
      </w:r>
    </w:p>
    <w:p w:rsidR="007249F1" w:rsidRPr="00C82CC5" w:rsidRDefault="007249F1" w:rsidP="007249F1">
      <w:pPr>
        <w:pStyle w:val="Rubrik4"/>
      </w:pPr>
      <w:r w:rsidRPr="00C82CC5">
        <w:t>Avsikten med behandlingen vid rådet</w:t>
      </w:r>
    </w:p>
    <w:p w:rsidR="007249F1" w:rsidRPr="00C82CC5" w:rsidRDefault="007249F1" w:rsidP="007249F1">
      <w:pPr>
        <w:pStyle w:val="RKnormal"/>
      </w:pPr>
      <w:r w:rsidRPr="00C82CC5">
        <w:t xml:space="preserve">Vid rådsmötet ska rådsslutsatser antas. </w:t>
      </w:r>
    </w:p>
    <w:p w:rsidR="007249F1" w:rsidRPr="00C82CC5" w:rsidRDefault="007249F1" w:rsidP="007249F1">
      <w:pPr>
        <w:pStyle w:val="RKnormal"/>
      </w:pPr>
    </w:p>
    <w:p w:rsidR="007249F1" w:rsidRPr="00C82CC5" w:rsidRDefault="007249F1" w:rsidP="007249F1">
      <w:pPr>
        <w:pStyle w:val="RKnormal"/>
      </w:pPr>
      <w:r w:rsidRPr="00C82CC5">
        <w:t>Rådsslutsatserna utvärderar utfallet av Köpenhamnsmötet men fokus ligger på vägen framåt, mot COP 16 i Mexico, och på att omedelbart inleda genomförandet av Copenhagen Accord. Rådsslutsatserna bekräftar vidare EU:s position i en rad viktiga frågor och inbjuder till dialog med andra konstruktiva parter.</w:t>
      </w:r>
      <w:r w:rsidR="005868DC" w:rsidRPr="00C82CC5">
        <w:t xml:space="preserve"> </w:t>
      </w:r>
    </w:p>
    <w:p w:rsidR="007249F1" w:rsidRPr="00C82CC5" w:rsidRDefault="007249F1" w:rsidP="007249F1">
      <w:pPr>
        <w:pStyle w:val="RKnormal"/>
      </w:pPr>
    </w:p>
    <w:p w:rsidR="007249F1" w:rsidRPr="00C82CC5" w:rsidRDefault="007249F1" w:rsidP="007249F1">
      <w:pPr>
        <w:pStyle w:val="RKnormal"/>
      </w:pPr>
      <w:r w:rsidRPr="00C82CC5">
        <w:t xml:space="preserve">Rådsslutsatserna har inte tidigare behandlats i EU-nämnden. </w:t>
      </w:r>
    </w:p>
    <w:p w:rsidR="007249F1" w:rsidRPr="00C82CC5" w:rsidRDefault="007249F1" w:rsidP="007249F1">
      <w:pPr>
        <w:pStyle w:val="RKnormal"/>
      </w:pPr>
    </w:p>
    <w:p w:rsidR="007249F1" w:rsidRPr="00C82CC5" w:rsidRDefault="007249F1" w:rsidP="007249F1">
      <w:pPr>
        <w:pStyle w:val="RKnormal"/>
        <w:rPr>
          <w:i/>
        </w:rPr>
      </w:pPr>
      <w:r w:rsidRPr="00C82CC5">
        <w:rPr>
          <w:i/>
        </w:rPr>
        <w:t xml:space="preserve">Se vidare bilaga 2. </w:t>
      </w:r>
    </w:p>
    <w:p w:rsidR="007249F1" w:rsidRPr="00C82CC5" w:rsidRDefault="007249F1" w:rsidP="007249F1">
      <w:pPr>
        <w:pStyle w:val="RKnormal"/>
        <w:rPr>
          <w:i/>
        </w:rPr>
      </w:pPr>
    </w:p>
    <w:p w:rsidR="007249F1" w:rsidRPr="00C82CC5" w:rsidRDefault="007249F1" w:rsidP="007249F1">
      <w:pPr>
        <w:pStyle w:val="RKrubrik"/>
      </w:pPr>
      <w:r w:rsidRPr="00C82CC5">
        <w:t xml:space="preserve">7. </w:t>
      </w:r>
      <w:r w:rsidRPr="00C82CC5">
        <w:tab/>
        <w:t>Biologisk</w:t>
      </w:r>
      <w:r w:rsidR="001C07BB" w:rsidRPr="00C82CC5">
        <w:t xml:space="preserve"> </w:t>
      </w:r>
      <w:r w:rsidRPr="00C82CC5">
        <w:t xml:space="preserve">mångfald: Efter 2010. </w:t>
      </w:r>
    </w:p>
    <w:p w:rsidR="006C422C" w:rsidRPr="00C82CC5" w:rsidRDefault="006C422C" w:rsidP="006C422C">
      <w:pPr>
        <w:pStyle w:val="RKnormal"/>
        <w:rPr>
          <w:i/>
        </w:rPr>
      </w:pPr>
      <w:r w:rsidRPr="00C82CC5">
        <w:rPr>
          <w:i/>
        </w:rPr>
        <w:t>- Antagande av rådsslutsatser</w:t>
      </w:r>
    </w:p>
    <w:p w:rsidR="006C422C" w:rsidRPr="00C82CC5" w:rsidRDefault="006C422C" w:rsidP="006C422C">
      <w:pPr>
        <w:pStyle w:val="Rubrik4"/>
      </w:pPr>
      <w:r w:rsidRPr="00C82CC5">
        <w:t>Avsikten med behandlingen vid rådet</w:t>
      </w:r>
    </w:p>
    <w:p w:rsidR="006C422C" w:rsidRPr="00C82CC5" w:rsidRDefault="006C422C" w:rsidP="006C422C">
      <w:pPr>
        <w:pStyle w:val="RKnormal"/>
      </w:pPr>
      <w:r w:rsidRPr="00C82CC5">
        <w:t xml:space="preserve">Vid rådsmötet ska rådsslutsatser antas. </w:t>
      </w:r>
    </w:p>
    <w:p w:rsidR="006C422C" w:rsidRPr="00C82CC5" w:rsidRDefault="006C422C" w:rsidP="006C422C">
      <w:pPr>
        <w:pStyle w:val="RKnormal"/>
      </w:pPr>
    </w:p>
    <w:p w:rsidR="006C422C" w:rsidRPr="00C82CC5" w:rsidRDefault="006C422C" w:rsidP="006C422C">
      <w:pPr>
        <w:pStyle w:val="RKnormal"/>
        <w:rPr>
          <w:b/>
          <w:i/>
        </w:rPr>
      </w:pPr>
      <w:r w:rsidRPr="00C82CC5">
        <w:rPr>
          <w:b/>
          <w:i/>
        </w:rPr>
        <w:t>Bakgrund</w:t>
      </w:r>
    </w:p>
    <w:p w:rsidR="006C422C" w:rsidRPr="00C82CC5" w:rsidRDefault="006C422C" w:rsidP="006C422C">
      <w:pPr>
        <w:tabs>
          <w:tab w:val="left" w:pos="709"/>
        </w:tabs>
        <w:spacing w:line="240" w:lineRule="auto"/>
        <w:outlineLvl w:val="0"/>
      </w:pPr>
      <w:r w:rsidRPr="00C82CC5">
        <w:t>Rådsslutsatserna syftar till att fastställa en EU-vision och ett övergripande mål för den biologiska mångfalden inom EU, baserat på kommissionens förslag till alternativ i meddelandet om förslag till en EU-strategi och EU-mål för biologisk mångfald efter 2010. Rådsslutsatserna vidareutvecklar viktiga principer för att göra det möjligt för EU att fortsätta att aktivt och konstruktivt medverka i överläggningar på global nivå för en politik för biologisk mångfald ramverk efter 2010. Slutsatserna innehåller också ett kapitel i förhållande till ett framtida internationellt system för ABS.</w:t>
      </w:r>
    </w:p>
    <w:p w:rsidR="006C422C" w:rsidRPr="00C82CC5" w:rsidRDefault="006C422C" w:rsidP="006C422C">
      <w:pPr>
        <w:pStyle w:val="Rubrik4"/>
      </w:pPr>
      <w:r w:rsidRPr="00C82CC5">
        <w:t>Förslag till svensk ståndpunkt</w:t>
      </w:r>
    </w:p>
    <w:p w:rsidR="006C422C" w:rsidRPr="00C82CC5" w:rsidRDefault="006C422C" w:rsidP="006C422C">
      <w:pPr>
        <w:pStyle w:val="RKnormal"/>
      </w:pPr>
      <w:r w:rsidRPr="00C82CC5">
        <w:t>Rådsslutsatserna återger innehållet i det mest ambitiösa av de förslag till en EU-intern vision och mål för den biologiska mångfalden som kommissionen presenterade i sitt meddelande. Sverige stödjer förslaget men förordar även att en gynnsam bevarandestatus för biologisk mångfald bör ingå i målformuleringen. Sverige stöd</w:t>
      </w:r>
      <w:r w:rsidR="001572E2" w:rsidRPr="00C82CC5">
        <w:t>j</w:t>
      </w:r>
      <w:r w:rsidRPr="00C82CC5">
        <w:t xml:space="preserve">er förslaget med en struktur där en långsiktig vision fram till 2050 vägleder arbetet, men där det är viktigt att kunna stämma av och utvärdera måluppfyllelsen i olika steg. Därför är det viktigt med ett målår som ligger tidigare än visionsåret och det förslagna 2020-målet ser Sverige som en framkomlig väg. Utöver detta behövs en flexibilitet med delmål. </w:t>
      </w:r>
    </w:p>
    <w:p w:rsidR="006C422C" w:rsidRPr="00C82CC5" w:rsidRDefault="006C422C" w:rsidP="006C422C">
      <w:pPr>
        <w:pStyle w:val="RKnormal"/>
      </w:pPr>
    </w:p>
    <w:p w:rsidR="006C422C" w:rsidRPr="00C82CC5" w:rsidRDefault="006C422C" w:rsidP="006C422C">
      <w:pPr>
        <w:pStyle w:val="RKnormal"/>
        <w:rPr>
          <w:i/>
        </w:rPr>
      </w:pPr>
      <w:r w:rsidRPr="00C82CC5">
        <w:rPr>
          <w:i/>
        </w:rPr>
        <w:t xml:space="preserve">Rådsslutsatserna har inte tidigare behandlats i EU-nämnden. </w:t>
      </w:r>
    </w:p>
    <w:p w:rsidR="006C422C" w:rsidRPr="00C82CC5" w:rsidRDefault="006C422C" w:rsidP="006C422C">
      <w:pPr>
        <w:pStyle w:val="RKnormal"/>
      </w:pPr>
    </w:p>
    <w:p w:rsidR="006C422C" w:rsidRPr="00C82CC5" w:rsidRDefault="006C422C" w:rsidP="006C422C">
      <w:pPr>
        <w:pStyle w:val="RKnormal"/>
      </w:pPr>
      <w:r w:rsidRPr="00C82CC5">
        <w:t xml:space="preserve">Se vidare bilaga 3. </w:t>
      </w:r>
    </w:p>
    <w:p w:rsidR="006C422C" w:rsidRPr="00C82CC5" w:rsidRDefault="006C422C" w:rsidP="006C422C">
      <w:pPr>
        <w:pStyle w:val="RKnormal"/>
      </w:pPr>
    </w:p>
    <w:p w:rsidR="006C422C" w:rsidRPr="00C82CC5" w:rsidRDefault="006C422C" w:rsidP="006C422C">
      <w:pPr>
        <w:pStyle w:val="RKrubrik"/>
      </w:pPr>
      <w:r w:rsidRPr="00C82CC5">
        <w:t>8.</w:t>
      </w:r>
      <w:r w:rsidR="000D7DA1" w:rsidRPr="00C82CC5">
        <w:tab/>
      </w:r>
      <w:r w:rsidRPr="00C82CC5">
        <w:t xml:space="preserve"> Förb</w:t>
      </w:r>
      <w:r w:rsidR="000D7DA1" w:rsidRPr="00C82CC5">
        <w:t>eredelser av Europeiska rådet: EU-strategin för tillväxt och jobb 2020</w:t>
      </w:r>
    </w:p>
    <w:p w:rsidR="006C422C" w:rsidRPr="00C82CC5" w:rsidRDefault="000D7DA1" w:rsidP="006C422C">
      <w:pPr>
        <w:pStyle w:val="RKnormal"/>
        <w:rPr>
          <w:i/>
        </w:rPr>
      </w:pPr>
      <w:r w:rsidRPr="00C82CC5">
        <w:rPr>
          <w:i/>
        </w:rPr>
        <w:t>- Presentation av meddelandet Europa 2020</w:t>
      </w:r>
    </w:p>
    <w:p w:rsidR="000D7DA1" w:rsidRPr="00C82CC5" w:rsidRDefault="000D7DA1" w:rsidP="006C422C">
      <w:pPr>
        <w:pStyle w:val="RKnormal"/>
        <w:rPr>
          <w:i/>
        </w:rPr>
      </w:pPr>
      <w:r w:rsidRPr="00C82CC5">
        <w:rPr>
          <w:i/>
        </w:rPr>
        <w:t>-Policydebatt</w:t>
      </w:r>
    </w:p>
    <w:p w:rsidR="000D7DA1" w:rsidRPr="00C82CC5" w:rsidRDefault="000D7DA1" w:rsidP="006C422C">
      <w:pPr>
        <w:pStyle w:val="RKnormal"/>
      </w:pPr>
    </w:p>
    <w:p w:rsidR="006C422C" w:rsidRPr="00C82CC5" w:rsidRDefault="006C422C" w:rsidP="006C422C">
      <w:pPr>
        <w:pStyle w:val="RKnormal"/>
        <w:rPr>
          <w:i/>
          <w:iCs/>
          <w:color w:val="000000"/>
        </w:rPr>
      </w:pPr>
      <w:r w:rsidRPr="00C82CC5">
        <w:rPr>
          <w:i/>
          <w:iCs/>
          <w:color w:val="000000"/>
        </w:rPr>
        <w:t xml:space="preserve">Avsikten med behandlingen i rådet </w:t>
      </w:r>
    </w:p>
    <w:p w:rsidR="001C07BB" w:rsidRPr="00C82CC5" w:rsidRDefault="000D7DA1" w:rsidP="0077728B">
      <w:pPr>
        <w:pStyle w:val="RKnormal"/>
        <w:rPr>
          <w:iCs/>
          <w:color w:val="000000"/>
        </w:rPr>
      </w:pPr>
      <w:r w:rsidRPr="00C82CC5">
        <w:rPr>
          <w:iCs/>
          <w:color w:val="000000"/>
        </w:rPr>
        <w:t>Vid rådsmötet kommer kommissionen att presentera sitt meddelande. Vidare kommer en policydebatt att hållas</w:t>
      </w:r>
      <w:r w:rsidRPr="00C82CC5">
        <w:rPr>
          <w:i/>
          <w:iCs/>
          <w:color w:val="000000"/>
        </w:rPr>
        <w:t xml:space="preserve">. </w:t>
      </w:r>
      <w:r w:rsidR="006C422C" w:rsidRPr="00C82CC5">
        <w:rPr>
          <w:iCs/>
          <w:color w:val="000000"/>
        </w:rPr>
        <w:t xml:space="preserve">Ordförandeskapet har presenterat </w:t>
      </w:r>
      <w:r w:rsidR="0077728B" w:rsidRPr="00C82CC5">
        <w:rPr>
          <w:iCs/>
          <w:color w:val="000000"/>
        </w:rPr>
        <w:t>två</w:t>
      </w:r>
      <w:r w:rsidR="006C422C" w:rsidRPr="00C82CC5">
        <w:rPr>
          <w:iCs/>
          <w:color w:val="000000"/>
        </w:rPr>
        <w:t xml:space="preserve"> frågor som utgångspunkt för debatten. </w:t>
      </w:r>
    </w:p>
    <w:p w:rsidR="001C07BB" w:rsidRPr="00C82CC5" w:rsidRDefault="001C07BB" w:rsidP="0077728B">
      <w:pPr>
        <w:pStyle w:val="RKnormal"/>
        <w:rPr>
          <w:iCs/>
          <w:color w:val="000000"/>
        </w:rPr>
      </w:pPr>
    </w:p>
    <w:p w:rsidR="001C07BB" w:rsidRPr="00C82CC5" w:rsidRDefault="001C07BB" w:rsidP="001C07BB">
      <w:pPr>
        <w:numPr>
          <w:ilvl w:val="0"/>
          <w:numId w:val="2"/>
        </w:numPr>
        <w:tabs>
          <w:tab w:val="clear" w:pos="360"/>
        </w:tabs>
        <w:overflowPunct/>
        <w:spacing w:line="240" w:lineRule="auto"/>
        <w:ind w:left="567" w:hanging="567"/>
        <w:textAlignment w:val="auto"/>
      </w:pPr>
      <w:r w:rsidRPr="00C82CC5">
        <w:t>Hur kan miljöpolitiken öka möjligheterna att påskynda reformer för en säker, hållbar, utsläppssnål och resurseffektiv ekonomi samt till stöd för tillväxt och skapande av fler arbetstillfällen och vara en drivande kraft för en hållbarare utveckling?</w:t>
      </w:r>
    </w:p>
    <w:p w:rsidR="001C07BB" w:rsidRPr="00C82CC5" w:rsidRDefault="001C07BB" w:rsidP="001C07BB">
      <w:pPr>
        <w:spacing w:line="240" w:lineRule="auto"/>
      </w:pPr>
    </w:p>
    <w:p w:rsidR="001C07BB" w:rsidRPr="00C82CC5" w:rsidRDefault="001C07BB" w:rsidP="001C07BB">
      <w:pPr>
        <w:numPr>
          <w:ilvl w:val="0"/>
          <w:numId w:val="2"/>
        </w:numPr>
        <w:tabs>
          <w:tab w:val="clear" w:pos="360"/>
        </w:tabs>
        <w:overflowPunct/>
        <w:spacing w:line="240" w:lineRule="auto"/>
        <w:ind w:left="567" w:hanging="567"/>
        <w:textAlignment w:val="auto"/>
      </w:pPr>
      <w:r w:rsidRPr="00C82CC5">
        <w:t>Vilken roll bör rådet (miljö) spela för den nya strategin, även när det gäller samverkan med och komplettering av andra relevanta övergripande EU-mål och -strategier?</w:t>
      </w:r>
    </w:p>
    <w:p w:rsidR="0077728B" w:rsidRPr="00C82CC5" w:rsidRDefault="0077728B" w:rsidP="006C422C">
      <w:pPr>
        <w:pStyle w:val="RKnormal"/>
        <w:rPr>
          <w:iCs/>
          <w:color w:val="000000"/>
        </w:rPr>
      </w:pPr>
    </w:p>
    <w:p w:rsidR="006C422C" w:rsidRPr="00C82CC5" w:rsidRDefault="006C422C" w:rsidP="006C422C">
      <w:pPr>
        <w:pStyle w:val="RKnormal"/>
        <w:rPr>
          <w:iCs/>
          <w:color w:val="000000"/>
        </w:rPr>
      </w:pPr>
      <w:r w:rsidRPr="00C82CC5">
        <w:rPr>
          <w:iCs/>
          <w:color w:val="000000"/>
        </w:rPr>
        <w:t xml:space="preserve">Ordförandeskapet ska sammanfatta diskussionen i en rapport till allmänna rådet för vidarebefordran till toppmötet. </w:t>
      </w:r>
    </w:p>
    <w:p w:rsidR="006C422C" w:rsidRPr="00C82CC5" w:rsidRDefault="006C422C" w:rsidP="006C422C">
      <w:pPr>
        <w:pStyle w:val="RKnormal"/>
        <w:rPr>
          <w:iCs/>
          <w:color w:val="000000"/>
        </w:rPr>
      </w:pPr>
    </w:p>
    <w:p w:rsidR="006C422C" w:rsidRPr="00C82CC5" w:rsidRDefault="006C422C" w:rsidP="006C422C">
      <w:pPr>
        <w:pStyle w:val="RKnormal"/>
        <w:rPr>
          <w:i/>
          <w:iCs/>
          <w:color w:val="000000"/>
        </w:rPr>
      </w:pPr>
      <w:r w:rsidRPr="00C82CC5">
        <w:rPr>
          <w:i/>
          <w:iCs/>
          <w:color w:val="000000"/>
        </w:rPr>
        <w:t xml:space="preserve">Bakgrund </w:t>
      </w:r>
    </w:p>
    <w:p w:rsidR="006C422C" w:rsidRPr="00C82CC5" w:rsidRDefault="006C422C" w:rsidP="006C422C">
      <w:pPr>
        <w:pStyle w:val="RKnormal"/>
      </w:pPr>
      <w:r w:rsidRPr="00C82CC5">
        <w:t>Miljörådet kommer liksom flera andra råd (bl.a</w:t>
      </w:r>
      <w:r w:rsidR="004F35B9" w:rsidRPr="00C82CC5">
        <w:t xml:space="preserve">. transport/telekommunikations- och energirådet, TTE,   konkurrenskraftsrådet </w:t>
      </w:r>
      <w:r w:rsidRPr="00C82CC5">
        <w:t xml:space="preserve">och </w:t>
      </w:r>
      <w:r w:rsidR="004F35B9" w:rsidRPr="00C82CC5">
        <w:t>EPSCO, rådet för sysselsättning och socialpolitik, hälso- och sjukvård samt konsumentfrågor</w:t>
      </w:r>
      <w:r w:rsidRPr="00C82CC5">
        <w:t xml:space="preserve">) </w:t>
      </w:r>
      <w:r w:rsidR="004F35B9" w:rsidRPr="00C82CC5">
        <w:t xml:space="preserve">att </w:t>
      </w:r>
      <w:r w:rsidRPr="00C82CC5">
        <w:t>diskutera kommissionens förslag till meddelande.</w:t>
      </w:r>
    </w:p>
    <w:p w:rsidR="006C422C" w:rsidRPr="00C82CC5" w:rsidRDefault="006C422C" w:rsidP="006C422C">
      <w:pPr>
        <w:pStyle w:val="RKnormal"/>
      </w:pPr>
    </w:p>
    <w:p w:rsidR="006C422C" w:rsidRPr="00C82CC5" w:rsidRDefault="001572E2" w:rsidP="006C422C">
      <w:pPr>
        <w:pStyle w:val="RKnormal"/>
      </w:pPr>
      <w:r w:rsidRPr="00C82CC5">
        <w:t>Avsikten är att Europeiska rådet</w:t>
      </w:r>
      <w:r w:rsidR="006C422C" w:rsidRPr="00C82CC5">
        <w:t xml:space="preserve"> i mars skall lägga fast ett antal grundläggande principer  såsom huvudsaklig inriktning, särskild</w:t>
      </w:r>
      <w:r w:rsidR="000D7DA1" w:rsidRPr="00C82CC5">
        <w:t>a insatsområden samt bjuda in medlemsstaterna</w:t>
      </w:r>
      <w:r w:rsidR="006C422C" w:rsidRPr="00C82CC5">
        <w:t xml:space="preserve"> att fastställa nationella mål med utgångspunkt i de nationella förutsättningarna.  Arbetet slutförs vid </w:t>
      </w:r>
      <w:r w:rsidRPr="00C82CC5">
        <w:t xml:space="preserve">Europeiska rådet </w:t>
      </w:r>
      <w:r w:rsidR="006C422C" w:rsidRPr="00C82CC5">
        <w:t xml:space="preserve">i juni. </w:t>
      </w:r>
    </w:p>
    <w:p w:rsidR="006C422C" w:rsidRPr="00C82CC5" w:rsidRDefault="006C422C" w:rsidP="006C422C">
      <w:pPr>
        <w:pStyle w:val="RKnormal"/>
      </w:pPr>
      <w:r w:rsidRPr="00C82CC5">
        <w:t xml:space="preserve"> </w:t>
      </w:r>
    </w:p>
    <w:p w:rsidR="006C422C" w:rsidRPr="00C82CC5" w:rsidRDefault="006C422C" w:rsidP="006C422C">
      <w:pPr>
        <w:pStyle w:val="RKnormal"/>
        <w:rPr>
          <w:i/>
          <w:iCs/>
          <w:color w:val="000000"/>
        </w:rPr>
      </w:pPr>
      <w:r w:rsidRPr="00C82CC5">
        <w:rPr>
          <w:i/>
          <w:iCs/>
          <w:color w:val="000000"/>
        </w:rPr>
        <w:t>Förslag till svensk ståndpunkt</w:t>
      </w:r>
    </w:p>
    <w:p w:rsidR="006C422C" w:rsidRPr="00C82CC5" w:rsidRDefault="000D7DA1" w:rsidP="006C422C">
      <w:pPr>
        <w:tabs>
          <w:tab w:val="left" w:pos="2835"/>
        </w:tabs>
        <w:overflowPunct/>
        <w:spacing w:line="240" w:lineRule="auto"/>
        <w:textAlignment w:val="auto"/>
        <w:rPr>
          <w:rFonts w:cs="OrigGarmnd BT"/>
          <w:color w:val="000000"/>
          <w:szCs w:val="24"/>
          <w:lang w:eastAsia="sv-SE"/>
        </w:rPr>
      </w:pPr>
      <w:r w:rsidRPr="00C82CC5">
        <w:rPr>
          <w:rFonts w:cs="OrigGarmnd BT"/>
          <w:color w:val="000000"/>
          <w:szCs w:val="24"/>
          <w:lang w:eastAsia="sv-SE"/>
        </w:rPr>
        <w:t>Sverige välkomnar kommissionens</w:t>
      </w:r>
      <w:r w:rsidR="006C422C" w:rsidRPr="00C82CC5">
        <w:rPr>
          <w:rFonts w:cs="OrigGarmnd BT"/>
          <w:color w:val="000000"/>
          <w:szCs w:val="24"/>
          <w:lang w:eastAsia="sv-SE"/>
        </w:rPr>
        <w:t xml:space="preserve"> meddelande – En strategi för smart, hållbar och inkluderande tillväxt – som helhet. Strategins prioriteringar: Smart tillväxt, Hållbar tillväxt och Inkluderande tillväxt li</w:t>
      </w:r>
      <w:r w:rsidRPr="00C82CC5">
        <w:rPr>
          <w:rFonts w:cs="OrigGarmnd BT"/>
          <w:color w:val="000000"/>
          <w:szCs w:val="24"/>
          <w:lang w:eastAsia="sv-SE"/>
        </w:rPr>
        <w:t>gger i stort sett i linje med svenska prioriteringar. Regeringen</w:t>
      </w:r>
      <w:r w:rsidR="006C422C" w:rsidRPr="00C82CC5">
        <w:rPr>
          <w:rFonts w:cs="OrigGarmnd BT"/>
          <w:color w:val="000000"/>
          <w:szCs w:val="24"/>
          <w:lang w:eastAsia="sv-SE"/>
        </w:rPr>
        <w:t xml:space="preserve"> välkomnar också att EU:s klimat och energimål ingår bland de fem huvudmålsättningarna.</w:t>
      </w:r>
    </w:p>
    <w:p w:rsidR="006C422C" w:rsidRPr="00C82CC5" w:rsidRDefault="006C422C" w:rsidP="006C422C">
      <w:pPr>
        <w:pStyle w:val="RKnormal"/>
        <w:rPr>
          <w:color w:val="000000"/>
        </w:rPr>
      </w:pPr>
    </w:p>
    <w:p w:rsidR="006C422C" w:rsidRPr="00C82CC5" w:rsidRDefault="006C422C" w:rsidP="006C422C">
      <w:pPr>
        <w:pStyle w:val="RKnormal"/>
        <w:rPr>
          <w:i/>
          <w:color w:val="000000"/>
        </w:rPr>
      </w:pPr>
      <w:r w:rsidRPr="00C82CC5">
        <w:rPr>
          <w:i/>
        </w:rPr>
        <w:t xml:space="preserve">På basis av underlag från ordförande </w:t>
      </w:r>
      <w:r w:rsidR="001572E2" w:rsidRPr="00C82CC5">
        <w:rPr>
          <w:i/>
        </w:rPr>
        <w:t>van Rompuy och ordförande Barro</w:t>
      </w:r>
      <w:r w:rsidRPr="00C82CC5">
        <w:rPr>
          <w:i/>
        </w:rPr>
        <w:t xml:space="preserve">so har det informella </w:t>
      </w:r>
      <w:r w:rsidR="001572E2" w:rsidRPr="00C82CC5">
        <w:rPr>
          <w:i/>
        </w:rPr>
        <w:t xml:space="preserve">Europeiska rådet </w:t>
      </w:r>
      <w:r w:rsidRPr="00C82CC5">
        <w:rPr>
          <w:i/>
        </w:rPr>
        <w:t>t i februari haft en första diskussion om innehållet i strategin och därefter även allmänna rådet den 22 februari. Förberedelse</w:t>
      </w:r>
      <w:r w:rsidR="001572E2" w:rsidRPr="00C82CC5">
        <w:rPr>
          <w:i/>
        </w:rPr>
        <w:t>r</w:t>
      </w:r>
      <w:r w:rsidRPr="00C82CC5">
        <w:rPr>
          <w:i/>
        </w:rPr>
        <w:t xml:space="preserve"> för dessa möten har ägt rum i EU-nämnden. EPSCO rådet den 8 mars och TTE råden den 11 – 12 mars har också haft meddelandet på dagordningen.</w:t>
      </w:r>
      <w:r w:rsidRPr="00C82CC5">
        <w:rPr>
          <w:i/>
          <w:color w:val="000000"/>
        </w:rPr>
        <w:t xml:space="preserve">   </w:t>
      </w:r>
    </w:p>
    <w:p w:rsidR="006013D0" w:rsidRPr="00C82CC5" w:rsidRDefault="006013D0" w:rsidP="006C422C">
      <w:pPr>
        <w:pStyle w:val="RKnormal"/>
        <w:rPr>
          <w:i/>
          <w:color w:val="000000"/>
        </w:rPr>
      </w:pPr>
    </w:p>
    <w:p w:rsidR="000D7DA1" w:rsidRPr="00C82CC5" w:rsidRDefault="006013D0" w:rsidP="006C422C">
      <w:pPr>
        <w:pStyle w:val="RKnormal"/>
      </w:pPr>
      <w:r w:rsidRPr="00C82CC5">
        <w:t xml:space="preserve">Se vidare bilaga 4. </w:t>
      </w:r>
    </w:p>
    <w:p w:rsidR="006013D0" w:rsidRPr="00C82CC5" w:rsidRDefault="006013D0" w:rsidP="006C422C">
      <w:pPr>
        <w:pStyle w:val="RKnormal"/>
      </w:pPr>
    </w:p>
    <w:p w:rsidR="000D7DA1" w:rsidRPr="00C82CC5" w:rsidRDefault="000D7DA1" w:rsidP="000D7DA1">
      <w:pPr>
        <w:pStyle w:val="RKrubrik"/>
      </w:pPr>
      <w:r w:rsidRPr="00C82CC5">
        <w:t xml:space="preserve">9. </w:t>
      </w:r>
      <w:r w:rsidRPr="00C82CC5">
        <w:tab/>
      </w:r>
      <w:r w:rsidR="001C07BB" w:rsidRPr="00C82CC5">
        <w:t xml:space="preserve">Eventuellt: </w:t>
      </w:r>
      <w:r w:rsidRPr="00C82CC5">
        <w:t>Göteborgsprotokollet</w:t>
      </w:r>
    </w:p>
    <w:p w:rsidR="001C07BB" w:rsidRPr="00C82CC5" w:rsidRDefault="001C07BB" w:rsidP="001C07BB">
      <w:pPr>
        <w:pStyle w:val="RKnormal"/>
      </w:pPr>
      <w:r w:rsidRPr="00C82CC5">
        <w:t>-antagande av rådsbeslut</w:t>
      </w:r>
    </w:p>
    <w:p w:rsidR="001C07BB" w:rsidRPr="00C82CC5" w:rsidRDefault="001C07BB" w:rsidP="001C07BB">
      <w:pPr>
        <w:pStyle w:val="RKnormal"/>
      </w:pPr>
    </w:p>
    <w:p w:rsidR="001C07BB" w:rsidRPr="00C82CC5" w:rsidRDefault="001C07BB" w:rsidP="001C07BB">
      <w:pPr>
        <w:pStyle w:val="RKnormal"/>
        <w:rPr>
          <w:b/>
          <w:i/>
          <w:iCs/>
          <w:color w:val="000000"/>
        </w:rPr>
      </w:pPr>
      <w:r w:rsidRPr="00C82CC5">
        <w:rPr>
          <w:b/>
          <w:i/>
          <w:iCs/>
          <w:color w:val="000000"/>
        </w:rPr>
        <w:t xml:space="preserve">Avsikten med behandlingen i rådet </w:t>
      </w:r>
    </w:p>
    <w:p w:rsidR="00653E15" w:rsidRPr="00C82CC5" w:rsidRDefault="001C07BB" w:rsidP="001C07BB">
      <w:pPr>
        <w:pStyle w:val="RKnormal"/>
        <w:rPr>
          <w:color w:val="000000"/>
        </w:rPr>
      </w:pPr>
      <w:r w:rsidRPr="00C82CC5">
        <w:rPr>
          <w:color w:val="000000"/>
        </w:rPr>
        <w:t>Vid rådsmötet ska ett rådsbeslut antas om mandat för kommissionen</w:t>
      </w:r>
      <w:r w:rsidR="00653E15" w:rsidRPr="00C82CC5">
        <w:rPr>
          <w:color w:val="000000"/>
        </w:rPr>
        <w:t>s deltagande i</w:t>
      </w:r>
      <w:r w:rsidRPr="00C82CC5">
        <w:rPr>
          <w:color w:val="000000"/>
        </w:rPr>
        <w:t xml:space="preserve"> förhandlingar om </w:t>
      </w:r>
      <w:r w:rsidR="00653E15" w:rsidRPr="00C82CC5">
        <w:rPr>
          <w:color w:val="000000"/>
        </w:rPr>
        <w:t xml:space="preserve">översynen av protokollet (Göteborgsprotokollet) till 1979 års konvention om långväga gränsöverskridande luftföroreningar angående minskning av försurning, övergödning och marknära ozon (LRTAP). </w:t>
      </w:r>
    </w:p>
    <w:p w:rsidR="00653E15" w:rsidRPr="00C82CC5" w:rsidRDefault="00653E15" w:rsidP="001C07BB">
      <w:pPr>
        <w:pStyle w:val="RKnormal"/>
      </w:pPr>
    </w:p>
    <w:p w:rsidR="000D7DA1" w:rsidRPr="00C82CC5" w:rsidRDefault="001C07BB" w:rsidP="006C422C">
      <w:pPr>
        <w:pStyle w:val="RKnormal"/>
        <w:rPr>
          <w:b/>
          <w:i/>
          <w:color w:val="000000"/>
        </w:rPr>
      </w:pPr>
      <w:r w:rsidRPr="00C82CC5">
        <w:rPr>
          <w:b/>
          <w:i/>
          <w:color w:val="000000"/>
        </w:rPr>
        <w:t>Bakgrund</w:t>
      </w:r>
    </w:p>
    <w:p w:rsidR="001C07BB" w:rsidRPr="00C82CC5" w:rsidRDefault="00653E15" w:rsidP="006C422C">
      <w:pPr>
        <w:pStyle w:val="RKnormal"/>
      </w:pPr>
      <w:r w:rsidRPr="00C82CC5">
        <w:t xml:space="preserve">Kommissionen önskar </w:t>
      </w:r>
      <w:r w:rsidR="001572E2" w:rsidRPr="00C82CC5">
        <w:t xml:space="preserve">få </w:t>
      </w:r>
      <w:r w:rsidRPr="00C82CC5">
        <w:t>mandat att förhandla Göteborgsprotokollet och tar stöd för detta i den EU-lagstiftning som täcker stora delar av protokol</w:t>
      </w:r>
      <w:r w:rsidR="001572E2" w:rsidRPr="00C82CC5">
        <w:t>lets tillämpningsområde, bl.a. t</w:t>
      </w:r>
      <w:r w:rsidRPr="00C82CC5">
        <w:t xml:space="preserve">akdirektivet. Den stora majoriteten medlemsstater har hittills varit tveksamma till att ge kommissionen mandat, då de anser det vara alldeles för tidigt i  förhandlingsprocessen för att kunna formulera ett relevant mandat. Länderna har dock inte varit emot att ge kommissionen mandatet av princip. </w:t>
      </w:r>
      <w:r w:rsidR="00252EBF" w:rsidRPr="00C82CC5">
        <w:t xml:space="preserve"> Frågan kommer att behandlas i coreper den 10 mars. </w:t>
      </w:r>
    </w:p>
    <w:p w:rsidR="00653E15" w:rsidRPr="00C82CC5" w:rsidRDefault="00653E15" w:rsidP="006C422C">
      <w:pPr>
        <w:pStyle w:val="RKnormal"/>
        <w:rPr>
          <w:i/>
          <w:color w:val="000000"/>
        </w:rPr>
      </w:pPr>
    </w:p>
    <w:p w:rsidR="001C07BB" w:rsidRPr="00C82CC5" w:rsidRDefault="001C07BB" w:rsidP="006C422C">
      <w:pPr>
        <w:pStyle w:val="RKnormal"/>
        <w:rPr>
          <w:b/>
          <w:i/>
          <w:color w:val="000000"/>
        </w:rPr>
      </w:pPr>
      <w:r w:rsidRPr="00C82CC5">
        <w:rPr>
          <w:b/>
          <w:i/>
          <w:color w:val="000000"/>
        </w:rPr>
        <w:t>Förslag till svensk ståndpunkt</w:t>
      </w:r>
    </w:p>
    <w:p w:rsidR="001C07BB" w:rsidRPr="00C82CC5" w:rsidRDefault="001C07BB" w:rsidP="001C07BB">
      <w:pPr>
        <w:pStyle w:val="RKnormal"/>
      </w:pPr>
      <w:r w:rsidRPr="00C82CC5">
        <w:t xml:space="preserve">Sverige </w:t>
      </w:r>
      <w:r w:rsidR="001572E2" w:rsidRPr="00C82CC5">
        <w:t xml:space="preserve">stödjer i princip </w:t>
      </w:r>
      <w:r w:rsidRPr="00C82CC5">
        <w:t>att kommissionen ska ha ett förhandlingsmandat för Göteborgsprotokollet. Sverige instämmer dock i att, mot bakgrund av bl.a. det bristfälliga förhandlingsunderlaget, det egentligen är för tidigt att ge kommissionen ett mandat i nuläget. För att Sverige ska kunna visa flexibilitet är det viktigt att mandatet är begränsat, tydligt och tidsbegränsat. Det är också viktigt för Sverige att direktivet går att omförhandla även under perioden som mandatet gäller.</w:t>
      </w:r>
    </w:p>
    <w:p w:rsidR="001C07BB" w:rsidRPr="00C82CC5" w:rsidRDefault="001C07BB" w:rsidP="006C422C">
      <w:pPr>
        <w:pStyle w:val="RKnormal"/>
        <w:rPr>
          <w:rFonts w:ascii="Times New Roman" w:hAnsi="Times New Roman"/>
          <w:i/>
          <w:color w:val="000000"/>
        </w:rPr>
      </w:pPr>
    </w:p>
    <w:p w:rsidR="001C07BB" w:rsidRPr="00C82CC5" w:rsidRDefault="001C07BB" w:rsidP="001C07BB">
      <w:pPr>
        <w:pStyle w:val="RKnormal"/>
        <w:rPr>
          <w:i/>
        </w:rPr>
      </w:pPr>
      <w:r w:rsidRPr="00C82CC5">
        <w:rPr>
          <w:i/>
        </w:rPr>
        <w:t>Förslaget har inte behandlats tidigare i EU-nämnden</w:t>
      </w:r>
    </w:p>
    <w:p w:rsidR="001C07BB" w:rsidRPr="00C82CC5" w:rsidRDefault="001C07BB" w:rsidP="006C422C">
      <w:pPr>
        <w:pStyle w:val="RKnormal"/>
        <w:rPr>
          <w:rFonts w:ascii="Times New Roman" w:hAnsi="Times New Roman"/>
          <w:i/>
          <w:color w:val="000000"/>
        </w:rPr>
      </w:pPr>
    </w:p>
    <w:p w:rsidR="000D7DA1" w:rsidRPr="00C82CC5" w:rsidRDefault="000D7DA1" w:rsidP="000D7DA1">
      <w:pPr>
        <w:pStyle w:val="RKrubrik"/>
      </w:pPr>
      <w:r w:rsidRPr="00C82CC5">
        <w:t xml:space="preserve">10. </w:t>
      </w:r>
      <w:r w:rsidRPr="00C82CC5">
        <w:tab/>
      </w:r>
      <w:r w:rsidR="000E213F" w:rsidRPr="00C82CC5">
        <w:t xml:space="preserve">Eventuellt: </w:t>
      </w:r>
      <w:r w:rsidRPr="00C82CC5">
        <w:t>Kvicksilver</w:t>
      </w:r>
      <w:r w:rsidR="006A328A" w:rsidRPr="00C82CC5">
        <w:t>konventionen</w:t>
      </w:r>
    </w:p>
    <w:p w:rsidR="000D7DA1" w:rsidRPr="00C82CC5" w:rsidRDefault="000E213F" w:rsidP="006C422C">
      <w:pPr>
        <w:pStyle w:val="RKnormal"/>
        <w:rPr>
          <w:rFonts w:ascii="Times New Roman" w:hAnsi="Times New Roman"/>
          <w:i/>
          <w:color w:val="000000"/>
        </w:rPr>
      </w:pPr>
      <w:r w:rsidRPr="00C82CC5">
        <w:rPr>
          <w:rFonts w:ascii="Times New Roman" w:hAnsi="Times New Roman"/>
          <w:i/>
          <w:color w:val="000000"/>
        </w:rPr>
        <w:t>- antagande av rådsbeslut</w:t>
      </w:r>
    </w:p>
    <w:p w:rsidR="000E213F" w:rsidRPr="00C82CC5" w:rsidRDefault="000E213F" w:rsidP="006C422C">
      <w:pPr>
        <w:pStyle w:val="RKnormal"/>
        <w:rPr>
          <w:rFonts w:ascii="Times New Roman" w:hAnsi="Times New Roman"/>
          <w:i/>
          <w:color w:val="000000"/>
        </w:rPr>
      </w:pPr>
    </w:p>
    <w:p w:rsidR="000E213F" w:rsidRPr="00C82CC5" w:rsidRDefault="000E213F" w:rsidP="000E213F">
      <w:pPr>
        <w:pStyle w:val="RKnormal"/>
        <w:rPr>
          <w:b/>
          <w:i/>
          <w:iCs/>
          <w:color w:val="000000"/>
        </w:rPr>
      </w:pPr>
      <w:r w:rsidRPr="00C82CC5">
        <w:rPr>
          <w:b/>
          <w:i/>
          <w:iCs/>
          <w:color w:val="000000"/>
        </w:rPr>
        <w:t xml:space="preserve">Avsikten med behandlingen i rådet </w:t>
      </w:r>
    </w:p>
    <w:p w:rsidR="000E213F" w:rsidRPr="00C82CC5" w:rsidRDefault="000E213F" w:rsidP="006C422C">
      <w:pPr>
        <w:pStyle w:val="RKnormal"/>
        <w:rPr>
          <w:color w:val="000000"/>
        </w:rPr>
      </w:pPr>
      <w:r w:rsidRPr="00C82CC5">
        <w:rPr>
          <w:color w:val="000000"/>
        </w:rPr>
        <w:t xml:space="preserve">Vid rådsmötet ska ett rådsbeslut antas om mandat för kommissionen i förhandlingar om en ny global kvicksilverkonvention. </w:t>
      </w:r>
    </w:p>
    <w:p w:rsidR="000E213F" w:rsidRPr="00C82CC5" w:rsidRDefault="000E213F" w:rsidP="006C422C">
      <w:pPr>
        <w:pStyle w:val="RKnormal"/>
        <w:rPr>
          <w:rFonts w:ascii="Times New Roman" w:hAnsi="Times New Roman"/>
          <w:i/>
          <w:color w:val="000000"/>
        </w:rPr>
      </w:pPr>
    </w:p>
    <w:p w:rsidR="000E213F" w:rsidRPr="00C82CC5" w:rsidRDefault="000E213F" w:rsidP="006C422C">
      <w:pPr>
        <w:pStyle w:val="RKnormal"/>
        <w:rPr>
          <w:b/>
          <w:i/>
          <w:color w:val="000000"/>
        </w:rPr>
      </w:pPr>
      <w:r w:rsidRPr="00C82CC5">
        <w:rPr>
          <w:b/>
          <w:i/>
          <w:color w:val="000000"/>
        </w:rPr>
        <w:t>Bakgrund</w:t>
      </w:r>
    </w:p>
    <w:p w:rsidR="000E213F" w:rsidRPr="00C82CC5" w:rsidRDefault="000E213F" w:rsidP="000E213F">
      <w:pPr>
        <w:pStyle w:val="RKnormal"/>
      </w:pPr>
      <w:r w:rsidRPr="00C82CC5">
        <w:t xml:space="preserve">UNEP Governing Council (GC) beslutade vid sitt 25:e möte i februari 2009 att sätta upp en förhandlingskommitté (INC) för att förhandla fram en kvicksilverkonvention. Ett förberedande arbetsgruppsmöte hölls i oktober 2009. Det första mötet i kommittén kommer att hållas 7-11 juni 2010 i Stockholm. Arbetet ska vara avslutat till </w:t>
      </w:r>
      <w:r w:rsidR="001572E2" w:rsidRPr="00C82CC5">
        <w:t xml:space="preserve">UNEP GC 27 år 2013. </w:t>
      </w:r>
      <w:r w:rsidRPr="00C82CC5">
        <w:t xml:space="preserve">INC:s mandat är att söka förhandla fram en konvention där alla utsläppskällor ska beaktas, dels i livscykeln från gruvbrytning till slutförvar av avfall, dels när kvicksilver frigörs vid i förbränning av kol i kraftverk och andra industriella aktiviteter. </w:t>
      </w:r>
    </w:p>
    <w:p w:rsidR="000E213F" w:rsidRPr="00C82CC5" w:rsidRDefault="000E213F" w:rsidP="000E213F">
      <w:pPr>
        <w:pStyle w:val="RKnormal"/>
      </w:pPr>
    </w:p>
    <w:p w:rsidR="00AD5AE3" w:rsidRPr="00C82CC5" w:rsidRDefault="000E213F" w:rsidP="000E213F">
      <w:pPr>
        <w:pStyle w:val="RKnormal"/>
      </w:pPr>
      <w:r w:rsidRPr="00C82CC5">
        <w:t>Kommissionens rekommendation om mandat i förhandlingarna innehåller standardskrivningar i dessa sammanhang, vilka som utgångspunkt skulle ge kommissionen ett mandat att företräda unionen</w:t>
      </w:r>
      <w:r w:rsidR="006A328A" w:rsidRPr="00C82CC5">
        <w:t xml:space="preserve"> </w:t>
      </w:r>
      <w:r w:rsidRPr="00C82CC5">
        <w:t xml:space="preserve">i förhandlingarna av samtliga frågor. Kommissionen förklarade vid rådsarbetsgruppen i januari att det allmänt hållna förhandlingsdirektiven måste ses i ljuset av att EU ännu inte utvecklat sin position till INC 1 i detalj och att ytterligare fyra förhandlingsmöten är inplanerade. </w:t>
      </w:r>
    </w:p>
    <w:p w:rsidR="00AD5AE3" w:rsidRPr="00C82CC5" w:rsidRDefault="00AD5AE3" w:rsidP="000E213F">
      <w:pPr>
        <w:pStyle w:val="RKnormal"/>
      </w:pPr>
    </w:p>
    <w:p w:rsidR="000E213F" w:rsidRPr="00C82CC5" w:rsidRDefault="00AD5AE3" w:rsidP="000E213F">
      <w:pPr>
        <w:pStyle w:val="RKnormal"/>
      </w:pPr>
      <w:r w:rsidRPr="00C82CC5">
        <w:t xml:space="preserve">Ordförandeskapets förslag till beslut innebär dock att kommissionens mandat enbart ska omfatta de substantiella åtagandena i konventionen medan de horisontella bestämmelserna (bl.a. finansiering, kapacitetsuppbyggnad och efterlevnad) förblir ordförandeskapets ansvar. </w:t>
      </w:r>
    </w:p>
    <w:p w:rsidR="00AD5AE3" w:rsidRPr="00C82CC5" w:rsidRDefault="00AD5AE3" w:rsidP="000E213F">
      <w:pPr>
        <w:pStyle w:val="RKnormal"/>
      </w:pPr>
    </w:p>
    <w:p w:rsidR="00252EBF" w:rsidRPr="00C82CC5" w:rsidRDefault="00252EBF" w:rsidP="000E213F">
      <w:pPr>
        <w:pStyle w:val="RKnormal"/>
      </w:pPr>
      <w:r w:rsidRPr="00C82CC5">
        <w:t>Frågan kommer att behandlas i coreper den 10 mars.</w:t>
      </w:r>
    </w:p>
    <w:p w:rsidR="000E213F" w:rsidRPr="00C82CC5" w:rsidRDefault="000E213F" w:rsidP="006C422C">
      <w:pPr>
        <w:pStyle w:val="RKnormal"/>
        <w:rPr>
          <w:rFonts w:ascii="Times New Roman" w:hAnsi="Times New Roman"/>
          <w:i/>
          <w:color w:val="000000"/>
        </w:rPr>
      </w:pPr>
    </w:p>
    <w:p w:rsidR="000E213F" w:rsidRPr="00C82CC5" w:rsidRDefault="000E213F" w:rsidP="006C422C">
      <w:pPr>
        <w:pStyle w:val="RKnormal"/>
        <w:rPr>
          <w:b/>
          <w:i/>
          <w:color w:val="000000"/>
        </w:rPr>
      </w:pPr>
      <w:r w:rsidRPr="00C82CC5">
        <w:rPr>
          <w:b/>
          <w:i/>
          <w:color w:val="000000"/>
        </w:rPr>
        <w:t>Förslag till svensk ståndpunkt</w:t>
      </w:r>
    </w:p>
    <w:p w:rsidR="000E213F" w:rsidRPr="00C82CC5" w:rsidRDefault="000E213F" w:rsidP="000E213F">
      <w:pPr>
        <w:pStyle w:val="RKnormal"/>
      </w:pPr>
      <w:r w:rsidRPr="00C82CC5">
        <w:t xml:space="preserve">Regeringen bedömer att förslaget innebär en rimlig kompromiss mellan de olika ståndpunkter som förts fram samt att det inkluderar de viktigare svenska synpunkterna som förts fram. Regeringen stödjer därför förslaget. </w:t>
      </w:r>
    </w:p>
    <w:p w:rsidR="000E213F" w:rsidRPr="00C82CC5" w:rsidRDefault="000E213F" w:rsidP="000E213F">
      <w:pPr>
        <w:pStyle w:val="RKnormal"/>
      </w:pPr>
    </w:p>
    <w:p w:rsidR="000E213F" w:rsidRPr="00C82CC5" w:rsidRDefault="000E213F" w:rsidP="000E213F">
      <w:pPr>
        <w:pStyle w:val="RKnormal"/>
        <w:rPr>
          <w:i/>
        </w:rPr>
      </w:pPr>
      <w:r w:rsidRPr="00C82CC5">
        <w:rPr>
          <w:i/>
        </w:rPr>
        <w:t>Förslaget har inte behandlats tidigare i EU-nämnden</w:t>
      </w:r>
    </w:p>
    <w:p w:rsidR="000E213F" w:rsidRPr="00C82CC5" w:rsidRDefault="000E213F" w:rsidP="006C422C">
      <w:pPr>
        <w:pStyle w:val="RKnormal"/>
        <w:rPr>
          <w:rFonts w:ascii="Times New Roman" w:hAnsi="Times New Roman"/>
          <w:i/>
          <w:color w:val="000000"/>
        </w:rPr>
      </w:pPr>
    </w:p>
    <w:p w:rsidR="000E213F" w:rsidRPr="00C82CC5" w:rsidRDefault="000E213F" w:rsidP="001C07BB">
      <w:pPr>
        <w:pStyle w:val="RKnormal"/>
        <w:pBdr>
          <w:top w:val="single" w:sz="4" w:space="1" w:color="auto"/>
        </w:pBdr>
        <w:rPr>
          <w:rFonts w:ascii="Times New Roman" w:hAnsi="Times New Roman"/>
          <w:i/>
          <w:color w:val="000000"/>
        </w:rPr>
      </w:pPr>
    </w:p>
    <w:p w:rsidR="000D7DA1" w:rsidRPr="00C82CC5" w:rsidRDefault="0077728B" w:rsidP="006C422C">
      <w:pPr>
        <w:pStyle w:val="RKnormal"/>
        <w:rPr>
          <w:rFonts w:ascii="Times New Roman" w:hAnsi="Times New Roman"/>
          <w:b/>
          <w:i/>
          <w:color w:val="000000"/>
        </w:rPr>
      </w:pPr>
      <w:r w:rsidRPr="00C82CC5">
        <w:rPr>
          <w:rFonts w:ascii="Times New Roman" w:hAnsi="Times New Roman"/>
          <w:b/>
          <w:i/>
          <w:color w:val="000000"/>
        </w:rPr>
        <w:t>Övriga frågor</w:t>
      </w:r>
    </w:p>
    <w:p w:rsidR="00C454A2" w:rsidRPr="00C82CC5" w:rsidRDefault="00C454A2" w:rsidP="006C422C">
      <w:pPr>
        <w:pStyle w:val="RKnormal"/>
        <w:rPr>
          <w:rFonts w:ascii="Times New Roman" w:hAnsi="Times New Roman"/>
          <w:i/>
          <w:color w:val="000000"/>
        </w:rPr>
      </w:pPr>
    </w:p>
    <w:p w:rsidR="00C454A2" w:rsidRPr="00C82CC5" w:rsidRDefault="00C454A2" w:rsidP="00C454A2">
      <w:pPr>
        <w:widowControl w:val="0"/>
        <w:jc w:val="both"/>
        <w:rPr>
          <w:b/>
          <w:bCs/>
        </w:rPr>
      </w:pPr>
      <w:r w:rsidRPr="00C82CC5">
        <w:rPr>
          <w:b/>
          <w:bCs/>
        </w:rPr>
        <w:t xml:space="preserve">a. Kommissionsrapport om utvärderingen av kopplingen mellan Hong Kong konventionen, </w:t>
      </w:r>
      <w:smartTag w:uri="urn:schemas-microsoft-com:office:smarttags" w:element="place">
        <w:smartTag w:uri="urn:schemas-microsoft-com:office:smarttags" w:element="City">
          <w:r w:rsidRPr="00C82CC5">
            <w:rPr>
              <w:b/>
              <w:bCs/>
            </w:rPr>
            <w:t>Basel</w:t>
          </w:r>
        </w:smartTag>
      </w:smartTag>
      <w:r w:rsidRPr="00C82CC5">
        <w:rPr>
          <w:b/>
          <w:bCs/>
        </w:rPr>
        <w:t xml:space="preserve"> konventionen och EU:s förordning om transport av avfall </w:t>
      </w:r>
    </w:p>
    <w:p w:rsidR="00C454A2" w:rsidRPr="00C82CC5" w:rsidRDefault="00C454A2" w:rsidP="00C454A2">
      <w:pPr>
        <w:widowControl w:val="0"/>
        <w:jc w:val="both"/>
        <w:rPr>
          <w:i/>
        </w:rPr>
      </w:pPr>
      <w:r w:rsidRPr="00C82CC5">
        <w:rPr>
          <w:bCs/>
          <w:i/>
        </w:rPr>
        <w:t xml:space="preserve">– presentation av kommissionen </w:t>
      </w:r>
    </w:p>
    <w:p w:rsidR="00C454A2" w:rsidRPr="00C82CC5" w:rsidRDefault="00C454A2" w:rsidP="00C454A2">
      <w:pPr>
        <w:widowControl w:val="0"/>
        <w:jc w:val="both"/>
      </w:pPr>
    </w:p>
    <w:p w:rsidR="00C454A2" w:rsidRPr="00C82CC5" w:rsidRDefault="00C454A2" w:rsidP="00C454A2">
      <w:pPr>
        <w:widowControl w:val="0"/>
        <w:jc w:val="both"/>
        <w:rPr>
          <w:b/>
        </w:rPr>
      </w:pPr>
      <w:r w:rsidRPr="00C82CC5">
        <w:rPr>
          <w:b/>
        </w:rPr>
        <w:t>b. Vattenstrategi för medelhavet inom ramen för Medelhavsunionen</w:t>
      </w:r>
    </w:p>
    <w:p w:rsidR="00C454A2" w:rsidRPr="00C82CC5" w:rsidRDefault="00C454A2" w:rsidP="00C454A2">
      <w:pPr>
        <w:widowControl w:val="0"/>
        <w:jc w:val="both"/>
        <w:rPr>
          <w:i/>
        </w:rPr>
      </w:pPr>
      <w:r w:rsidRPr="00C82CC5">
        <w:rPr>
          <w:i/>
        </w:rPr>
        <w:t>- information från ordförandeskapet</w:t>
      </w:r>
    </w:p>
    <w:p w:rsidR="00C454A2" w:rsidRPr="00C82CC5" w:rsidRDefault="00C454A2" w:rsidP="00C454A2">
      <w:pPr>
        <w:widowControl w:val="0"/>
        <w:jc w:val="both"/>
      </w:pPr>
    </w:p>
    <w:p w:rsidR="00C454A2" w:rsidRPr="00C82CC5" w:rsidRDefault="00C454A2" w:rsidP="00C454A2">
      <w:pPr>
        <w:widowControl w:val="0"/>
        <w:jc w:val="both"/>
        <w:rPr>
          <w:b/>
        </w:rPr>
      </w:pPr>
      <w:r w:rsidRPr="00C82CC5">
        <w:rPr>
          <w:b/>
        </w:rPr>
        <w:t>c. Internationell konferens om Post-210 vision och mål för biologisk mångfald: Skyddade områden och ekologiska nätverks roll i EU (</w:t>
      </w:r>
      <w:smartTag w:uri="urn:schemas-microsoft-com:office:smarttags" w:element="State">
        <w:smartTag w:uri="urn:schemas-microsoft-com:office:smarttags" w:element="place">
          <w:r w:rsidRPr="00C82CC5">
            <w:rPr>
              <w:b/>
            </w:rPr>
            <w:t>Madrid</w:t>
          </w:r>
        </w:smartTag>
      </w:smartTag>
      <w:r w:rsidRPr="00C82CC5">
        <w:rPr>
          <w:b/>
        </w:rPr>
        <w:t xml:space="preserve"> 26-27 januari 2010)</w:t>
      </w:r>
    </w:p>
    <w:p w:rsidR="00C454A2" w:rsidRPr="00C82CC5" w:rsidRDefault="00C454A2" w:rsidP="00C454A2">
      <w:pPr>
        <w:widowControl w:val="0"/>
        <w:jc w:val="both"/>
        <w:rPr>
          <w:i/>
        </w:rPr>
      </w:pPr>
      <w:r w:rsidRPr="00C82CC5">
        <w:rPr>
          <w:i/>
        </w:rPr>
        <w:t xml:space="preserve"> – information från ordförandeskapet</w:t>
      </w:r>
    </w:p>
    <w:p w:rsidR="00C454A2" w:rsidRPr="00C82CC5" w:rsidRDefault="00C454A2" w:rsidP="00C454A2">
      <w:pPr>
        <w:widowControl w:val="0"/>
        <w:jc w:val="both"/>
      </w:pPr>
    </w:p>
    <w:p w:rsidR="00C454A2" w:rsidRPr="00C82CC5" w:rsidRDefault="00C454A2" w:rsidP="00C454A2">
      <w:pPr>
        <w:widowControl w:val="0"/>
        <w:jc w:val="both"/>
        <w:rPr>
          <w:b/>
        </w:rPr>
      </w:pPr>
      <w:r w:rsidRPr="00C82CC5">
        <w:rPr>
          <w:b/>
        </w:rPr>
        <w:t>d. Internationell konferens om vattenbrist och torka: vägen till klimatanpassning (</w:t>
      </w:r>
      <w:smartTag w:uri="urn:schemas-microsoft-com:office:smarttags" w:element="State">
        <w:smartTag w:uri="urn:schemas-microsoft-com:office:smarttags" w:element="place">
          <w:r w:rsidRPr="00C82CC5">
            <w:rPr>
              <w:b/>
            </w:rPr>
            <w:t>Madrid</w:t>
          </w:r>
        </w:smartTag>
      </w:smartTag>
      <w:r w:rsidRPr="00C82CC5">
        <w:rPr>
          <w:b/>
        </w:rPr>
        <w:t xml:space="preserve"> 18-19 februari 2010) </w:t>
      </w:r>
    </w:p>
    <w:p w:rsidR="00C454A2" w:rsidRPr="00C82CC5" w:rsidRDefault="00C454A2" w:rsidP="00C454A2">
      <w:pPr>
        <w:widowControl w:val="0"/>
        <w:jc w:val="both"/>
        <w:rPr>
          <w:i/>
        </w:rPr>
      </w:pPr>
      <w:r w:rsidRPr="00C82CC5">
        <w:rPr>
          <w:i/>
        </w:rPr>
        <w:t xml:space="preserve">– information från ordförandeskapet </w:t>
      </w:r>
    </w:p>
    <w:p w:rsidR="00C454A2" w:rsidRPr="00C82CC5" w:rsidRDefault="00C454A2" w:rsidP="00C454A2">
      <w:pPr>
        <w:widowControl w:val="0"/>
        <w:jc w:val="both"/>
      </w:pPr>
    </w:p>
    <w:p w:rsidR="00C454A2" w:rsidRPr="00C82CC5" w:rsidRDefault="00C454A2" w:rsidP="00C454A2">
      <w:pPr>
        <w:widowControl w:val="0"/>
        <w:jc w:val="both"/>
        <w:rPr>
          <w:b/>
        </w:rPr>
      </w:pPr>
      <w:r w:rsidRPr="00C82CC5">
        <w:rPr>
          <w:b/>
        </w:rPr>
        <w:t>e. Konferens om återvinning av bioavfall i Europa (</w:t>
      </w:r>
      <w:smartTag w:uri="urn:schemas-microsoft-com:office:smarttags" w:element="City">
        <w:smartTag w:uri="urn:schemas-microsoft-com:office:smarttags" w:element="place">
          <w:r w:rsidRPr="00C82CC5">
            <w:rPr>
              <w:b/>
            </w:rPr>
            <w:t>Barcelona</w:t>
          </w:r>
        </w:smartTag>
      </w:smartTag>
      <w:r w:rsidRPr="00C82CC5">
        <w:rPr>
          <w:b/>
        </w:rPr>
        <w:t xml:space="preserve"> 15 februari 2010) </w:t>
      </w:r>
    </w:p>
    <w:p w:rsidR="00C454A2" w:rsidRPr="00C82CC5" w:rsidRDefault="00C454A2" w:rsidP="00C454A2">
      <w:pPr>
        <w:widowControl w:val="0"/>
        <w:jc w:val="both"/>
        <w:rPr>
          <w:i/>
        </w:rPr>
      </w:pPr>
      <w:r w:rsidRPr="00C82CC5">
        <w:rPr>
          <w:i/>
        </w:rPr>
        <w:t>– information från ordförandeskapet</w:t>
      </w:r>
    </w:p>
    <w:p w:rsidR="00C454A2" w:rsidRPr="00C82CC5" w:rsidRDefault="00C454A2" w:rsidP="00C454A2">
      <w:pPr>
        <w:widowControl w:val="0"/>
        <w:jc w:val="both"/>
        <w:rPr>
          <w:b/>
        </w:rPr>
      </w:pPr>
    </w:p>
    <w:p w:rsidR="00C454A2" w:rsidRPr="00C82CC5" w:rsidRDefault="001572E2" w:rsidP="00C454A2">
      <w:pPr>
        <w:tabs>
          <w:tab w:val="left" w:pos="360"/>
        </w:tabs>
        <w:rPr>
          <w:b/>
        </w:rPr>
      </w:pPr>
      <w:r w:rsidRPr="00C82CC5">
        <w:rPr>
          <w:b/>
        </w:rPr>
        <w:t>f. Översyn av g</w:t>
      </w:r>
      <w:r w:rsidR="00C454A2" w:rsidRPr="00C82CC5">
        <w:rPr>
          <w:b/>
        </w:rPr>
        <w:t>emenskapens kvicksilverstrategi</w:t>
      </w:r>
    </w:p>
    <w:p w:rsidR="00C454A2" w:rsidRPr="00C82CC5" w:rsidRDefault="00C454A2" w:rsidP="00C454A2">
      <w:pPr>
        <w:tabs>
          <w:tab w:val="left" w:pos="360"/>
        </w:tabs>
        <w:rPr>
          <w:i/>
        </w:rPr>
      </w:pPr>
      <w:r w:rsidRPr="00C82CC5">
        <w:rPr>
          <w:i/>
        </w:rPr>
        <w:t>- information från kommissionen</w:t>
      </w:r>
    </w:p>
    <w:p w:rsidR="00C454A2" w:rsidRPr="00C82CC5" w:rsidRDefault="00C454A2" w:rsidP="00C454A2">
      <w:pPr>
        <w:tabs>
          <w:tab w:val="left" w:pos="360"/>
        </w:tabs>
      </w:pPr>
    </w:p>
    <w:p w:rsidR="00C454A2" w:rsidRPr="00C82CC5" w:rsidRDefault="006A328A" w:rsidP="00C454A2">
      <w:pPr>
        <w:pStyle w:val="RKnormal"/>
      </w:pPr>
      <w:r w:rsidRPr="00C82CC5">
        <w:t>Sverige har i det förberedande arbetet föreslagit att EU-kommissionen ska lämna information om arbetet med översynen av kvicksilverstrategin. K</w:t>
      </w:r>
      <w:r w:rsidR="00C454A2" w:rsidRPr="00C82CC5">
        <w:t>ommissionen presenterade i januari 2005 en kvicksilverstrategi för gemenskapen. Rådet ställde sig bakom strategin genom sina råd</w:t>
      </w:r>
      <w:r w:rsidR="001572E2" w:rsidRPr="00C82CC5">
        <w:t>s</w:t>
      </w:r>
      <w:r w:rsidR="00C454A2" w:rsidRPr="00C82CC5">
        <w:t xml:space="preserve">slutsatser i juni 2005. Europaparlamentet antog parallellt en resolution. Strategin syftar till att sammanhållet minska utsläpp, minska utbud och efterfrågan, finna långsiktiga lösningar på överskott av kvicksilver, skydda mot exponering, förbättra förståelsen kring problemet samt stödja och främja internationella åtgärder. Den har utgjort grunden till att EU varit drivande för en kvicksilverkonvention men också genererat förslag till åtgärder på gemenskapsnivå. Sammanlagt innehåller den 20 olika åtgärdsförslag. </w:t>
      </w:r>
    </w:p>
    <w:p w:rsidR="00C454A2" w:rsidRPr="00C82CC5" w:rsidRDefault="00C454A2" w:rsidP="00C454A2">
      <w:pPr>
        <w:pStyle w:val="RKnormal"/>
      </w:pPr>
    </w:p>
    <w:p w:rsidR="00C454A2" w:rsidRPr="00C82CC5" w:rsidRDefault="00C454A2" w:rsidP="00C454A2">
      <w:pPr>
        <w:pStyle w:val="RKnormal"/>
      </w:pPr>
      <w:r w:rsidRPr="00C82CC5">
        <w:t>Sverige var drivande för att strategin skulle komma till stånd och svenska erfarenheter från att fasa ut användning har utgjort ett viktigt underlag för EU:s ställningstagande. Regeringen och miljömyndigheterna har varit pådrivande för att de olika åtgärderna ska genomföras med en hög ambitionsnivå och i den takt som strategin anger. Det svenska totalförbudet, som började gälla den 1 juni 2009, har exempelvis visat på möjligheterna att ersätta dentalt amalgam med andra tandfyllnings-material.</w:t>
      </w:r>
    </w:p>
    <w:p w:rsidR="00C454A2" w:rsidRPr="00C82CC5" w:rsidRDefault="00C454A2" w:rsidP="00C454A2">
      <w:pPr>
        <w:pStyle w:val="RKnormal"/>
      </w:pPr>
    </w:p>
    <w:p w:rsidR="00C454A2" w:rsidRPr="00C82CC5" w:rsidRDefault="00C454A2" w:rsidP="00C454A2">
      <w:pPr>
        <w:pStyle w:val="RKnormal"/>
      </w:pPr>
      <w:r w:rsidRPr="00C82CC5">
        <w:t>Det framgår av strategin att kommissionen avser att se över de</w:t>
      </w:r>
      <w:r w:rsidR="001572E2" w:rsidRPr="00C82CC5">
        <w:t>n i dess</w:t>
      </w:r>
      <w:r w:rsidRPr="00C82CC5">
        <w:t xml:space="preserve"> helhet till slutet av år 2010. Kommissionens intention är att</w:t>
      </w:r>
      <w:r w:rsidR="001572E2" w:rsidRPr="00C82CC5">
        <w:t xml:space="preserve"> översynen ska resultera i ett nytt meddelande</w:t>
      </w:r>
      <w:r w:rsidRPr="00C82CC5">
        <w:t xml:space="preserve">.  </w:t>
      </w:r>
    </w:p>
    <w:p w:rsidR="00C454A2" w:rsidRPr="00C82CC5" w:rsidRDefault="00C454A2" w:rsidP="00C454A2">
      <w:pPr>
        <w:pStyle w:val="RKnormal"/>
      </w:pPr>
    </w:p>
    <w:p w:rsidR="00C454A2" w:rsidRPr="00C82CC5" w:rsidRDefault="00C454A2" w:rsidP="00C454A2">
      <w:pPr>
        <w:tabs>
          <w:tab w:val="left" w:pos="360"/>
        </w:tabs>
        <w:rPr>
          <w:b/>
        </w:rPr>
      </w:pPr>
      <w:r w:rsidRPr="00C82CC5">
        <w:rPr>
          <w:b/>
        </w:rPr>
        <w:t xml:space="preserve">g. Genomförandet av Euro V/VI </w:t>
      </w:r>
    </w:p>
    <w:p w:rsidR="00C454A2" w:rsidRPr="00C82CC5" w:rsidRDefault="00C454A2" w:rsidP="00C454A2">
      <w:pPr>
        <w:tabs>
          <w:tab w:val="left" w:pos="360"/>
        </w:tabs>
        <w:rPr>
          <w:i/>
        </w:rPr>
      </w:pPr>
      <w:r w:rsidRPr="00C82CC5">
        <w:rPr>
          <w:i/>
        </w:rPr>
        <w:t>– information från Nederländerna</w:t>
      </w:r>
    </w:p>
    <w:p w:rsidR="00B87D59" w:rsidRPr="00C82CC5" w:rsidRDefault="00B87D59" w:rsidP="00B87D59">
      <w:pPr>
        <w:pStyle w:val="RKnormal"/>
      </w:pPr>
      <w:r w:rsidRPr="00C82CC5">
        <w:t>Nederländerna har begärt en övrig punkt på dagordningen för att disk</w:t>
      </w:r>
      <w:r w:rsidRPr="00C82CC5">
        <w:t>u</w:t>
      </w:r>
      <w:r w:rsidRPr="00C82CC5">
        <w:t>tera problemen med höga NO</w:t>
      </w:r>
      <w:r w:rsidRPr="00C82CC5">
        <w:rPr>
          <w:vertAlign w:val="subscript"/>
        </w:rPr>
        <w:t>X</w:t>
      </w:r>
      <w:r w:rsidRPr="00C82CC5">
        <w:t>/NO</w:t>
      </w:r>
      <w:r w:rsidRPr="00C82CC5">
        <w:rPr>
          <w:vertAlign w:val="subscript"/>
        </w:rPr>
        <w:t>2</w:t>
      </w:r>
      <w:r w:rsidRPr="00C82CC5">
        <w:t xml:space="preserve"> utsläpp från tunga fordon.</w:t>
      </w:r>
    </w:p>
    <w:p w:rsidR="00B87D59" w:rsidRPr="00C82CC5" w:rsidRDefault="00B87D59" w:rsidP="00B87D59">
      <w:pPr>
        <w:pStyle w:val="RKnormal"/>
      </w:pPr>
      <w:r w:rsidRPr="00C82CC5">
        <w:t>Den 1 september 2009 trädde de nya avgaskraven för tunga fordon i kraft, s.k. Euro V. De nya kraven skärpte bl.a. utsläppen av NO</w:t>
      </w:r>
      <w:r w:rsidRPr="00C82CC5">
        <w:rPr>
          <w:vertAlign w:val="subscript"/>
        </w:rPr>
        <w:t>X</w:t>
      </w:r>
      <w:r w:rsidRPr="00C82CC5">
        <w:t xml:space="preserve"> med närmare 60% vid provtillfället, jämfört med Euro IV. Tester av fordon på väg visar emellertid att de verkliga utsläppen av NO</w:t>
      </w:r>
      <w:r w:rsidRPr="00C82CC5">
        <w:rPr>
          <w:vertAlign w:val="subscript"/>
        </w:rPr>
        <w:t>X</w:t>
      </w:r>
      <w:r w:rsidRPr="00C82CC5">
        <w:t xml:space="preserve"> är tre gånger högre än det tillåtna gränsvärdet vid stadskörning i komb</w:t>
      </w:r>
      <w:r w:rsidRPr="00C82CC5">
        <w:t>i</w:t>
      </w:r>
      <w:r w:rsidRPr="00C82CC5">
        <w:t>nation med låga temperaturer och låga laster. De höga utsläppen kan i</w:t>
      </w:r>
      <w:r w:rsidRPr="00C82CC5">
        <w:t>n</w:t>
      </w:r>
      <w:r w:rsidRPr="00C82CC5">
        <w:t>nebära problem för vissa medlemsländer att nå de fastställa nationella utsläppstaken för luftfö</w:t>
      </w:r>
      <w:r w:rsidRPr="00C82CC5">
        <w:t>r</w:t>
      </w:r>
      <w:r w:rsidRPr="00C82CC5">
        <w:t>oreningar. Kommissionen förbereder just nu förslag till kommittébeslut om tekni</w:t>
      </w:r>
      <w:r w:rsidRPr="00C82CC5">
        <w:t>s</w:t>
      </w:r>
      <w:r w:rsidRPr="00C82CC5">
        <w:t>ka ändringar i EU regleringen.</w:t>
      </w:r>
    </w:p>
    <w:p w:rsidR="00B87D59" w:rsidRPr="00C82CC5" w:rsidRDefault="00B87D59" w:rsidP="00C454A2">
      <w:pPr>
        <w:tabs>
          <w:tab w:val="left" w:pos="360"/>
        </w:tabs>
      </w:pPr>
    </w:p>
    <w:p w:rsidR="00C454A2" w:rsidRPr="00C82CC5" w:rsidRDefault="00C454A2" w:rsidP="00C454A2">
      <w:pPr>
        <w:tabs>
          <w:tab w:val="left" w:pos="360"/>
        </w:tabs>
        <w:rPr>
          <w:b/>
        </w:rPr>
      </w:pPr>
      <w:r w:rsidRPr="00C82CC5">
        <w:rPr>
          <w:b/>
        </w:rPr>
        <w:t>h. Säkra material i kontakt med dricksvatten- översyn av dricksvattendirektivet</w:t>
      </w:r>
    </w:p>
    <w:p w:rsidR="00C454A2" w:rsidRPr="00C82CC5" w:rsidRDefault="00C454A2" w:rsidP="00C454A2">
      <w:pPr>
        <w:tabs>
          <w:tab w:val="left" w:pos="360"/>
        </w:tabs>
        <w:rPr>
          <w:i/>
        </w:rPr>
      </w:pPr>
      <w:r w:rsidRPr="00C82CC5">
        <w:rPr>
          <w:i/>
        </w:rPr>
        <w:t xml:space="preserve"> – information från Tyskland </w:t>
      </w:r>
    </w:p>
    <w:p w:rsidR="00C454A2" w:rsidRPr="00C82CC5" w:rsidRDefault="00C454A2" w:rsidP="00C454A2">
      <w:pPr>
        <w:tabs>
          <w:tab w:val="left" w:pos="360"/>
        </w:tabs>
      </w:pPr>
    </w:p>
    <w:p w:rsidR="00C454A2" w:rsidRPr="00C82CC5" w:rsidRDefault="00C454A2" w:rsidP="00C454A2">
      <w:pPr>
        <w:tabs>
          <w:tab w:val="left" w:pos="360"/>
        </w:tabs>
        <w:rPr>
          <w:b/>
        </w:rPr>
      </w:pPr>
      <w:r w:rsidRPr="00C82CC5">
        <w:rPr>
          <w:b/>
        </w:rPr>
        <w:t>i. Black Sea Environmental Partnership</w:t>
      </w:r>
    </w:p>
    <w:p w:rsidR="00C454A2" w:rsidRPr="00C82CC5" w:rsidRDefault="00C454A2" w:rsidP="00C454A2">
      <w:pPr>
        <w:tabs>
          <w:tab w:val="left" w:pos="360"/>
        </w:tabs>
        <w:rPr>
          <w:i/>
        </w:rPr>
      </w:pPr>
      <w:r w:rsidRPr="00C82CC5">
        <w:rPr>
          <w:i/>
        </w:rPr>
        <w:t>- information från Rumänien</w:t>
      </w:r>
    </w:p>
    <w:p w:rsidR="0077728B" w:rsidRPr="00C82CC5" w:rsidRDefault="0077728B" w:rsidP="006C422C">
      <w:pPr>
        <w:pStyle w:val="RKnormal"/>
        <w:rPr>
          <w:rFonts w:ascii="Times New Roman" w:hAnsi="Times New Roman"/>
          <w:i/>
          <w:color w:val="000000"/>
        </w:rPr>
      </w:pPr>
    </w:p>
    <w:sectPr w:rsidR="0077728B" w:rsidRPr="00C82CC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DDF" w:rsidRPr="00C82CC5" w:rsidRDefault="00080DDF">
      <w:r w:rsidRPr="00C82CC5">
        <w:separator/>
      </w:r>
    </w:p>
  </w:endnote>
  <w:endnote w:type="continuationSeparator" w:id="0">
    <w:p w:rsidR="00080DDF" w:rsidRPr="00C82CC5" w:rsidRDefault="00080DDF">
      <w:r w:rsidRPr="00C8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DDF" w:rsidRPr="00C82CC5" w:rsidRDefault="00080DDF">
      <w:r w:rsidRPr="00C82CC5">
        <w:separator/>
      </w:r>
    </w:p>
  </w:footnote>
  <w:footnote w:type="continuationSeparator" w:id="0">
    <w:p w:rsidR="00080DDF" w:rsidRPr="00C82CC5" w:rsidRDefault="00080DDF">
      <w:r w:rsidRPr="00C82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F9" w:rsidRPr="00C82CC5" w:rsidRDefault="00B710F9">
    <w:pPr>
      <w:pStyle w:val="Sidhuvud"/>
      <w:framePr w:wrap="around" w:vAnchor="text" w:hAnchor="margin" w:xAlign="right" w:y="1"/>
      <w:rPr>
        <w:rStyle w:val="Sidnummer"/>
      </w:rPr>
    </w:pPr>
    <w:r w:rsidRPr="00C82CC5">
      <w:rPr>
        <w:rStyle w:val="Sidnummer"/>
      </w:rPr>
      <w:fldChar w:fldCharType="begin" w:fldLock="1"/>
    </w:r>
    <w:r w:rsidRPr="00C82CC5">
      <w:rPr>
        <w:rStyle w:val="Sidnummer"/>
      </w:rPr>
      <w:instrText xml:space="preserve">PAGE  </w:instrText>
    </w:r>
    <w:r w:rsidRPr="00C82CC5">
      <w:rPr>
        <w:rStyle w:val="Sidnummer"/>
      </w:rPr>
      <w:fldChar w:fldCharType="separate"/>
    </w:r>
    <w:r w:rsidR="00042A69" w:rsidRPr="00C82CC5">
      <w:rPr>
        <w:rStyle w:val="Sidnummer"/>
      </w:rPr>
      <w:t>8</w:t>
    </w:r>
    <w:r w:rsidRPr="00C82C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10F9" w:rsidRPr="00C82CC5">
      <w:tblPrEx>
        <w:tblCellMar>
          <w:top w:w="0" w:type="dxa"/>
          <w:bottom w:w="0" w:type="dxa"/>
        </w:tblCellMar>
      </w:tblPrEx>
      <w:trPr>
        <w:cantSplit/>
      </w:trPr>
      <w:tc>
        <w:tcPr>
          <w:tcW w:w="3119" w:type="dxa"/>
        </w:tcPr>
        <w:p w:rsidR="00B710F9" w:rsidRPr="00C82CC5" w:rsidRDefault="00B710F9">
          <w:pPr>
            <w:pStyle w:val="Sidhuvud"/>
            <w:spacing w:line="200" w:lineRule="atLeast"/>
            <w:ind w:right="357"/>
            <w:rPr>
              <w:rFonts w:ascii="TradeGothic" w:hAnsi="TradeGothic"/>
              <w:b/>
              <w:bCs/>
              <w:sz w:val="16"/>
            </w:rPr>
          </w:pPr>
        </w:p>
      </w:tc>
      <w:tc>
        <w:tcPr>
          <w:tcW w:w="4111" w:type="dxa"/>
          <w:tcMar>
            <w:left w:w="567" w:type="dxa"/>
          </w:tcMar>
        </w:tcPr>
        <w:p w:rsidR="00B710F9" w:rsidRPr="00C82CC5" w:rsidRDefault="00B710F9">
          <w:pPr>
            <w:pStyle w:val="Sidhuvud"/>
            <w:ind w:right="360"/>
          </w:pPr>
        </w:p>
      </w:tc>
      <w:tc>
        <w:tcPr>
          <w:tcW w:w="1525" w:type="dxa"/>
        </w:tcPr>
        <w:p w:rsidR="00B710F9" w:rsidRPr="00C82CC5" w:rsidRDefault="00B710F9">
          <w:pPr>
            <w:pStyle w:val="Sidhuvud"/>
            <w:ind w:right="360"/>
          </w:pPr>
        </w:p>
      </w:tc>
    </w:tr>
  </w:tbl>
  <w:p w:rsidR="00B710F9" w:rsidRPr="00C82CC5" w:rsidRDefault="00B710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F9" w:rsidRPr="00C82CC5" w:rsidRDefault="00B710F9">
    <w:pPr>
      <w:pStyle w:val="Sidhuvud"/>
      <w:framePr w:wrap="around" w:vAnchor="text" w:hAnchor="margin" w:xAlign="right" w:y="1"/>
      <w:rPr>
        <w:rStyle w:val="Sidnummer"/>
      </w:rPr>
    </w:pPr>
    <w:r w:rsidRPr="00C82CC5">
      <w:rPr>
        <w:rStyle w:val="Sidnummer"/>
      </w:rPr>
      <w:fldChar w:fldCharType="begin" w:fldLock="1"/>
    </w:r>
    <w:r w:rsidRPr="00C82CC5">
      <w:rPr>
        <w:rStyle w:val="Sidnummer"/>
      </w:rPr>
      <w:instrText xml:space="preserve">PAGE  </w:instrText>
    </w:r>
    <w:r w:rsidRPr="00C82CC5">
      <w:rPr>
        <w:rStyle w:val="Sidnummer"/>
      </w:rPr>
      <w:fldChar w:fldCharType="separate"/>
    </w:r>
    <w:r w:rsidR="00042A69" w:rsidRPr="00C82CC5">
      <w:rPr>
        <w:rStyle w:val="Sidnummer"/>
      </w:rPr>
      <w:t>7</w:t>
    </w:r>
    <w:r w:rsidRPr="00C82C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10F9" w:rsidRPr="00C82CC5">
      <w:tblPrEx>
        <w:tblCellMar>
          <w:top w:w="0" w:type="dxa"/>
          <w:bottom w:w="0" w:type="dxa"/>
        </w:tblCellMar>
      </w:tblPrEx>
      <w:trPr>
        <w:cantSplit/>
      </w:trPr>
      <w:tc>
        <w:tcPr>
          <w:tcW w:w="3119" w:type="dxa"/>
        </w:tcPr>
        <w:p w:rsidR="00B710F9" w:rsidRPr="00C82CC5" w:rsidRDefault="00B710F9">
          <w:pPr>
            <w:pStyle w:val="Sidhuvud"/>
            <w:spacing w:line="200" w:lineRule="atLeast"/>
            <w:ind w:right="357"/>
            <w:rPr>
              <w:rFonts w:ascii="TradeGothic" w:hAnsi="TradeGothic"/>
              <w:b/>
              <w:bCs/>
              <w:sz w:val="16"/>
            </w:rPr>
          </w:pPr>
        </w:p>
      </w:tc>
      <w:tc>
        <w:tcPr>
          <w:tcW w:w="4111" w:type="dxa"/>
          <w:tcMar>
            <w:left w:w="567" w:type="dxa"/>
          </w:tcMar>
        </w:tcPr>
        <w:p w:rsidR="00B710F9" w:rsidRPr="00C82CC5" w:rsidRDefault="00B710F9">
          <w:pPr>
            <w:pStyle w:val="Sidhuvud"/>
            <w:ind w:right="360"/>
          </w:pPr>
        </w:p>
      </w:tc>
      <w:tc>
        <w:tcPr>
          <w:tcW w:w="1525" w:type="dxa"/>
        </w:tcPr>
        <w:p w:rsidR="00B710F9" w:rsidRPr="00C82CC5" w:rsidRDefault="00B710F9">
          <w:pPr>
            <w:pStyle w:val="Sidhuvud"/>
            <w:ind w:right="360"/>
          </w:pPr>
        </w:p>
      </w:tc>
    </w:tr>
  </w:tbl>
  <w:p w:rsidR="00B710F9" w:rsidRPr="00C82CC5" w:rsidRDefault="00B710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F9" w:rsidRPr="00C82CC5" w:rsidRDefault="00C82CC5">
    <w:pPr>
      <w:framePr w:w="2948" w:h="1321" w:hRule="exact" w:wrap="notBeside" w:vAnchor="page" w:hAnchor="page" w:x="1362" w:y="653"/>
    </w:pPr>
    <w:r w:rsidRPr="00C82CC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10F9" w:rsidRPr="00C82CC5" w:rsidRDefault="00B710F9">
    <w:pPr>
      <w:pStyle w:val="RKrubrik"/>
      <w:keepNext w:val="0"/>
      <w:tabs>
        <w:tab w:val="clear" w:pos="1134"/>
        <w:tab w:val="clear" w:pos="2835"/>
      </w:tabs>
      <w:spacing w:before="0" w:after="0" w:line="320" w:lineRule="atLeast"/>
      <w:rPr>
        <w:bCs/>
      </w:rPr>
    </w:pPr>
  </w:p>
  <w:p w:rsidR="00B710F9" w:rsidRPr="00C82CC5" w:rsidRDefault="00B710F9">
    <w:pPr>
      <w:rPr>
        <w:rFonts w:ascii="TradeGothic" w:hAnsi="TradeGothic"/>
        <w:b/>
        <w:bCs/>
        <w:spacing w:val="12"/>
        <w:sz w:val="22"/>
      </w:rPr>
    </w:pPr>
  </w:p>
  <w:p w:rsidR="00B710F9" w:rsidRPr="00C82CC5" w:rsidRDefault="00B710F9">
    <w:pPr>
      <w:pStyle w:val="RKrubrik"/>
      <w:keepNext w:val="0"/>
      <w:tabs>
        <w:tab w:val="clear" w:pos="1134"/>
        <w:tab w:val="clear" w:pos="2835"/>
      </w:tabs>
      <w:spacing w:before="0" w:after="0" w:line="320" w:lineRule="atLeast"/>
      <w:rPr>
        <w:bCs/>
      </w:rPr>
    </w:pPr>
  </w:p>
  <w:p w:rsidR="00B710F9" w:rsidRPr="00C82CC5" w:rsidRDefault="00B710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C6C"/>
    <w:multiLevelType w:val="hybridMultilevel"/>
    <w:tmpl w:val="463CF5D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7679451A"/>
    <w:multiLevelType w:val="hybridMultilevel"/>
    <w:tmpl w:val="9746DECE"/>
    <w:lvl w:ilvl="0" w:tplc="080C000F">
      <w:start w:val="1"/>
      <w:numFmt w:val="decimal"/>
      <w:lvlText w:val="%1."/>
      <w:lvlJc w:val="left"/>
      <w:pPr>
        <w:tabs>
          <w:tab w:val="num" w:pos="360"/>
        </w:tabs>
        <w:ind w:left="360" w:hanging="360"/>
      </w:p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16cid:durableId="1240674606">
    <w:abstractNumId w:val="0"/>
  </w:num>
  <w:num w:numId="2" w16cid:durableId="206209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EA0F30"/>
    <w:rsid w:val="00042A69"/>
    <w:rsid w:val="00080DDF"/>
    <w:rsid w:val="000C1F68"/>
    <w:rsid w:val="000D7DA1"/>
    <w:rsid w:val="000E213F"/>
    <w:rsid w:val="00150384"/>
    <w:rsid w:val="001572E2"/>
    <w:rsid w:val="001668B5"/>
    <w:rsid w:val="001805B7"/>
    <w:rsid w:val="001C07BB"/>
    <w:rsid w:val="00252EBF"/>
    <w:rsid w:val="00457A0D"/>
    <w:rsid w:val="004A328D"/>
    <w:rsid w:val="004E648C"/>
    <w:rsid w:val="004F35B9"/>
    <w:rsid w:val="00512BE3"/>
    <w:rsid w:val="005868DC"/>
    <w:rsid w:val="005B4FAE"/>
    <w:rsid w:val="006013D0"/>
    <w:rsid w:val="00653E15"/>
    <w:rsid w:val="006853B5"/>
    <w:rsid w:val="006A328A"/>
    <w:rsid w:val="006C422C"/>
    <w:rsid w:val="006E4E11"/>
    <w:rsid w:val="00705F03"/>
    <w:rsid w:val="007242A3"/>
    <w:rsid w:val="007249F1"/>
    <w:rsid w:val="0077728B"/>
    <w:rsid w:val="007B0547"/>
    <w:rsid w:val="007F474F"/>
    <w:rsid w:val="0087092C"/>
    <w:rsid w:val="008D067D"/>
    <w:rsid w:val="008D30B1"/>
    <w:rsid w:val="008D4056"/>
    <w:rsid w:val="008F29EA"/>
    <w:rsid w:val="0094638E"/>
    <w:rsid w:val="009A5A6F"/>
    <w:rsid w:val="009D1812"/>
    <w:rsid w:val="009E3AC3"/>
    <w:rsid w:val="00A5225F"/>
    <w:rsid w:val="00A74B81"/>
    <w:rsid w:val="00AD5AE3"/>
    <w:rsid w:val="00B431D8"/>
    <w:rsid w:val="00B710F9"/>
    <w:rsid w:val="00B87D59"/>
    <w:rsid w:val="00C36AC2"/>
    <w:rsid w:val="00C454A2"/>
    <w:rsid w:val="00C82CC5"/>
    <w:rsid w:val="00CA29BB"/>
    <w:rsid w:val="00CE30C7"/>
    <w:rsid w:val="00D67814"/>
    <w:rsid w:val="00EA0F30"/>
    <w:rsid w:val="00EC25F9"/>
    <w:rsid w:val="00F13C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3784E23B-F5DA-4D8E-848C-81A51A37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A0F30"/>
    <w:rPr>
      <w:rFonts w:ascii="OrigGarmnd BT" w:hAnsi="OrigGarmnd BT"/>
      <w:sz w:val="24"/>
      <w:lang w:val="sv-SE" w:eastAsia="en-US" w:bidi="ar-SA"/>
    </w:rPr>
  </w:style>
  <w:style w:type="paragraph" w:styleId="Fotnotstext">
    <w:name w:val="footnote text"/>
    <w:basedOn w:val="Normal"/>
    <w:semiHidden/>
    <w:rsid w:val="000E213F"/>
    <w:rPr>
      <w:sz w:val="20"/>
    </w:rPr>
  </w:style>
  <w:style w:type="character" w:styleId="Fotnotsreferens">
    <w:name w:val="footnote reference"/>
    <w:basedOn w:val="Standardstycketeckensnitt"/>
    <w:semiHidden/>
    <w:rsid w:val="000E213F"/>
    <w:rPr>
      <w:vertAlign w:val="superscript"/>
    </w:rPr>
  </w:style>
  <w:style w:type="paragraph" w:styleId="Ballongtext">
    <w:name w:val="Balloon Text"/>
    <w:basedOn w:val="Normal"/>
    <w:semiHidden/>
    <w:rsid w:val="0004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2104</Words>
  <Characters>13152</Characters>
  <Application>Microsoft Office Word</Application>
  <DocSecurity>4</DocSecurity>
  <Lines>365</Lines>
  <Paragraphs>135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2010-03-08T12:11:00Z</cp:lastPrinted>
  <dcterms:created xsi:type="dcterms:W3CDTF">2025-12-18T00:01:00Z</dcterms:created>
  <dcterms:modified xsi:type="dcterms:W3CDTF">2025-12-18T00:01:00Z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