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577DF" w:rsidRPr="0081668D">
        <w:tblPrEx>
          <w:tblCellMar>
            <w:top w:w="0" w:type="dxa"/>
            <w:bottom w:w="0" w:type="dxa"/>
          </w:tblCellMar>
        </w:tblPrEx>
        <w:tc>
          <w:tcPr>
            <w:tcW w:w="2268" w:type="dxa"/>
          </w:tcPr>
          <w:p w:rsidR="008577DF" w:rsidRPr="0081668D" w:rsidRDefault="008577DF">
            <w:pPr>
              <w:framePr w:w="4400" w:h="1644" w:wrap="notBeside" w:vAnchor="page" w:hAnchor="page" w:x="6573" w:y="721"/>
              <w:rPr>
                <w:rFonts w:ascii="TradeGothic" w:hAnsi="TradeGothic"/>
                <w:i/>
                <w:sz w:val="18"/>
              </w:rPr>
            </w:pPr>
          </w:p>
        </w:tc>
        <w:tc>
          <w:tcPr>
            <w:tcW w:w="2347" w:type="dxa"/>
            <w:gridSpan w:val="2"/>
          </w:tcPr>
          <w:p w:rsidR="008577DF" w:rsidRPr="0081668D" w:rsidRDefault="008577DF">
            <w:pPr>
              <w:framePr w:w="4400" w:h="1644" w:wrap="notBeside" w:vAnchor="page" w:hAnchor="page" w:x="6573" w:y="721"/>
              <w:rPr>
                <w:rFonts w:ascii="TradeGothic" w:hAnsi="TradeGothic"/>
                <w:i/>
                <w:sz w:val="18"/>
              </w:rPr>
            </w:pPr>
          </w:p>
        </w:tc>
      </w:tr>
      <w:tr w:rsidR="008577DF" w:rsidRPr="0081668D">
        <w:tblPrEx>
          <w:tblCellMar>
            <w:top w:w="0" w:type="dxa"/>
            <w:bottom w:w="0" w:type="dxa"/>
          </w:tblCellMar>
        </w:tblPrEx>
        <w:trPr>
          <w:cantSplit/>
        </w:trPr>
        <w:tc>
          <w:tcPr>
            <w:tcW w:w="4615" w:type="dxa"/>
            <w:gridSpan w:val="3"/>
          </w:tcPr>
          <w:p w:rsidR="008577DF" w:rsidRPr="0081668D" w:rsidRDefault="009E4E55">
            <w:pPr>
              <w:framePr w:w="4400" w:h="1644" w:wrap="notBeside" w:vAnchor="page" w:hAnchor="page" w:x="6573" w:y="721"/>
              <w:rPr>
                <w:rFonts w:ascii="TradeGothic" w:hAnsi="TradeGothic"/>
                <w:b/>
                <w:sz w:val="22"/>
              </w:rPr>
            </w:pPr>
            <w:r w:rsidRPr="0081668D">
              <w:rPr>
                <w:rFonts w:ascii="TradeGothic" w:hAnsi="TradeGothic"/>
                <w:b/>
                <w:sz w:val="22"/>
              </w:rPr>
              <w:t>P</w:t>
            </w:r>
            <w:r w:rsidR="008577DF" w:rsidRPr="0081668D">
              <w:rPr>
                <w:rFonts w:ascii="TradeGothic" w:hAnsi="TradeGothic"/>
                <w:b/>
                <w:sz w:val="22"/>
              </w:rPr>
              <w:t>romemoria</w:t>
            </w:r>
          </w:p>
        </w:tc>
      </w:tr>
      <w:tr w:rsidR="008577DF" w:rsidRPr="0081668D">
        <w:tblPrEx>
          <w:tblCellMar>
            <w:top w:w="0" w:type="dxa"/>
            <w:bottom w:w="0" w:type="dxa"/>
          </w:tblCellMar>
        </w:tblPrEx>
        <w:tc>
          <w:tcPr>
            <w:tcW w:w="3402" w:type="dxa"/>
            <w:gridSpan w:val="2"/>
          </w:tcPr>
          <w:p w:rsidR="008577DF" w:rsidRPr="0081668D" w:rsidRDefault="008577DF">
            <w:pPr>
              <w:framePr w:w="4400" w:h="1644" w:wrap="notBeside" w:vAnchor="page" w:hAnchor="page" w:x="6573" w:y="721"/>
            </w:pPr>
          </w:p>
        </w:tc>
        <w:tc>
          <w:tcPr>
            <w:tcW w:w="1213" w:type="dxa"/>
          </w:tcPr>
          <w:p w:rsidR="008577DF" w:rsidRPr="0081668D" w:rsidRDefault="008577DF">
            <w:pPr>
              <w:framePr w:w="4400" w:h="1644" w:wrap="notBeside" w:vAnchor="page" w:hAnchor="page" w:x="6573" w:y="721"/>
            </w:pPr>
          </w:p>
        </w:tc>
      </w:tr>
      <w:tr w:rsidR="008577DF" w:rsidRPr="0081668D">
        <w:tblPrEx>
          <w:tblCellMar>
            <w:top w:w="0" w:type="dxa"/>
            <w:bottom w:w="0" w:type="dxa"/>
          </w:tblCellMar>
        </w:tblPrEx>
        <w:tc>
          <w:tcPr>
            <w:tcW w:w="2268" w:type="dxa"/>
          </w:tcPr>
          <w:p w:rsidR="008577DF" w:rsidRPr="0081668D" w:rsidRDefault="009374D4">
            <w:pPr>
              <w:framePr w:w="4400" w:h="1644" w:wrap="notBeside" w:vAnchor="page" w:hAnchor="page" w:x="6573" w:y="721"/>
            </w:pPr>
            <w:r w:rsidRPr="0081668D">
              <w:t>20</w:t>
            </w:r>
            <w:r w:rsidR="00A763A6" w:rsidRPr="0081668D">
              <w:t>11</w:t>
            </w:r>
            <w:r w:rsidR="008577DF" w:rsidRPr="0081668D">
              <w:t>-</w:t>
            </w:r>
            <w:r w:rsidR="00A763A6" w:rsidRPr="0081668D">
              <w:t>0</w:t>
            </w:r>
            <w:r w:rsidR="00471F3B" w:rsidRPr="0081668D">
              <w:t>2</w:t>
            </w:r>
            <w:r w:rsidRPr="0081668D">
              <w:t>-</w:t>
            </w:r>
            <w:r w:rsidR="00FA4771" w:rsidRPr="0081668D">
              <w:t>25</w:t>
            </w:r>
          </w:p>
        </w:tc>
        <w:tc>
          <w:tcPr>
            <w:tcW w:w="2347" w:type="dxa"/>
            <w:gridSpan w:val="2"/>
          </w:tcPr>
          <w:p w:rsidR="008577DF" w:rsidRPr="0081668D" w:rsidRDefault="008577DF">
            <w:pPr>
              <w:framePr w:w="4400" w:h="1644" w:wrap="notBeside" w:vAnchor="page" w:hAnchor="page" w:x="6573" w:y="721"/>
            </w:pPr>
          </w:p>
        </w:tc>
      </w:tr>
      <w:tr w:rsidR="008577DF" w:rsidRPr="0081668D">
        <w:tblPrEx>
          <w:tblCellMar>
            <w:top w:w="0" w:type="dxa"/>
            <w:bottom w:w="0" w:type="dxa"/>
          </w:tblCellMar>
        </w:tblPrEx>
        <w:tc>
          <w:tcPr>
            <w:tcW w:w="2268" w:type="dxa"/>
          </w:tcPr>
          <w:p w:rsidR="008577DF" w:rsidRPr="0081668D" w:rsidRDefault="008577DF">
            <w:pPr>
              <w:framePr w:w="4400" w:h="1644" w:wrap="notBeside" w:vAnchor="page" w:hAnchor="page" w:x="6573" w:y="721"/>
            </w:pPr>
          </w:p>
        </w:tc>
        <w:tc>
          <w:tcPr>
            <w:tcW w:w="2347" w:type="dxa"/>
            <w:gridSpan w:val="2"/>
          </w:tcPr>
          <w:p w:rsidR="008577DF" w:rsidRPr="0081668D" w:rsidRDefault="008577D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577DF" w:rsidRPr="0081668D">
        <w:tblPrEx>
          <w:tblCellMar>
            <w:top w:w="0" w:type="dxa"/>
            <w:bottom w:w="0" w:type="dxa"/>
          </w:tblCellMar>
        </w:tblPrEx>
        <w:trPr>
          <w:trHeight w:val="284"/>
        </w:trPr>
        <w:tc>
          <w:tcPr>
            <w:tcW w:w="4911" w:type="dxa"/>
          </w:tcPr>
          <w:p w:rsidR="008577DF" w:rsidRPr="0081668D" w:rsidRDefault="008577DF">
            <w:pPr>
              <w:pStyle w:val="Avsndare"/>
              <w:framePr w:h="2483" w:wrap="notBeside" w:x="1504"/>
              <w:rPr>
                <w:b/>
                <w:i w:val="0"/>
                <w:sz w:val="22"/>
              </w:rPr>
            </w:pPr>
            <w:r w:rsidRPr="0081668D">
              <w:rPr>
                <w:b/>
                <w:i w:val="0"/>
                <w:sz w:val="22"/>
              </w:rPr>
              <w:t>Justitiedepartementet</w:t>
            </w:r>
          </w:p>
        </w:tc>
      </w:tr>
      <w:tr w:rsidR="008577DF" w:rsidRPr="0081668D">
        <w:tblPrEx>
          <w:tblCellMar>
            <w:top w:w="0" w:type="dxa"/>
            <w:bottom w:w="0" w:type="dxa"/>
          </w:tblCellMar>
        </w:tblPrEx>
        <w:trPr>
          <w:trHeight w:val="284"/>
        </w:trPr>
        <w:tc>
          <w:tcPr>
            <w:tcW w:w="4911" w:type="dxa"/>
          </w:tcPr>
          <w:p w:rsidR="008577DF" w:rsidRPr="0081668D" w:rsidRDefault="008577DF">
            <w:pPr>
              <w:pStyle w:val="Avsndare"/>
              <w:framePr w:h="2483" w:wrap="notBeside" w:x="1504"/>
              <w:rPr>
                <w:bCs/>
                <w:iCs/>
              </w:rPr>
            </w:pPr>
          </w:p>
        </w:tc>
      </w:tr>
      <w:tr w:rsidR="00A763A6" w:rsidRPr="0081668D">
        <w:tblPrEx>
          <w:tblCellMar>
            <w:top w:w="0" w:type="dxa"/>
            <w:bottom w:w="0" w:type="dxa"/>
          </w:tblCellMar>
        </w:tblPrEx>
        <w:trPr>
          <w:trHeight w:val="284"/>
        </w:trPr>
        <w:tc>
          <w:tcPr>
            <w:tcW w:w="4911" w:type="dxa"/>
          </w:tcPr>
          <w:p w:rsidR="00A763A6" w:rsidRPr="0081668D" w:rsidRDefault="00A763A6" w:rsidP="00A763A6">
            <w:pPr>
              <w:pStyle w:val="Avsndare"/>
              <w:framePr w:h="2483" w:wrap="notBeside" w:x="1504"/>
              <w:rPr>
                <w:bCs/>
                <w:iCs/>
              </w:rPr>
            </w:pPr>
            <w:r w:rsidRPr="0081668D">
              <w:rPr>
                <w:bCs/>
                <w:iCs/>
              </w:rPr>
              <w:t>Enheten för fastighetsrätt och associationsrätt</w:t>
            </w:r>
          </w:p>
        </w:tc>
      </w:tr>
      <w:tr w:rsidR="00A763A6" w:rsidRPr="0081668D">
        <w:tblPrEx>
          <w:tblCellMar>
            <w:top w:w="0" w:type="dxa"/>
            <w:bottom w:w="0" w:type="dxa"/>
          </w:tblCellMar>
        </w:tblPrEx>
        <w:trPr>
          <w:trHeight w:val="284"/>
        </w:trPr>
        <w:tc>
          <w:tcPr>
            <w:tcW w:w="4911" w:type="dxa"/>
          </w:tcPr>
          <w:p w:rsidR="00A763A6" w:rsidRPr="0081668D" w:rsidRDefault="00A763A6" w:rsidP="00A763A6">
            <w:pPr>
              <w:pStyle w:val="Avsndare"/>
              <w:framePr w:h="2483" w:wrap="notBeside" w:x="1504"/>
              <w:rPr>
                <w:bCs/>
                <w:iCs/>
              </w:rPr>
            </w:pPr>
          </w:p>
        </w:tc>
      </w:tr>
      <w:tr w:rsidR="008577DF" w:rsidRPr="0081668D">
        <w:tblPrEx>
          <w:tblCellMar>
            <w:top w:w="0" w:type="dxa"/>
            <w:bottom w:w="0" w:type="dxa"/>
          </w:tblCellMar>
        </w:tblPrEx>
        <w:trPr>
          <w:trHeight w:val="284"/>
        </w:trPr>
        <w:tc>
          <w:tcPr>
            <w:tcW w:w="4911" w:type="dxa"/>
          </w:tcPr>
          <w:p w:rsidR="008577DF" w:rsidRPr="0081668D" w:rsidRDefault="008577DF">
            <w:pPr>
              <w:pStyle w:val="Avsndare"/>
              <w:framePr w:h="2483" w:wrap="notBeside" w:x="1504"/>
              <w:rPr>
                <w:bCs/>
                <w:iCs/>
              </w:rPr>
            </w:pPr>
          </w:p>
        </w:tc>
      </w:tr>
      <w:tr w:rsidR="008577DF" w:rsidRPr="0081668D">
        <w:tblPrEx>
          <w:tblCellMar>
            <w:top w:w="0" w:type="dxa"/>
            <w:bottom w:w="0" w:type="dxa"/>
          </w:tblCellMar>
        </w:tblPrEx>
        <w:trPr>
          <w:trHeight w:val="284"/>
        </w:trPr>
        <w:tc>
          <w:tcPr>
            <w:tcW w:w="4911" w:type="dxa"/>
          </w:tcPr>
          <w:p w:rsidR="008577DF" w:rsidRPr="0081668D" w:rsidRDefault="008577DF">
            <w:pPr>
              <w:pStyle w:val="Avsndare"/>
              <w:framePr w:h="2483" w:wrap="notBeside" w:x="1504"/>
              <w:rPr>
                <w:bCs/>
                <w:iCs/>
              </w:rPr>
            </w:pPr>
          </w:p>
        </w:tc>
      </w:tr>
      <w:tr w:rsidR="008577DF" w:rsidRPr="0081668D">
        <w:tblPrEx>
          <w:tblCellMar>
            <w:top w:w="0" w:type="dxa"/>
            <w:bottom w:w="0" w:type="dxa"/>
          </w:tblCellMar>
        </w:tblPrEx>
        <w:trPr>
          <w:trHeight w:val="284"/>
        </w:trPr>
        <w:tc>
          <w:tcPr>
            <w:tcW w:w="4911" w:type="dxa"/>
          </w:tcPr>
          <w:p w:rsidR="008577DF" w:rsidRPr="0081668D" w:rsidRDefault="008577DF">
            <w:pPr>
              <w:pStyle w:val="Avsndare"/>
              <w:framePr w:h="2483" w:wrap="notBeside" w:x="1504"/>
              <w:rPr>
                <w:bCs/>
                <w:iCs/>
              </w:rPr>
            </w:pPr>
          </w:p>
        </w:tc>
      </w:tr>
      <w:tr w:rsidR="008577DF" w:rsidRPr="0081668D">
        <w:tblPrEx>
          <w:tblCellMar>
            <w:top w:w="0" w:type="dxa"/>
            <w:bottom w:w="0" w:type="dxa"/>
          </w:tblCellMar>
        </w:tblPrEx>
        <w:trPr>
          <w:trHeight w:val="284"/>
        </w:trPr>
        <w:tc>
          <w:tcPr>
            <w:tcW w:w="4911" w:type="dxa"/>
          </w:tcPr>
          <w:p w:rsidR="008577DF" w:rsidRPr="0081668D" w:rsidRDefault="008577DF">
            <w:pPr>
              <w:pStyle w:val="Avsndare"/>
              <w:framePr w:h="2483" w:wrap="notBeside" w:x="1504"/>
              <w:rPr>
                <w:bCs/>
                <w:iCs/>
              </w:rPr>
            </w:pPr>
          </w:p>
        </w:tc>
      </w:tr>
      <w:tr w:rsidR="008577DF" w:rsidRPr="0081668D">
        <w:tblPrEx>
          <w:tblCellMar>
            <w:top w:w="0" w:type="dxa"/>
            <w:bottom w:w="0" w:type="dxa"/>
          </w:tblCellMar>
        </w:tblPrEx>
        <w:trPr>
          <w:trHeight w:val="284"/>
        </w:trPr>
        <w:tc>
          <w:tcPr>
            <w:tcW w:w="4911" w:type="dxa"/>
          </w:tcPr>
          <w:p w:rsidR="008577DF" w:rsidRPr="0081668D" w:rsidRDefault="008577DF">
            <w:pPr>
              <w:pStyle w:val="Avsndare"/>
              <w:framePr w:h="2483" w:wrap="notBeside" w:x="1504"/>
              <w:rPr>
                <w:bCs/>
                <w:iCs/>
              </w:rPr>
            </w:pPr>
          </w:p>
        </w:tc>
      </w:tr>
    </w:tbl>
    <w:p w:rsidR="008577DF" w:rsidRPr="0081668D" w:rsidRDefault="008577DF">
      <w:pPr>
        <w:framePr w:w="4400" w:h="2523" w:wrap="notBeside" w:vAnchor="page" w:hAnchor="page" w:x="6453" w:y="2445"/>
        <w:ind w:left="142"/>
        <w:rPr>
          <w:b/>
        </w:rPr>
      </w:pPr>
    </w:p>
    <w:p w:rsidR="00567B03" w:rsidRPr="0081668D" w:rsidRDefault="00567B03">
      <w:pPr>
        <w:framePr w:w="4400" w:h="2523" w:wrap="notBeside" w:vAnchor="page" w:hAnchor="page" w:x="6453" w:y="2445"/>
        <w:ind w:left="142"/>
        <w:rPr>
          <w:b/>
        </w:rPr>
      </w:pPr>
    </w:p>
    <w:p w:rsidR="00567B03" w:rsidRPr="0081668D" w:rsidRDefault="00567B03">
      <w:pPr>
        <w:framePr w:w="4400" w:h="2523" w:wrap="notBeside" w:vAnchor="page" w:hAnchor="page" w:x="6453" w:y="2445"/>
        <w:ind w:left="142"/>
        <w:rPr>
          <w:b/>
        </w:rPr>
      </w:pPr>
    </w:p>
    <w:p w:rsidR="00567B03" w:rsidRPr="0081668D" w:rsidRDefault="00567B03">
      <w:pPr>
        <w:framePr w:w="4400" w:h="2523" w:wrap="notBeside" w:vAnchor="page" w:hAnchor="page" w:x="6453" w:y="2445"/>
        <w:ind w:left="142"/>
        <w:rPr>
          <w:b/>
        </w:rPr>
      </w:pPr>
      <w:r w:rsidRPr="0081668D">
        <w:rPr>
          <w:b/>
        </w:rPr>
        <w:t>Dnr 090-1923-2010/11</w:t>
      </w:r>
    </w:p>
    <w:p w:rsidR="008577DF" w:rsidRPr="0081668D" w:rsidRDefault="00471F3B">
      <w:pPr>
        <w:pStyle w:val="RKrubrik"/>
        <w:pBdr>
          <w:bottom w:val="single" w:sz="6" w:space="1" w:color="auto"/>
        </w:pBdr>
      </w:pPr>
      <w:bookmarkStart w:id="0" w:name="bRubrik"/>
      <w:bookmarkEnd w:id="0"/>
      <w:r w:rsidRPr="0081668D">
        <w:t xml:space="preserve">Överläggning med </w:t>
      </w:r>
      <w:r w:rsidR="00A00042" w:rsidRPr="0081668D">
        <w:t>Civil</w:t>
      </w:r>
      <w:r w:rsidR="009374D4" w:rsidRPr="0081668D">
        <w:t xml:space="preserve">utskottet den </w:t>
      </w:r>
      <w:r w:rsidRPr="0081668D">
        <w:t xml:space="preserve">3 mars </w:t>
      </w:r>
      <w:r w:rsidR="00A763A6" w:rsidRPr="0081668D">
        <w:t>2011</w:t>
      </w:r>
    </w:p>
    <w:p w:rsidR="008577DF" w:rsidRPr="0081668D" w:rsidRDefault="008577DF">
      <w:pPr>
        <w:pStyle w:val="RKnormal"/>
      </w:pPr>
    </w:p>
    <w:p w:rsidR="00C51A0C" w:rsidRPr="0081668D" w:rsidRDefault="00C51A0C" w:rsidP="00C51A0C">
      <w:pPr>
        <w:pStyle w:val="RKnormal"/>
      </w:pPr>
      <w:r w:rsidRPr="0081668D">
        <w:t>Rubrik: Förslag till förordning om privata europabolag (SPE)</w:t>
      </w:r>
    </w:p>
    <w:p w:rsidR="00C51A0C" w:rsidRPr="0081668D" w:rsidRDefault="00C51A0C" w:rsidP="00C51A0C">
      <w:pPr>
        <w:pStyle w:val="RKnormal"/>
      </w:pPr>
    </w:p>
    <w:p w:rsidR="001C60BB" w:rsidRPr="0081668D" w:rsidRDefault="00C51A0C" w:rsidP="00C51A0C">
      <w:pPr>
        <w:pStyle w:val="RKnormal"/>
      </w:pPr>
      <w:r w:rsidRPr="0081668D">
        <w:t xml:space="preserve">Dokument:  </w:t>
      </w:r>
    </w:p>
    <w:p w:rsidR="00C51A0C" w:rsidRPr="0081668D" w:rsidRDefault="001C60BB" w:rsidP="00C51A0C">
      <w:pPr>
        <w:pStyle w:val="RKnormal"/>
      </w:pPr>
      <w:r w:rsidRPr="0081668D">
        <w:t xml:space="preserve">- </w:t>
      </w:r>
      <w:r w:rsidR="00C51A0C" w:rsidRPr="0081668D">
        <w:t>16115/09 ORDF:s reviderade förslag av den 27 november 2009.</w:t>
      </w:r>
    </w:p>
    <w:p w:rsidR="00C51A0C" w:rsidRPr="0081668D" w:rsidRDefault="001C60BB" w:rsidP="00C51A0C">
      <w:pPr>
        <w:pStyle w:val="RKnormal"/>
      </w:pPr>
      <w:r w:rsidRPr="0081668D">
        <w:t xml:space="preserve">- </w:t>
      </w:r>
      <w:r w:rsidR="00C51A0C" w:rsidRPr="0081668D">
        <w:t xml:space="preserve">1016/11 ORDF:s diskussionsunderlag av den 7 januari 2011. </w:t>
      </w:r>
    </w:p>
    <w:p w:rsidR="00C51A0C" w:rsidRPr="0081668D" w:rsidRDefault="00C51A0C" w:rsidP="00C51A0C">
      <w:pPr>
        <w:pStyle w:val="RKnormal"/>
      </w:pPr>
    </w:p>
    <w:p w:rsidR="003D4886" w:rsidRPr="0081668D" w:rsidRDefault="00C51A0C" w:rsidP="003D4886">
      <w:pPr>
        <w:pStyle w:val="RKnormal"/>
        <w:rPr>
          <w:szCs w:val="24"/>
        </w:rPr>
      </w:pPr>
      <w:r w:rsidRPr="0081668D">
        <w:t xml:space="preserve">Tidigare dokument: </w:t>
      </w:r>
      <w:r w:rsidR="003D4886" w:rsidRPr="0081668D">
        <w:t xml:space="preserve">KOM (2008) 396/3 slutlig, Fakta-PM </w:t>
      </w:r>
      <w:r w:rsidR="003D4886" w:rsidRPr="0081668D">
        <w:rPr>
          <w:szCs w:val="24"/>
        </w:rPr>
        <w:t>Justitie</w:t>
      </w:r>
      <w:r w:rsidR="007F14B0" w:rsidRPr="0081668D">
        <w:rPr>
          <w:szCs w:val="24"/>
        </w:rPr>
        <w:softHyphen/>
      </w:r>
      <w:r w:rsidR="003D4886" w:rsidRPr="0081668D">
        <w:rPr>
          <w:szCs w:val="24"/>
        </w:rPr>
        <w:t>de</w:t>
      </w:r>
      <w:r w:rsidR="008E304A" w:rsidRPr="0081668D">
        <w:rPr>
          <w:szCs w:val="24"/>
        </w:rPr>
        <w:softHyphen/>
      </w:r>
      <w:r w:rsidR="003D4886" w:rsidRPr="0081668D">
        <w:rPr>
          <w:szCs w:val="24"/>
        </w:rPr>
        <w:t xml:space="preserve">partementet </w:t>
      </w:r>
      <w:r w:rsidR="003D4886" w:rsidRPr="0081668D">
        <w:rPr>
          <w:bCs/>
          <w:color w:val="000000"/>
          <w:szCs w:val="24"/>
        </w:rPr>
        <w:t>2007/08:FPM133</w:t>
      </w:r>
    </w:p>
    <w:p w:rsidR="00C51A0C" w:rsidRPr="0081668D" w:rsidRDefault="00C51A0C" w:rsidP="00C51A0C">
      <w:pPr>
        <w:pStyle w:val="RKnormal"/>
      </w:pPr>
    </w:p>
    <w:p w:rsidR="00C51A0C" w:rsidRPr="0081668D" w:rsidRDefault="00C51A0C" w:rsidP="00C51A0C">
      <w:pPr>
        <w:pStyle w:val="RKnormal"/>
      </w:pPr>
      <w:r w:rsidRPr="0081668D">
        <w:t xml:space="preserve">Tidigare behandlad vid samråd med EU-nämnden: </w:t>
      </w:r>
      <w:r w:rsidR="003D4886" w:rsidRPr="0081668D">
        <w:t xml:space="preserve">28 november 2008, 20 maj 2009 och </w:t>
      </w:r>
      <w:r w:rsidRPr="0081668D">
        <w:t>27 november 2009</w:t>
      </w:r>
    </w:p>
    <w:p w:rsidR="00C51A0C" w:rsidRPr="0081668D" w:rsidRDefault="00C51A0C" w:rsidP="00C51A0C">
      <w:pPr>
        <w:pStyle w:val="RKnormal"/>
      </w:pPr>
    </w:p>
    <w:p w:rsidR="00C51A0C" w:rsidRPr="0081668D" w:rsidRDefault="00C51A0C" w:rsidP="00C51A0C">
      <w:pPr>
        <w:pStyle w:val="RKnormal"/>
      </w:pPr>
      <w:r w:rsidRPr="0081668D">
        <w:t xml:space="preserve">Tidigare behandlad vid möte med Civilutskottet: </w:t>
      </w:r>
      <w:r w:rsidR="00471F3B" w:rsidRPr="0081668D">
        <w:t>17 september 2008, 26 </w:t>
      </w:r>
      <w:r w:rsidRPr="0081668D">
        <w:t>november 2009 (överläggning)</w:t>
      </w:r>
      <w:r w:rsidR="00471F3B" w:rsidRPr="0081668D">
        <w:t xml:space="preserve"> och 8 februari 2011 (information)</w:t>
      </w:r>
    </w:p>
    <w:p w:rsidR="008577DF" w:rsidRPr="0081668D" w:rsidRDefault="008577DF">
      <w:pPr>
        <w:pStyle w:val="RKrubrik"/>
      </w:pPr>
      <w:r w:rsidRPr="0081668D">
        <w:t>Bakgrund</w:t>
      </w:r>
    </w:p>
    <w:p w:rsidR="008577DF" w:rsidRPr="0081668D" w:rsidRDefault="008577DF">
      <w:pPr>
        <w:pStyle w:val="RKnormal"/>
      </w:pPr>
    </w:p>
    <w:p w:rsidR="001C60BB" w:rsidRPr="0081668D" w:rsidRDefault="001C60BB" w:rsidP="001C60BB">
      <w:pPr>
        <w:pStyle w:val="RKnormal"/>
      </w:pPr>
      <w:r w:rsidRPr="0081668D">
        <w:t>Förslaget till förordning om privata europabolag är en del av kommis</w:t>
      </w:r>
      <w:r w:rsidRPr="0081668D">
        <w:softHyphen/>
        <w:t>sionens Small Business Act (SBA) och innebär att en ny europeisk asso</w:t>
      </w:r>
      <w:r w:rsidRPr="0081668D">
        <w:softHyphen/>
        <w:t>cia</w:t>
      </w:r>
      <w:r w:rsidRPr="0081668D">
        <w:softHyphen/>
        <w:t>tionsform skapas. Förslaget syftar till att stärka små och medel</w:t>
      </w:r>
      <w:r w:rsidRPr="0081668D">
        <w:softHyphen/>
        <w:t>stora företags konkurrenskraft genom att underlätta etablering på den inre mark</w:t>
      </w:r>
      <w:r w:rsidRPr="0081668D">
        <w:softHyphen/>
        <w:t>naden. Ett annat syfte är att minska de kostnader som uppstår på grund av att reglerna för att bilda och driva företag skil</w:t>
      </w:r>
      <w:r w:rsidRPr="0081668D">
        <w:softHyphen/>
        <w:t>jer sig åt mellan medlemssta</w:t>
      </w:r>
      <w:r w:rsidRPr="0081668D">
        <w:softHyphen/>
        <w:t xml:space="preserve">terna. </w:t>
      </w:r>
    </w:p>
    <w:p w:rsidR="001C60BB" w:rsidRPr="0081668D" w:rsidRDefault="001C60BB" w:rsidP="001C60BB">
      <w:pPr>
        <w:pStyle w:val="RKnormal"/>
      </w:pPr>
    </w:p>
    <w:p w:rsidR="001C60BB" w:rsidRPr="0081668D" w:rsidRDefault="001C60BB" w:rsidP="001C60BB">
      <w:pPr>
        <w:pStyle w:val="RKnormal"/>
      </w:pPr>
      <w:r w:rsidRPr="0081668D">
        <w:t xml:space="preserve">Förhandlingarna inleddes 2008 och intensifierades under det svenska ordförandeskapet. Det kompromissförslag som togs fram behandlades i rådet i december 2009. Någon enighet kunde dock inte nås. </w:t>
      </w:r>
    </w:p>
    <w:p w:rsidR="008577DF" w:rsidRPr="0081668D" w:rsidRDefault="008577DF">
      <w:pPr>
        <w:pStyle w:val="RKrubrik"/>
      </w:pPr>
      <w:r w:rsidRPr="0081668D">
        <w:t>Rättslig grund och beslutsförfarande</w:t>
      </w:r>
    </w:p>
    <w:p w:rsidR="001C60BB" w:rsidRPr="0081668D" w:rsidRDefault="001C60BB" w:rsidP="001C60BB">
      <w:pPr>
        <w:pStyle w:val="RKnormal"/>
      </w:pPr>
      <w:r w:rsidRPr="0081668D">
        <w:t xml:space="preserve">Artikel  352 i EUF-fördraget. Rådet beslutar med enhällighet efter Europaparlamentets godkännande. </w:t>
      </w:r>
    </w:p>
    <w:p w:rsidR="008577DF" w:rsidRPr="0081668D" w:rsidRDefault="008577DF">
      <w:pPr>
        <w:pStyle w:val="RKrubrik"/>
        <w:rPr>
          <w:iCs/>
        </w:rPr>
      </w:pPr>
      <w:r w:rsidRPr="0081668D">
        <w:rPr>
          <w:iCs/>
        </w:rPr>
        <w:lastRenderedPageBreak/>
        <w:t>Svensk ståndpunkt</w:t>
      </w:r>
    </w:p>
    <w:p w:rsidR="00FB44A7" w:rsidRPr="0081668D" w:rsidRDefault="00A00042" w:rsidP="00FB44A7">
      <w:r w:rsidRPr="0081668D">
        <w:t xml:space="preserve">Regeringen är positiv till åtgärder som kan underlätta för små och medelstora företag att etablera sig och att bedriva verksamhet. </w:t>
      </w:r>
      <w:r w:rsidR="00FB44A7" w:rsidRPr="0081668D">
        <w:t>Det är emellertid tveksamt om det aktuella kompromissförslaget är ägnat att underlätta för just dessa företag. Övriga europeiska associa</w:t>
      </w:r>
      <w:r w:rsidR="00FB44A7" w:rsidRPr="0081668D">
        <w:softHyphen/>
        <w:t>tions</w:t>
      </w:r>
      <w:r w:rsidR="00FB44A7" w:rsidRPr="0081668D">
        <w:softHyphen/>
        <w:t>former (europabolag och europa</w:t>
      </w:r>
      <w:r w:rsidR="00FB44A7" w:rsidRPr="0081668D">
        <w:softHyphen/>
        <w:t>kooperativ) har inte fått något större genom</w:t>
      </w:r>
      <w:r w:rsidR="008E304A" w:rsidRPr="0081668D">
        <w:softHyphen/>
      </w:r>
      <w:r w:rsidR="00FB44A7" w:rsidRPr="0081668D">
        <w:t xml:space="preserve">slag. Det är därför angeläget att regelverket för SPE-bolagen anpassas efter företagens behov och att det blir så enhetligt som möjligt och även enkelt att tillämpa. Därvid framstår det som mindre lämpligt att i stor utsträckning överlämna </w:t>
      </w:r>
      <w:r w:rsidR="00FF1371" w:rsidRPr="0081668D">
        <w:t>väsentliga</w:t>
      </w:r>
      <w:r w:rsidR="00FB44A7" w:rsidRPr="0081668D">
        <w:t xml:space="preserve"> frågor för bolagsformen till reglering på nationell nivå. </w:t>
      </w:r>
    </w:p>
    <w:p w:rsidR="00FB44A7" w:rsidRPr="0081668D" w:rsidRDefault="00FB44A7" w:rsidP="00FB44A7"/>
    <w:p w:rsidR="00BA75E0" w:rsidRPr="0081668D" w:rsidRDefault="00BD49AC" w:rsidP="00A00042">
      <w:r w:rsidRPr="0081668D">
        <w:t xml:space="preserve">För svenskt vidkommande är det av central betydelse att arbetstagarnas rätt till inflytande i SPE-bolagen säkras. </w:t>
      </w:r>
      <w:r w:rsidR="00FB44A7" w:rsidRPr="0081668D">
        <w:t>Det får heller inte vara möjligt att använda b</w:t>
      </w:r>
      <w:r w:rsidRPr="0081668D">
        <w:t xml:space="preserve">olagsformen </w:t>
      </w:r>
      <w:r w:rsidR="00FB44A7" w:rsidRPr="0081668D">
        <w:t xml:space="preserve">i syfte att </w:t>
      </w:r>
      <w:r w:rsidRPr="0081668D">
        <w:t>kringgå våra nationella regler. De</w:t>
      </w:r>
      <w:r w:rsidR="00FF1371" w:rsidRPr="0081668D">
        <w:t>n</w:t>
      </w:r>
      <w:r w:rsidRPr="0081668D">
        <w:t xml:space="preserve"> </w:t>
      </w:r>
      <w:r w:rsidR="00FF1371" w:rsidRPr="0081668D">
        <w:t xml:space="preserve">nivå </w:t>
      </w:r>
      <w:r w:rsidR="00FB44A7" w:rsidRPr="0081668D">
        <w:t xml:space="preserve">för gränsöverskridande arbetstagarinflytande </w:t>
      </w:r>
      <w:r w:rsidRPr="0081668D">
        <w:t>om minst 400 anställda som nu disku</w:t>
      </w:r>
      <w:r w:rsidR="00FF1371" w:rsidRPr="0081668D">
        <w:t>teras är därför inte acceptabel</w:t>
      </w:r>
      <w:r w:rsidRPr="0081668D">
        <w:t xml:space="preserve">. </w:t>
      </w:r>
    </w:p>
    <w:p w:rsidR="00BD49AC" w:rsidRPr="0081668D" w:rsidRDefault="00BD49AC" w:rsidP="00A00042"/>
    <w:p w:rsidR="00BD49AC" w:rsidRPr="0081668D" w:rsidRDefault="000B185E" w:rsidP="00A00042">
      <w:r w:rsidRPr="0081668D">
        <w:t xml:space="preserve">När det gäller </w:t>
      </w:r>
      <w:r w:rsidR="00A21579" w:rsidRPr="0081668D">
        <w:t>kravet på aktiekapital i bolaget är det av vikt att regel</w:t>
      </w:r>
      <w:r w:rsidR="00A21579" w:rsidRPr="0081668D">
        <w:softHyphen/>
        <w:t xml:space="preserve">verket inte strider mot grundläggande svenska intressen och att skyddet för bolagets borgenärer är fullgott. Kompromissförslaget ger </w:t>
      </w:r>
      <w:r w:rsidRPr="0081668D">
        <w:t>medlems</w:t>
      </w:r>
      <w:r w:rsidR="00A21579" w:rsidRPr="0081668D">
        <w:softHyphen/>
      </w:r>
      <w:r w:rsidRPr="0081668D">
        <w:t xml:space="preserve">staterna </w:t>
      </w:r>
      <w:r w:rsidR="00A21579" w:rsidRPr="0081668D">
        <w:t xml:space="preserve">rätt att själva bestämma den nedre gränsen för aktiekapitalets storlek till </w:t>
      </w:r>
      <w:r w:rsidRPr="0081668D">
        <w:t>mellan 1 och 8 000 €. Det kan ifråga</w:t>
      </w:r>
      <w:r w:rsidRPr="0081668D">
        <w:softHyphen/>
        <w:t>sättas om en så va</w:t>
      </w:r>
      <w:r w:rsidR="00706229" w:rsidRPr="0081668D">
        <w:t>rierande kapitalbas är förenlig</w:t>
      </w:r>
      <w:r w:rsidRPr="0081668D">
        <w:t xml:space="preserve"> med förord</w:t>
      </w:r>
      <w:r w:rsidR="008E304A" w:rsidRPr="0081668D">
        <w:softHyphen/>
      </w:r>
      <w:r w:rsidRPr="0081668D">
        <w:t>ningens har</w:t>
      </w:r>
      <w:r w:rsidR="001E6C9B" w:rsidRPr="0081668D">
        <w:softHyphen/>
      </w:r>
      <w:r w:rsidRPr="0081668D">
        <w:t>moniseringssyfte. Det inger också betänkligheter att bolag tillåts upp</w:t>
      </w:r>
      <w:r w:rsidR="001E6C9B" w:rsidRPr="0081668D">
        <w:softHyphen/>
      </w:r>
      <w:r w:rsidRPr="0081668D">
        <w:t xml:space="preserve">träda </w:t>
      </w:r>
      <w:r w:rsidR="00706229" w:rsidRPr="0081668D">
        <w:t xml:space="preserve">i </w:t>
      </w:r>
      <w:r w:rsidRPr="0081668D">
        <w:t xml:space="preserve">en och samma </w:t>
      </w:r>
      <w:r w:rsidR="00706229" w:rsidRPr="0081668D">
        <w:t xml:space="preserve">form </w:t>
      </w:r>
      <w:r w:rsidRPr="0081668D">
        <w:t xml:space="preserve">trots att </w:t>
      </w:r>
      <w:r w:rsidR="002E167A" w:rsidRPr="0081668D">
        <w:t>vissa av dem i det närmaste saknar</w:t>
      </w:r>
      <w:r w:rsidR="00706229" w:rsidRPr="0081668D">
        <w:t xml:space="preserve"> aktiekapital</w:t>
      </w:r>
      <w:r w:rsidR="002E167A" w:rsidRPr="0081668D">
        <w:t>.</w:t>
      </w:r>
      <w:r w:rsidRPr="0081668D">
        <w:t xml:space="preserve"> </w:t>
      </w:r>
    </w:p>
    <w:p w:rsidR="007F14B0" w:rsidRPr="0081668D" w:rsidRDefault="007F14B0" w:rsidP="007F14B0">
      <w:pPr>
        <w:pStyle w:val="RKrubrik"/>
      </w:pPr>
      <w:r w:rsidRPr="0081668D">
        <w:t>Europaparlamentets inställning</w:t>
      </w:r>
    </w:p>
    <w:p w:rsidR="007F14B0" w:rsidRPr="0081668D" w:rsidRDefault="007F14B0" w:rsidP="007F14B0">
      <w:pPr>
        <w:pStyle w:val="RKnormal"/>
      </w:pPr>
      <w:r w:rsidRPr="0081668D">
        <w:t>Europaparlamentet yttrade sig över kommissionens förslag i mars 2009 enligt den beslutsordning som gällde innan Lissabonfördraget trädde i kraft. Det har ännu inte framgått vilken inställning det nyvalda parla</w:t>
      </w:r>
      <w:r w:rsidRPr="0081668D">
        <w:softHyphen/>
        <w:t xml:space="preserve">mentet kan ha till förslaget. </w:t>
      </w:r>
    </w:p>
    <w:p w:rsidR="007F14B0" w:rsidRPr="0081668D" w:rsidRDefault="007F14B0" w:rsidP="007F14B0">
      <w:pPr>
        <w:pStyle w:val="RKrubrik"/>
        <w:rPr>
          <w:iCs/>
        </w:rPr>
      </w:pPr>
      <w:r w:rsidRPr="0081668D">
        <w:rPr>
          <w:iCs/>
        </w:rPr>
        <w:t>Förslaget</w:t>
      </w:r>
    </w:p>
    <w:p w:rsidR="007F14B0" w:rsidRPr="0081668D" w:rsidRDefault="007F14B0" w:rsidP="007F14B0">
      <w:pPr>
        <w:pStyle w:val="RKnormal"/>
      </w:pPr>
      <w:r w:rsidRPr="0081668D">
        <w:t xml:space="preserve">Det ungerska ordförandeskapet har i början av året presenterat ett diskussionsunderlag </w:t>
      </w:r>
      <w:r w:rsidR="00D02A64" w:rsidRPr="0081668D">
        <w:t xml:space="preserve">med ett kompromissförslag </w:t>
      </w:r>
      <w:r w:rsidRPr="0081668D">
        <w:t xml:space="preserve">i syfte att undersöka vilka möjligheter det finns att föra förhandlingarna framåt. Därvid har tre problemområden särskilt pekats ut, nämligen regleringen av bolagets säte, aktiekapitalets storlek och arbetstagarinflytandet. </w:t>
      </w:r>
    </w:p>
    <w:p w:rsidR="007F14B0" w:rsidRPr="0081668D" w:rsidRDefault="007F14B0" w:rsidP="007F14B0">
      <w:pPr>
        <w:pStyle w:val="RKnormal"/>
      </w:pPr>
    </w:p>
    <w:p w:rsidR="007F14B0" w:rsidRPr="0081668D" w:rsidRDefault="007F14B0" w:rsidP="007F14B0">
      <w:pPr>
        <w:pStyle w:val="RKnormal"/>
      </w:pPr>
      <w:r w:rsidRPr="0081668D">
        <w:t>När det gäller frågan om bolagets säte har flertalet medlemsstater stött kommissionens ursprungliga förslag att det ska vara tillåtet för bolaget att ha sitt säte i annat land än i det där bolaget har sitt huvudkontor eller sin huvudsakliga verksamhet. Några medlemsstater vill dock kunna kräva att sätet sammanfaller med verksamhetslandet. ORDF har nu föreslagit att saken ska regleras av nationell rätt men att det under en treårig över</w:t>
      </w:r>
      <w:r w:rsidRPr="0081668D">
        <w:softHyphen/>
        <w:t>gångsperiod ska vara tillåtet för medlemsstaterna att kräva att bolagets säte sammanfaller med platsen för huvudkontoret eller bolagets huvud</w:t>
      </w:r>
      <w:r w:rsidRPr="0081668D">
        <w:softHyphen/>
        <w:t xml:space="preserve">sakliga verksamhet. </w:t>
      </w:r>
    </w:p>
    <w:p w:rsidR="007F14B0" w:rsidRPr="0081668D" w:rsidRDefault="007F14B0" w:rsidP="007F14B0">
      <w:pPr>
        <w:pStyle w:val="RKnormal"/>
      </w:pPr>
    </w:p>
    <w:p w:rsidR="007F14B0" w:rsidRPr="0081668D" w:rsidRDefault="007F14B0" w:rsidP="007F14B0">
      <w:pPr>
        <w:pStyle w:val="RKnormal"/>
      </w:pPr>
      <w:r w:rsidRPr="0081668D">
        <w:t xml:space="preserve">I fråga om aktiekapitalets storlek föreslås att medlemsstaterna får rätt att själva välja en lägsta nivå mellan 1 och 8 000 €. </w:t>
      </w:r>
    </w:p>
    <w:p w:rsidR="007F14B0" w:rsidRPr="0081668D" w:rsidRDefault="007F14B0" w:rsidP="007F14B0">
      <w:pPr>
        <w:pStyle w:val="RKnormal"/>
      </w:pPr>
    </w:p>
    <w:p w:rsidR="007F14B0" w:rsidRPr="0081668D" w:rsidRDefault="007F14B0" w:rsidP="007F14B0">
      <w:pPr>
        <w:pStyle w:val="RKnormal"/>
      </w:pPr>
      <w:r w:rsidRPr="0081668D">
        <w:t>Vad slutligen beträffar frågan om arbetstagarinflytande har ORDF före</w:t>
      </w:r>
      <w:r w:rsidRPr="0081668D">
        <w:softHyphen/>
        <w:t>slagit en rätt till gränsöverskridande medverkan om bolaget har minst 400 arbetstagare och minst hälften av dessa arbetar i en medlemsstat som föreskriver rätt till medverkan som dessa arbetstagare inte får i den medlemsstat där bolaget har sitt säte.</w:t>
      </w:r>
      <w:r w:rsidR="002C6791" w:rsidRPr="0081668D">
        <w:t xml:space="preserve"> </w:t>
      </w:r>
      <w:r w:rsidRPr="0081668D">
        <w:t xml:space="preserve">                                                                                                                                                                                                                                                                                                                                                                                                                                                                                                                                                                                                                                                                                                          </w:t>
      </w:r>
    </w:p>
    <w:p w:rsidR="007F14B0" w:rsidRPr="0081668D" w:rsidRDefault="007F14B0" w:rsidP="007F14B0">
      <w:pPr>
        <w:pStyle w:val="RKrubrik"/>
        <w:rPr>
          <w:iCs/>
        </w:rPr>
      </w:pPr>
      <w:r w:rsidRPr="0081668D">
        <w:rPr>
          <w:iCs/>
        </w:rPr>
        <w:t>Gällande svenska regler och förslagets effekter på dessa</w:t>
      </w:r>
    </w:p>
    <w:p w:rsidR="007F14B0" w:rsidRPr="0081668D" w:rsidRDefault="007F14B0" w:rsidP="007F14B0">
      <w:r w:rsidRPr="0081668D">
        <w:t>En EU-förordning är direkt tillämplig i medlemsstaterna. Förslaget till för</w:t>
      </w:r>
      <w:r w:rsidRPr="0081668D">
        <w:softHyphen/>
        <w:t>ordning påverkar inte de regler som finns i aktiebolagslagen (2005:551) och som gäller för svenska aktiebolag. Förordningsförslaget förutsätter dock att många frågor som rör SPE-bolag ska regleras av nationell rätt för att förordningen ska kunna fungera tillfredsställa</w:t>
      </w:r>
      <w:r w:rsidR="00D02A64" w:rsidRPr="0081668D">
        <w:t xml:space="preserve">nde. Betydande tillägg måste alltså göras i bl.a. aktiebolagslagen. </w:t>
      </w:r>
    </w:p>
    <w:p w:rsidR="007F14B0" w:rsidRPr="0081668D" w:rsidRDefault="007F14B0" w:rsidP="007F14B0">
      <w:pPr>
        <w:pStyle w:val="RKrubrik"/>
      </w:pPr>
      <w:r w:rsidRPr="0081668D">
        <w:t>Ekonomiska konsekvenser</w:t>
      </w:r>
    </w:p>
    <w:p w:rsidR="007F14B0" w:rsidRPr="0081668D" w:rsidRDefault="007F14B0" w:rsidP="007F14B0">
      <w:r w:rsidRPr="0081668D">
        <w:t xml:space="preserve">Några statsfinansiella konsekvenser eller konsekvenser för EU:s budget kan för närvarande inte förutses. </w:t>
      </w:r>
    </w:p>
    <w:p w:rsidR="007F14B0" w:rsidRPr="0081668D" w:rsidRDefault="007F14B0" w:rsidP="007F14B0">
      <w:pPr>
        <w:pStyle w:val="RKrubrik"/>
      </w:pPr>
      <w:r w:rsidRPr="0081668D">
        <w:t>Övrigt</w:t>
      </w:r>
    </w:p>
    <w:p w:rsidR="007F14B0" w:rsidRPr="0081668D" w:rsidRDefault="007F14B0" w:rsidP="007F14B0">
      <w:pPr>
        <w:pStyle w:val="RKnormal"/>
      </w:pPr>
      <w:r w:rsidRPr="0081668D">
        <w:t>Kommissionen har vid ett attachémöte den 24 januari 2011 antytt att det kan finnas skäl att gå vidare med ett fördjupat samarbete i frågan om  nu</w:t>
      </w:r>
      <w:r w:rsidRPr="0081668D">
        <w:softHyphen/>
        <w:t xml:space="preserve">varande kompromissförslag inte har framgång. </w:t>
      </w:r>
    </w:p>
    <w:sectPr w:rsidR="007F14B0" w:rsidRPr="0081668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491B" w:rsidRPr="0081668D" w:rsidRDefault="00CF491B">
      <w:r w:rsidRPr="0081668D">
        <w:separator/>
      </w:r>
    </w:p>
  </w:endnote>
  <w:endnote w:type="continuationSeparator" w:id="0">
    <w:p w:rsidR="00CF491B" w:rsidRPr="0081668D" w:rsidRDefault="00CF491B">
      <w:r w:rsidRPr="008166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491B" w:rsidRPr="0081668D" w:rsidRDefault="00CF491B">
      <w:r w:rsidRPr="0081668D">
        <w:separator/>
      </w:r>
    </w:p>
  </w:footnote>
  <w:footnote w:type="continuationSeparator" w:id="0">
    <w:p w:rsidR="00CF491B" w:rsidRPr="0081668D" w:rsidRDefault="00CF491B">
      <w:r w:rsidRPr="008166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A64" w:rsidRPr="0081668D" w:rsidRDefault="00D02A64">
    <w:pPr>
      <w:pStyle w:val="Sidhuvud"/>
      <w:framePr w:wrap="around" w:vAnchor="text" w:hAnchor="margin" w:xAlign="right" w:y="1"/>
      <w:rPr>
        <w:rStyle w:val="Sidnummer"/>
      </w:rPr>
    </w:pPr>
    <w:r w:rsidRPr="0081668D">
      <w:rPr>
        <w:rStyle w:val="Sidnummer"/>
      </w:rPr>
      <w:fldChar w:fldCharType="begin" w:fldLock="1"/>
    </w:r>
    <w:r w:rsidRPr="0081668D">
      <w:rPr>
        <w:rStyle w:val="Sidnummer"/>
      </w:rPr>
      <w:instrText xml:space="preserve">PAGE  </w:instrText>
    </w:r>
    <w:r w:rsidRPr="0081668D">
      <w:rPr>
        <w:rStyle w:val="Sidnummer"/>
      </w:rPr>
      <w:fldChar w:fldCharType="separate"/>
    </w:r>
    <w:r w:rsidR="00567B03" w:rsidRPr="0081668D">
      <w:rPr>
        <w:rStyle w:val="Sidnummer"/>
      </w:rPr>
      <w:t>2</w:t>
    </w:r>
    <w:r w:rsidRPr="0081668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02A64" w:rsidRPr="0081668D">
      <w:tblPrEx>
        <w:tblCellMar>
          <w:top w:w="0" w:type="dxa"/>
          <w:bottom w:w="0" w:type="dxa"/>
        </w:tblCellMar>
      </w:tblPrEx>
      <w:trPr>
        <w:cantSplit/>
      </w:trPr>
      <w:tc>
        <w:tcPr>
          <w:tcW w:w="3119" w:type="dxa"/>
        </w:tcPr>
        <w:p w:rsidR="00D02A64" w:rsidRPr="0081668D" w:rsidRDefault="00D02A64">
          <w:pPr>
            <w:pStyle w:val="Sidhuvud"/>
            <w:spacing w:line="200" w:lineRule="atLeast"/>
            <w:ind w:right="357"/>
            <w:rPr>
              <w:rFonts w:ascii="TradeGothic" w:hAnsi="TradeGothic"/>
              <w:b/>
              <w:bCs/>
              <w:sz w:val="16"/>
            </w:rPr>
          </w:pPr>
        </w:p>
      </w:tc>
      <w:tc>
        <w:tcPr>
          <w:tcW w:w="4111" w:type="dxa"/>
          <w:tcMar>
            <w:left w:w="567" w:type="dxa"/>
          </w:tcMar>
        </w:tcPr>
        <w:p w:rsidR="00D02A64" w:rsidRPr="0081668D" w:rsidRDefault="00D02A64">
          <w:pPr>
            <w:pStyle w:val="Sidhuvud"/>
            <w:ind w:right="360"/>
          </w:pPr>
        </w:p>
      </w:tc>
      <w:tc>
        <w:tcPr>
          <w:tcW w:w="1525" w:type="dxa"/>
        </w:tcPr>
        <w:p w:rsidR="00D02A64" w:rsidRPr="0081668D" w:rsidRDefault="00D02A64">
          <w:pPr>
            <w:pStyle w:val="Sidhuvud"/>
            <w:ind w:right="360"/>
          </w:pPr>
        </w:p>
      </w:tc>
    </w:tr>
  </w:tbl>
  <w:p w:rsidR="00D02A64" w:rsidRPr="0081668D" w:rsidRDefault="00D02A6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A64" w:rsidRPr="0081668D" w:rsidRDefault="00D02A64">
    <w:pPr>
      <w:pStyle w:val="Sidhuvud"/>
      <w:framePr w:wrap="around" w:vAnchor="text" w:hAnchor="margin" w:xAlign="right" w:y="1"/>
      <w:rPr>
        <w:rStyle w:val="Sidnummer"/>
      </w:rPr>
    </w:pPr>
    <w:r w:rsidRPr="0081668D">
      <w:rPr>
        <w:rStyle w:val="Sidnummer"/>
      </w:rPr>
      <w:fldChar w:fldCharType="begin" w:fldLock="1"/>
    </w:r>
    <w:r w:rsidRPr="0081668D">
      <w:rPr>
        <w:rStyle w:val="Sidnummer"/>
      </w:rPr>
      <w:instrText xml:space="preserve">PAGE  </w:instrText>
    </w:r>
    <w:r w:rsidRPr="0081668D">
      <w:rPr>
        <w:rStyle w:val="Sidnummer"/>
      </w:rPr>
      <w:fldChar w:fldCharType="separate"/>
    </w:r>
    <w:r w:rsidR="00567B03" w:rsidRPr="0081668D">
      <w:rPr>
        <w:rStyle w:val="Sidnummer"/>
      </w:rPr>
      <w:t>3</w:t>
    </w:r>
    <w:r w:rsidRPr="0081668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02A64" w:rsidRPr="0081668D">
      <w:tblPrEx>
        <w:tblCellMar>
          <w:top w:w="0" w:type="dxa"/>
          <w:bottom w:w="0" w:type="dxa"/>
        </w:tblCellMar>
      </w:tblPrEx>
      <w:trPr>
        <w:cantSplit/>
      </w:trPr>
      <w:tc>
        <w:tcPr>
          <w:tcW w:w="3119" w:type="dxa"/>
        </w:tcPr>
        <w:p w:rsidR="00D02A64" w:rsidRPr="0081668D" w:rsidRDefault="00D02A64">
          <w:pPr>
            <w:pStyle w:val="Sidhuvud"/>
            <w:spacing w:line="200" w:lineRule="atLeast"/>
            <w:ind w:right="357"/>
            <w:rPr>
              <w:rFonts w:ascii="TradeGothic" w:hAnsi="TradeGothic"/>
              <w:b/>
              <w:bCs/>
              <w:sz w:val="16"/>
            </w:rPr>
          </w:pPr>
        </w:p>
      </w:tc>
      <w:tc>
        <w:tcPr>
          <w:tcW w:w="4111" w:type="dxa"/>
          <w:tcMar>
            <w:left w:w="567" w:type="dxa"/>
          </w:tcMar>
        </w:tcPr>
        <w:p w:rsidR="00D02A64" w:rsidRPr="0081668D" w:rsidRDefault="00D02A64">
          <w:pPr>
            <w:pStyle w:val="Sidhuvud"/>
            <w:ind w:right="360"/>
          </w:pPr>
        </w:p>
      </w:tc>
      <w:tc>
        <w:tcPr>
          <w:tcW w:w="1525" w:type="dxa"/>
        </w:tcPr>
        <w:p w:rsidR="00D02A64" w:rsidRPr="0081668D" w:rsidRDefault="00D02A64">
          <w:pPr>
            <w:pStyle w:val="Sidhuvud"/>
            <w:ind w:right="360"/>
          </w:pPr>
        </w:p>
      </w:tc>
    </w:tr>
  </w:tbl>
  <w:p w:rsidR="00D02A64" w:rsidRPr="0081668D" w:rsidRDefault="00D02A6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A64" w:rsidRPr="0081668D" w:rsidRDefault="0081668D">
    <w:pPr>
      <w:framePr w:w="2948" w:h="1321" w:hRule="exact" w:wrap="notBeside" w:vAnchor="page" w:hAnchor="page" w:x="1362" w:y="653"/>
    </w:pPr>
    <w:r w:rsidRPr="0081668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02A64" w:rsidRPr="0081668D" w:rsidRDefault="00D02A64">
    <w:pPr>
      <w:pStyle w:val="RKrubrik"/>
      <w:keepNext w:val="0"/>
      <w:tabs>
        <w:tab w:val="clear" w:pos="1134"/>
        <w:tab w:val="clear" w:pos="2835"/>
      </w:tabs>
      <w:spacing w:before="0" w:after="0" w:line="320" w:lineRule="atLeast"/>
      <w:rPr>
        <w:bCs/>
      </w:rPr>
    </w:pPr>
  </w:p>
  <w:p w:rsidR="00D02A64" w:rsidRPr="0081668D" w:rsidRDefault="00D02A64">
    <w:pPr>
      <w:rPr>
        <w:rFonts w:ascii="TradeGothic" w:hAnsi="TradeGothic"/>
        <w:b/>
        <w:bCs/>
        <w:spacing w:val="12"/>
        <w:sz w:val="22"/>
      </w:rPr>
    </w:pPr>
  </w:p>
  <w:p w:rsidR="00D02A64" w:rsidRPr="0081668D" w:rsidRDefault="00D02A64">
    <w:pPr>
      <w:pStyle w:val="RKrubrik"/>
      <w:keepNext w:val="0"/>
      <w:tabs>
        <w:tab w:val="clear" w:pos="1134"/>
        <w:tab w:val="clear" w:pos="2835"/>
      </w:tabs>
      <w:spacing w:before="0" w:after="0" w:line="320" w:lineRule="atLeast"/>
      <w:rPr>
        <w:bCs/>
      </w:rPr>
    </w:pPr>
  </w:p>
  <w:p w:rsidR="00D02A64" w:rsidRPr="0081668D" w:rsidRDefault="00D02A6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9374D4"/>
    <w:rsid w:val="0001410F"/>
    <w:rsid w:val="0002000B"/>
    <w:rsid w:val="00083C77"/>
    <w:rsid w:val="000B185E"/>
    <w:rsid w:val="000E56FE"/>
    <w:rsid w:val="001B45B2"/>
    <w:rsid w:val="001C60BB"/>
    <w:rsid w:val="001E6C9B"/>
    <w:rsid w:val="00296DFA"/>
    <w:rsid w:val="002C6791"/>
    <w:rsid w:val="002E167A"/>
    <w:rsid w:val="00352AA7"/>
    <w:rsid w:val="003D4886"/>
    <w:rsid w:val="00471F3B"/>
    <w:rsid w:val="004C52B0"/>
    <w:rsid w:val="005565FB"/>
    <w:rsid w:val="00567B03"/>
    <w:rsid w:val="00624962"/>
    <w:rsid w:val="0065086A"/>
    <w:rsid w:val="006F19FE"/>
    <w:rsid w:val="00706229"/>
    <w:rsid w:val="007F14B0"/>
    <w:rsid w:val="0081668D"/>
    <w:rsid w:val="008547EB"/>
    <w:rsid w:val="008577DF"/>
    <w:rsid w:val="008E304A"/>
    <w:rsid w:val="00934665"/>
    <w:rsid w:val="009374D4"/>
    <w:rsid w:val="00952C11"/>
    <w:rsid w:val="009E4E55"/>
    <w:rsid w:val="00A00042"/>
    <w:rsid w:val="00A20A62"/>
    <w:rsid w:val="00A21579"/>
    <w:rsid w:val="00A763A6"/>
    <w:rsid w:val="00B23C63"/>
    <w:rsid w:val="00BA75E0"/>
    <w:rsid w:val="00BD49AC"/>
    <w:rsid w:val="00C51A0C"/>
    <w:rsid w:val="00CF491B"/>
    <w:rsid w:val="00D02A64"/>
    <w:rsid w:val="00D84919"/>
    <w:rsid w:val="00E02602"/>
    <w:rsid w:val="00F33094"/>
    <w:rsid w:val="00F47B85"/>
    <w:rsid w:val="00F927D0"/>
    <w:rsid w:val="00FA0784"/>
    <w:rsid w:val="00FA0A09"/>
    <w:rsid w:val="00FA4771"/>
    <w:rsid w:val="00FB44A7"/>
    <w:rsid w:val="00FF13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DB9F1B-F520-4F43-96EF-317CA8F2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8E30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874</Words>
  <Characters>5377</Characters>
  <Application>Microsoft Office Word</Application>
  <DocSecurity>4</DocSecurity>
  <Lines>141</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2011-02-14T10:19:00Z</cp:lastPrinted>
  <dcterms:created xsi:type="dcterms:W3CDTF">2025-12-17T18:19:00Z</dcterms:created>
  <dcterms:modified xsi:type="dcterms:W3CDTF">2025-12-17T18:19:00Z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