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8D424" w14:textId="77777777" w:rsidR="00FB32B9" w:rsidRDefault="007E2295" w:rsidP="00FB32B9">
      <w:pPr>
        <w:pStyle w:val="UDrubrik"/>
        <w:tabs>
          <w:tab w:val="left" w:pos="1701"/>
          <w:tab w:val="left" w:pos="1985"/>
        </w:tabs>
        <w:rPr>
          <w:rFonts w:cs="Arial"/>
          <w:sz w:val="28"/>
        </w:rPr>
      </w:pPr>
      <w:bookmarkStart w:id="0" w:name="_GoBack"/>
      <w:bookmarkEnd w:id="0"/>
    </w:p>
    <w:p w14:paraId="6108D425" w14:textId="77777777" w:rsidR="00FB32B9" w:rsidRDefault="007E2295" w:rsidP="00FB32B9">
      <w:pPr>
        <w:pStyle w:val="UDrubrik"/>
        <w:tabs>
          <w:tab w:val="left" w:pos="1701"/>
          <w:tab w:val="left" w:pos="1985"/>
        </w:tabs>
        <w:rPr>
          <w:rFonts w:cs="Arial"/>
          <w:sz w:val="28"/>
        </w:rPr>
      </w:pPr>
    </w:p>
    <w:p w14:paraId="6108D426" w14:textId="77777777" w:rsidR="00FB32B9" w:rsidRDefault="007E2295" w:rsidP="00FB32B9">
      <w:pPr>
        <w:pStyle w:val="UDrubrik"/>
        <w:tabs>
          <w:tab w:val="left" w:pos="1701"/>
          <w:tab w:val="left" w:pos="1985"/>
        </w:tabs>
        <w:rPr>
          <w:rFonts w:cs="Arial"/>
          <w:sz w:val="28"/>
        </w:rPr>
      </w:pPr>
    </w:p>
    <w:p w14:paraId="6108D427" w14:textId="77777777" w:rsidR="00FB32B9" w:rsidRDefault="007E2295" w:rsidP="00FB32B9">
      <w:pPr>
        <w:pStyle w:val="UDrubrik"/>
        <w:tabs>
          <w:tab w:val="left" w:pos="1701"/>
          <w:tab w:val="left" w:pos="1985"/>
        </w:tabs>
        <w:rPr>
          <w:rFonts w:cs="Arial"/>
          <w:sz w:val="28"/>
        </w:rPr>
      </w:pPr>
    </w:p>
    <w:p w14:paraId="6108D428" w14:textId="275A4FC9" w:rsidR="00FB32B9" w:rsidRDefault="000C3F48" w:rsidP="00FB32B9">
      <w:pPr>
        <w:pStyle w:val="UDrubrik"/>
        <w:tabs>
          <w:tab w:val="left" w:pos="1701"/>
          <w:tab w:val="left" w:pos="1985"/>
        </w:tabs>
        <w:rPr>
          <w:rFonts w:cs="Arial"/>
          <w:sz w:val="28"/>
        </w:rPr>
      </w:pPr>
      <w:r>
        <w:rPr>
          <w:rFonts w:cs="Arial"/>
          <w:sz w:val="28"/>
        </w:rPr>
        <w:t>Troliga A-punkter inför kommande rådsmöten som förväntas godkännas vid Coreper I onsdagen den 7 oktober 2015, vecka 41.</w:t>
      </w:r>
    </w:p>
    <w:p w14:paraId="6108D429" w14:textId="77777777" w:rsidR="00FB32B9" w:rsidRDefault="007E2295" w:rsidP="00FB32B9">
      <w:pPr>
        <w:pStyle w:val="Brdtext"/>
      </w:pPr>
    </w:p>
    <w:p w14:paraId="6108D42A" w14:textId="7F0DA5EE" w:rsidR="00FB32B9" w:rsidRDefault="000C3F48" w:rsidP="00FB32B9">
      <w:pPr>
        <w:pStyle w:val="Brdtext"/>
      </w:pPr>
      <w:r>
        <w:t>Överlämnas för skriftligt samråd till torsdagen den 8 oktober 2015, kl 09.00.</w:t>
      </w:r>
    </w:p>
    <w:p w14:paraId="6108D42B" w14:textId="77777777" w:rsidR="00FB32B9" w:rsidRDefault="000C3F4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108D42C" w14:textId="77777777" w:rsidR="00D957FB" w:rsidRPr="00FB32B9" w:rsidRDefault="000C3F48">
          <w:pPr>
            <w:pStyle w:val="Innehllsfrteckningsrubrik"/>
            <w:rPr>
              <w:color w:val="auto"/>
            </w:rPr>
          </w:pPr>
          <w:r w:rsidRPr="00FB32B9">
            <w:rPr>
              <w:color w:val="auto"/>
            </w:rPr>
            <w:t>Innehållsförteckning</w:t>
          </w:r>
        </w:p>
        <w:p w14:paraId="6108D42D" w14:textId="77777777" w:rsidR="00DA7250" w:rsidRPr="00DA7250" w:rsidRDefault="007E2295" w:rsidP="00DA7250">
          <w:pPr>
            <w:rPr>
              <w:lang w:val="en-US" w:eastAsia="ja-JP"/>
            </w:rPr>
          </w:pPr>
        </w:p>
        <w:p w14:paraId="7CD504AF" w14:textId="77777777" w:rsidR="000C3F48" w:rsidRDefault="000C3F4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1903560" w:history="1">
            <w:r w:rsidRPr="002C2F19">
              <w:rPr>
                <w:rStyle w:val="Hyperlnk"/>
                <w:noProof/>
              </w:rPr>
              <w:t>1.</w:t>
            </w:r>
            <w:r>
              <w:rPr>
                <w:rFonts w:asciiTheme="minorHAnsi" w:eastAsiaTheme="minorEastAsia" w:hAnsiTheme="minorHAnsi" w:cstheme="minorBidi"/>
                <w:noProof/>
                <w:lang w:eastAsia="sv-SE"/>
              </w:rPr>
              <w:tab/>
            </w:r>
            <w:r w:rsidRPr="002C2F19">
              <w:rPr>
                <w:rStyle w:val="Hyperlnk"/>
                <w:noProof/>
              </w:rPr>
              <w:t>Réponses aux questions écrites posées au Conseil par des membres du Parlement européen</w:t>
            </w:r>
            <w:r>
              <w:rPr>
                <w:noProof/>
                <w:webHidden/>
              </w:rPr>
              <w:tab/>
            </w:r>
            <w:r>
              <w:rPr>
                <w:noProof/>
                <w:webHidden/>
              </w:rPr>
              <w:fldChar w:fldCharType="begin"/>
            </w:r>
            <w:r>
              <w:rPr>
                <w:noProof/>
                <w:webHidden/>
              </w:rPr>
              <w:instrText xml:space="preserve"> PAGEREF _Toc431903560 \h </w:instrText>
            </w:r>
            <w:r>
              <w:rPr>
                <w:noProof/>
                <w:webHidden/>
              </w:rPr>
            </w:r>
            <w:r>
              <w:rPr>
                <w:noProof/>
                <w:webHidden/>
              </w:rPr>
              <w:fldChar w:fldCharType="separate"/>
            </w:r>
            <w:r>
              <w:rPr>
                <w:noProof/>
                <w:webHidden/>
              </w:rPr>
              <w:t>3</w:t>
            </w:r>
            <w:r>
              <w:rPr>
                <w:noProof/>
                <w:webHidden/>
              </w:rPr>
              <w:fldChar w:fldCharType="end"/>
            </w:r>
          </w:hyperlink>
        </w:p>
        <w:p w14:paraId="1321B353"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1" w:history="1">
            <w:r w:rsidR="000C3F48" w:rsidRPr="002C2F19">
              <w:rPr>
                <w:rStyle w:val="Hyperlnk"/>
                <w:noProof/>
              </w:rPr>
              <w:t>2.</w:t>
            </w:r>
            <w:r w:rsidR="000C3F48">
              <w:rPr>
                <w:rFonts w:asciiTheme="minorHAnsi" w:eastAsiaTheme="minorEastAsia" w:hAnsiTheme="minorHAnsi" w:cstheme="minorBidi"/>
                <w:noProof/>
                <w:lang w:eastAsia="sv-SE"/>
              </w:rPr>
              <w:tab/>
            </w:r>
            <w:r w:rsidR="000C3F48" w:rsidRPr="002C2F19">
              <w:rPr>
                <w:rStyle w:val="Hyperlnk"/>
                <w:noProof/>
              </w:rPr>
              <w:t>Comité consultatif pour la coordination des systèmes de sécurité sociale  Projet de décision du Conseil portant nomination des membres titulaires et suppléants</w:t>
            </w:r>
            <w:r w:rsidR="000C3F48">
              <w:rPr>
                <w:noProof/>
                <w:webHidden/>
              </w:rPr>
              <w:tab/>
            </w:r>
            <w:r w:rsidR="000C3F48">
              <w:rPr>
                <w:noProof/>
                <w:webHidden/>
              </w:rPr>
              <w:fldChar w:fldCharType="begin"/>
            </w:r>
            <w:r w:rsidR="000C3F48">
              <w:rPr>
                <w:noProof/>
                <w:webHidden/>
              </w:rPr>
              <w:instrText xml:space="preserve"> PAGEREF _Toc431903561 \h </w:instrText>
            </w:r>
            <w:r w:rsidR="000C3F48">
              <w:rPr>
                <w:noProof/>
                <w:webHidden/>
              </w:rPr>
            </w:r>
            <w:r w:rsidR="000C3F48">
              <w:rPr>
                <w:noProof/>
                <w:webHidden/>
              </w:rPr>
              <w:fldChar w:fldCharType="separate"/>
            </w:r>
            <w:r w:rsidR="000C3F48">
              <w:rPr>
                <w:noProof/>
                <w:webHidden/>
              </w:rPr>
              <w:t>3</w:t>
            </w:r>
            <w:r w:rsidR="000C3F48">
              <w:rPr>
                <w:noProof/>
                <w:webHidden/>
              </w:rPr>
              <w:fldChar w:fldCharType="end"/>
            </w:r>
          </w:hyperlink>
        </w:p>
        <w:p w14:paraId="0EE93379"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2" w:history="1">
            <w:r w:rsidR="000C3F48" w:rsidRPr="002C2F19">
              <w:rPr>
                <w:rStyle w:val="Hyperlnk"/>
                <w:noProof/>
              </w:rPr>
              <w:t>3.</w:t>
            </w:r>
            <w:r w:rsidR="000C3F48">
              <w:rPr>
                <w:rFonts w:asciiTheme="minorHAnsi" w:eastAsiaTheme="minorEastAsia" w:hAnsiTheme="minorHAnsi" w:cstheme="minorBidi"/>
                <w:noProof/>
                <w:lang w:eastAsia="sv-SE"/>
              </w:rPr>
              <w:tab/>
            </w:r>
            <w:r w:rsidR="000C3F48" w:rsidRPr="002C2F19">
              <w:rPr>
                <w:rStyle w:val="Hyperlnk"/>
                <w:noProof/>
              </w:rPr>
              <w:t>Règlement délégué (UE) …/... de la Commission du 28.7.2015 complétant le règlement (UE) n° 952/2013 du Parlement européen et du Conseil en vue de préciser certaines dispositions du code des douanes de l'Union</w:t>
            </w:r>
            <w:r w:rsidR="000C3F48">
              <w:rPr>
                <w:noProof/>
                <w:webHidden/>
              </w:rPr>
              <w:tab/>
            </w:r>
            <w:r w:rsidR="000C3F48">
              <w:rPr>
                <w:noProof/>
                <w:webHidden/>
              </w:rPr>
              <w:fldChar w:fldCharType="begin"/>
            </w:r>
            <w:r w:rsidR="000C3F48">
              <w:rPr>
                <w:noProof/>
                <w:webHidden/>
              </w:rPr>
              <w:instrText xml:space="preserve"> PAGEREF _Toc431903562 \h </w:instrText>
            </w:r>
            <w:r w:rsidR="000C3F48">
              <w:rPr>
                <w:noProof/>
                <w:webHidden/>
              </w:rPr>
            </w:r>
            <w:r w:rsidR="000C3F48">
              <w:rPr>
                <w:noProof/>
                <w:webHidden/>
              </w:rPr>
              <w:fldChar w:fldCharType="separate"/>
            </w:r>
            <w:r w:rsidR="000C3F48">
              <w:rPr>
                <w:noProof/>
                <w:webHidden/>
              </w:rPr>
              <w:t>4</w:t>
            </w:r>
            <w:r w:rsidR="000C3F48">
              <w:rPr>
                <w:noProof/>
                <w:webHidden/>
              </w:rPr>
              <w:fldChar w:fldCharType="end"/>
            </w:r>
          </w:hyperlink>
        </w:p>
        <w:p w14:paraId="236864E7"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3" w:history="1">
            <w:r w:rsidR="000C3F48" w:rsidRPr="002C2F19">
              <w:rPr>
                <w:rStyle w:val="Hyperlnk"/>
                <w:noProof/>
              </w:rPr>
              <w:t>4.</w:t>
            </w:r>
            <w:r w:rsidR="000C3F48">
              <w:rPr>
                <w:rFonts w:asciiTheme="minorHAnsi" w:eastAsiaTheme="minorEastAsia" w:hAnsiTheme="minorHAnsi" w:cstheme="minorBidi"/>
                <w:noProof/>
                <w:lang w:eastAsia="sv-SE"/>
              </w:rPr>
              <w:tab/>
            </w:r>
            <w:r w:rsidR="000C3F48" w:rsidRPr="002C2F19">
              <w:rPr>
                <w:rStyle w:val="Hyperlnk"/>
                <w:noProof/>
              </w:rPr>
              <w:t>Règlement (UE) …/… de la Commission du XXX modifiant l’annexe II du règlement (CE) nº 854/2004 du Parlement européen et du Conseil fixant les règles spécifiques d’organisation des contrôles officiels concernant les produits d’origine animale destinés à la consommation humaine au regard de certaines exigences applicables aux mollusques bivalves, aux échinodermes, aux tuniciers et aux gastéropodes marins vivants et l’annexe I du règlement (CE) nº 2073/2005 concernant les critères microbiologiques applicables aux denrées alimentaires</w:t>
            </w:r>
            <w:r w:rsidR="000C3F48">
              <w:rPr>
                <w:noProof/>
                <w:webHidden/>
              </w:rPr>
              <w:tab/>
            </w:r>
            <w:r w:rsidR="000C3F48">
              <w:rPr>
                <w:noProof/>
                <w:webHidden/>
              </w:rPr>
              <w:fldChar w:fldCharType="begin"/>
            </w:r>
            <w:r w:rsidR="000C3F48">
              <w:rPr>
                <w:noProof/>
                <w:webHidden/>
              </w:rPr>
              <w:instrText xml:space="preserve"> PAGEREF _Toc431903563 \h </w:instrText>
            </w:r>
            <w:r w:rsidR="000C3F48">
              <w:rPr>
                <w:noProof/>
                <w:webHidden/>
              </w:rPr>
            </w:r>
            <w:r w:rsidR="000C3F48">
              <w:rPr>
                <w:noProof/>
                <w:webHidden/>
              </w:rPr>
              <w:fldChar w:fldCharType="separate"/>
            </w:r>
            <w:r w:rsidR="000C3F48">
              <w:rPr>
                <w:noProof/>
                <w:webHidden/>
              </w:rPr>
              <w:t>5</w:t>
            </w:r>
            <w:r w:rsidR="000C3F48">
              <w:rPr>
                <w:noProof/>
                <w:webHidden/>
              </w:rPr>
              <w:fldChar w:fldCharType="end"/>
            </w:r>
          </w:hyperlink>
        </w:p>
        <w:p w14:paraId="76F3B161"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4" w:history="1">
            <w:r w:rsidR="000C3F48" w:rsidRPr="002C2F19">
              <w:rPr>
                <w:rStyle w:val="Hyperlnk"/>
                <w:noProof/>
              </w:rPr>
              <w:t>5.</w:t>
            </w:r>
            <w:r w:rsidR="000C3F48">
              <w:rPr>
                <w:rFonts w:asciiTheme="minorHAnsi" w:eastAsiaTheme="minorEastAsia" w:hAnsiTheme="minorHAnsi" w:cstheme="minorBidi"/>
                <w:noProof/>
                <w:lang w:eastAsia="sv-SE"/>
              </w:rPr>
              <w:tab/>
            </w:r>
            <w:r w:rsidR="000C3F48" w:rsidRPr="002C2F19">
              <w:rPr>
                <w:rStyle w:val="Hyperlnk"/>
                <w:noProof/>
              </w:rPr>
              <w:t>Règlement (UE) …/… de la Commission du XXX modifiant les annexes II et III du règlement (CE) nº 396/2005 du Parlement européen et du Conseil en ce qui concerne les limites maximales applicables aux résidus d’abamectine, de desmédiphame, de dichlorprop-P, d’haloxyfop-P, d’oryzalin et de phenmédiphame présents dans ou sur certains produits</w:t>
            </w:r>
            <w:r w:rsidR="000C3F48">
              <w:rPr>
                <w:noProof/>
                <w:webHidden/>
              </w:rPr>
              <w:tab/>
            </w:r>
            <w:r w:rsidR="000C3F48">
              <w:rPr>
                <w:noProof/>
                <w:webHidden/>
              </w:rPr>
              <w:fldChar w:fldCharType="begin"/>
            </w:r>
            <w:r w:rsidR="000C3F48">
              <w:rPr>
                <w:noProof/>
                <w:webHidden/>
              </w:rPr>
              <w:instrText xml:space="preserve"> PAGEREF _Toc431903564 \h </w:instrText>
            </w:r>
            <w:r w:rsidR="000C3F48">
              <w:rPr>
                <w:noProof/>
                <w:webHidden/>
              </w:rPr>
            </w:r>
            <w:r w:rsidR="000C3F48">
              <w:rPr>
                <w:noProof/>
                <w:webHidden/>
              </w:rPr>
              <w:fldChar w:fldCharType="separate"/>
            </w:r>
            <w:r w:rsidR="000C3F48">
              <w:rPr>
                <w:noProof/>
                <w:webHidden/>
              </w:rPr>
              <w:t>5</w:t>
            </w:r>
            <w:r w:rsidR="000C3F48">
              <w:rPr>
                <w:noProof/>
                <w:webHidden/>
              </w:rPr>
              <w:fldChar w:fldCharType="end"/>
            </w:r>
          </w:hyperlink>
        </w:p>
        <w:p w14:paraId="7DE8D0AB"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5" w:history="1">
            <w:r w:rsidR="000C3F48" w:rsidRPr="002C2F19">
              <w:rPr>
                <w:rStyle w:val="Hyperlnk"/>
                <w:noProof/>
              </w:rPr>
              <w:t>6.</w:t>
            </w:r>
            <w:r w:rsidR="000C3F48">
              <w:rPr>
                <w:rFonts w:asciiTheme="minorHAnsi" w:eastAsiaTheme="minorEastAsia" w:hAnsiTheme="minorHAnsi" w:cstheme="minorBidi"/>
                <w:noProof/>
                <w:lang w:eastAsia="sv-SE"/>
              </w:rPr>
              <w:tab/>
            </w:r>
            <w:r w:rsidR="000C3F48" w:rsidRPr="002C2F19">
              <w:rPr>
                <w:rStyle w:val="Hyperlnk"/>
                <w:noProof/>
              </w:rPr>
              <w:t>Règlement (UE) …/… de la Commission du XXX modifiant les annexes II et III du règlement (CE) nº 396/2005 du Parlement européen et du Conseil en ce qui concerne les limites maximales applicables aux résidus de bifénazate, de boscalid, de cyazofamide, de cyromazine, de dazomet, de dithiocarbamates, de fluazifop-P, de mépanipyrim, de metrafenone, de piclorame, de propamocarbe, de pyridaben, de pyriofénone, de sulfoxaflor, de tébuconazole, de tebufenpyrad et de thirame présents dans ou sur certains produits</w:t>
            </w:r>
            <w:r w:rsidR="000C3F48">
              <w:rPr>
                <w:noProof/>
                <w:webHidden/>
              </w:rPr>
              <w:tab/>
            </w:r>
            <w:r w:rsidR="000C3F48">
              <w:rPr>
                <w:noProof/>
                <w:webHidden/>
              </w:rPr>
              <w:fldChar w:fldCharType="begin"/>
            </w:r>
            <w:r w:rsidR="000C3F48">
              <w:rPr>
                <w:noProof/>
                <w:webHidden/>
              </w:rPr>
              <w:instrText xml:space="preserve"> PAGEREF _Toc431903565 \h </w:instrText>
            </w:r>
            <w:r w:rsidR="000C3F48">
              <w:rPr>
                <w:noProof/>
                <w:webHidden/>
              </w:rPr>
            </w:r>
            <w:r w:rsidR="000C3F48">
              <w:rPr>
                <w:noProof/>
                <w:webHidden/>
              </w:rPr>
              <w:fldChar w:fldCharType="separate"/>
            </w:r>
            <w:r w:rsidR="000C3F48">
              <w:rPr>
                <w:noProof/>
                <w:webHidden/>
              </w:rPr>
              <w:t>5</w:t>
            </w:r>
            <w:r w:rsidR="000C3F48">
              <w:rPr>
                <w:noProof/>
                <w:webHidden/>
              </w:rPr>
              <w:fldChar w:fldCharType="end"/>
            </w:r>
          </w:hyperlink>
        </w:p>
        <w:p w14:paraId="679A28AE" w14:textId="77777777" w:rsidR="000C3F48" w:rsidRDefault="007E2295">
          <w:pPr>
            <w:pStyle w:val="Innehll1"/>
            <w:tabs>
              <w:tab w:val="left" w:pos="440"/>
              <w:tab w:val="right" w:leader="dot" w:pos="9062"/>
            </w:tabs>
            <w:rPr>
              <w:rFonts w:asciiTheme="minorHAnsi" w:eastAsiaTheme="minorEastAsia" w:hAnsiTheme="minorHAnsi" w:cstheme="minorBidi"/>
              <w:noProof/>
              <w:lang w:eastAsia="sv-SE"/>
            </w:rPr>
          </w:pPr>
          <w:hyperlink w:anchor="_Toc431903566" w:history="1">
            <w:r w:rsidR="000C3F48" w:rsidRPr="002C2F19">
              <w:rPr>
                <w:rStyle w:val="Hyperlnk"/>
                <w:noProof/>
              </w:rPr>
              <w:t>7.</w:t>
            </w:r>
            <w:r w:rsidR="000C3F48">
              <w:rPr>
                <w:rFonts w:asciiTheme="minorHAnsi" w:eastAsiaTheme="minorEastAsia" w:hAnsiTheme="minorHAnsi" w:cstheme="minorBidi"/>
                <w:noProof/>
                <w:lang w:eastAsia="sv-SE"/>
              </w:rPr>
              <w:tab/>
            </w:r>
            <w:r w:rsidR="000C3F48" w:rsidRPr="002C2F19">
              <w:rPr>
                <w:rStyle w:val="Hyperlnk"/>
                <w:noProof/>
              </w:rPr>
              <w:t>Règlement (UE) …/… de la Commission du XXX modifiant le règlement (CE) nº 1831/2003 du Parlement européen et du Conseil afin d’établir un nouveau groupe fonctionnel d’additifs pour l’alimentation animale</w:t>
            </w:r>
            <w:r w:rsidR="000C3F48">
              <w:rPr>
                <w:noProof/>
                <w:webHidden/>
              </w:rPr>
              <w:tab/>
            </w:r>
            <w:r w:rsidR="000C3F48">
              <w:rPr>
                <w:noProof/>
                <w:webHidden/>
              </w:rPr>
              <w:fldChar w:fldCharType="begin"/>
            </w:r>
            <w:r w:rsidR="000C3F48">
              <w:rPr>
                <w:noProof/>
                <w:webHidden/>
              </w:rPr>
              <w:instrText xml:space="preserve"> PAGEREF _Toc431903566 \h </w:instrText>
            </w:r>
            <w:r w:rsidR="000C3F48">
              <w:rPr>
                <w:noProof/>
                <w:webHidden/>
              </w:rPr>
            </w:r>
            <w:r w:rsidR="000C3F48">
              <w:rPr>
                <w:noProof/>
                <w:webHidden/>
              </w:rPr>
              <w:fldChar w:fldCharType="separate"/>
            </w:r>
            <w:r w:rsidR="000C3F48">
              <w:rPr>
                <w:noProof/>
                <w:webHidden/>
              </w:rPr>
              <w:t>6</w:t>
            </w:r>
            <w:r w:rsidR="000C3F48">
              <w:rPr>
                <w:noProof/>
                <w:webHidden/>
              </w:rPr>
              <w:fldChar w:fldCharType="end"/>
            </w:r>
          </w:hyperlink>
        </w:p>
        <w:p w14:paraId="6108D435" w14:textId="77777777" w:rsidR="00D957FB" w:rsidRDefault="000C3F48">
          <w:r>
            <w:rPr>
              <w:b/>
              <w:bCs/>
              <w:noProof/>
            </w:rPr>
            <w:fldChar w:fldCharType="end"/>
          </w:r>
        </w:p>
      </w:sdtContent>
    </w:sdt>
    <w:p w14:paraId="6108D436" w14:textId="77777777" w:rsidR="00D957FB" w:rsidRDefault="000C3F48">
      <w:pPr>
        <w:ind w:left="0"/>
      </w:pPr>
      <w:r>
        <w:br w:type="page"/>
      </w:r>
    </w:p>
    <w:p w14:paraId="6108D437" w14:textId="77777777" w:rsidR="00643D86" w:rsidRDefault="007E2295" w:rsidP="00643D86">
      <w:pPr>
        <w:pStyle w:val="Rubrik1"/>
        <w:numPr>
          <w:ilvl w:val="0"/>
          <w:numId w:val="0"/>
        </w:numPr>
      </w:pPr>
      <w:bookmarkStart w:id="1" w:name="_Toc364854645"/>
    </w:p>
    <w:p w14:paraId="6108D438" w14:textId="77777777" w:rsidR="00643D86" w:rsidRDefault="000C3F48" w:rsidP="00643D86">
      <w:pPr>
        <w:pStyle w:val="Rubrik1"/>
      </w:pPr>
      <w:bookmarkStart w:id="2" w:name="_Toc431903560"/>
      <w:r>
        <w:rPr>
          <w:noProof/>
        </w:rPr>
        <w:t>Réponses aux questions écrites posées au Conseil par des membres du Parlement européen</w:t>
      </w:r>
      <w:bookmarkEnd w:id="2"/>
      <w:r>
        <w:rPr>
          <w:noProof/>
        </w:rPr>
        <w:t xml:space="preserve"> </w:t>
      </w:r>
    </w:p>
    <w:p w14:paraId="6108D439" w14:textId="0943353C" w:rsidR="00643D86" w:rsidRPr="000C3F48" w:rsidRDefault="000C3F48" w:rsidP="000C3F48">
      <w:pPr>
        <w:pStyle w:val="Liststycke"/>
        <w:numPr>
          <w:ilvl w:val="0"/>
          <w:numId w:val="3"/>
        </w:numPr>
        <w:rPr>
          <w:lang w:val="en-US"/>
        </w:rPr>
      </w:pPr>
      <w:r w:rsidRPr="000C3F48">
        <w:rPr>
          <w:lang w:val="en-US"/>
        </w:rPr>
        <w:t xml:space="preserve">E-010417/2015 - Hilde Vautmans (ALDE) Discrimination against pregnant women in the workplace </w:t>
      </w:r>
      <w:r w:rsidRPr="000C3F48">
        <w:rPr>
          <w:lang w:val="en-US"/>
        </w:rPr>
        <w:br/>
        <w:t>b) E-010615/2015 - José Blanco López (S&amp;amp;D) New paid apprenticeships for young Europeans</w:t>
      </w:r>
      <w:r w:rsidRPr="000C3F48">
        <w:rPr>
          <w:lang w:val="en-US"/>
        </w:rPr>
        <w:br/>
        <w:t>c) E-010630/2015 - João Ferreira (GUE/NGL), Inês Cristina Zuber (GUE/NGL) and Miguel Viegas (GUE/NGL) Multilateral legal framework for renegotiating sovereign debt</w:t>
      </w:r>
      <w:r w:rsidRPr="000C3F48">
        <w:rPr>
          <w:lang w:val="en-US"/>
        </w:rPr>
        <w:br/>
        <w:t xml:space="preserve">d) E-010651/2015 - Daniel Buda (PPE) Child benefit for Romanian children in Austria </w:t>
      </w:r>
      <w:r w:rsidRPr="000C3F48">
        <w:rPr>
          <w:lang w:val="en-US"/>
        </w:rPr>
        <w:br/>
        <w:t>e) E-010799/2015 - Jonás Fernández (S&amp;amp;D) Solving the Greek public debt crisis</w:t>
      </w:r>
      <w:r w:rsidRPr="000C3F48">
        <w:rPr>
          <w:lang w:val="en-US"/>
        </w:rPr>
        <w:br/>
        <w:t>f) E-010800/2015 - Jonás Fernández (S&amp;amp;D) Greek public debt crisis and EMU governance</w:t>
      </w:r>
      <w:r w:rsidRPr="000C3F48">
        <w:rPr>
          <w:lang w:val="en-US"/>
        </w:rPr>
        <w:br/>
        <w:t>g) E-010839/2015 - Hugues Bayet (S&amp;amp;D) Council work to separate the banks</w:t>
      </w:r>
      <w:r w:rsidRPr="000C3F48">
        <w:rPr>
          <w:lang w:val="en-US"/>
        </w:rPr>
        <w:br/>
        <w:t>h)E-010890/2015 - Vilija Blinkevičiūtė (S&amp;amp;D) Need for specific action in view of the Commission's withdrawal of a proposal for a maternity leave directive</w:t>
      </w:r>
      <w:r w:rsidRPr="000C3F48">
        <w:rPr>
          <w:lang w:val="en-US"/>
        </w:rPr>
        <w:br/>
        <w:t>i) E-011161/2015, E-011162/2015, E-011163/2015, E-011164/2015, E-011165/2015 and E-011166/2015 - Hugues Bayet (S&amp;amp;D) The Luxembourg Presidency and the proposal for a Directive on implementing the principle of equal treatment The Luxembourg Presidency and the place of poverty in the Europe 2020 Strategy The Luxembourg Presidency's objectives regarding securitization Priorities of the Luxembourg Presidency regarding the steel action plan The Luxembourg Presidency and supervision of the banking sector The Luxembourg Presidency's initiatives to revive public investment</w:t>
      </w:r>
      <w:r w:rsidRPr="000C3F48">
        <w:rPr>
          <w:lang w:val="en-US"/>
        </w:rPr>
        <w:br/>
        <w:t>j) E-011501/2015 - William (The Earl of) Dartmouth (EFDD)</w:t>
      </w:r>
      <w:r w:rsidRPr="000C3F48">
        <w:rPr>
          <w:lang w:val="en-US"/>
        </w:rPr>
        <w:br/>
        <w:t>Article 50(2)11809/15 PE-QE 439 k)E-011787/2015 - István Ujhelyi (S&amp;amp;D)</w:t>
      </w:r>
      <w:r w:rsidRPr="000C3F48">
        <w:rPr>
          <w:lang w:val="en-US"/>
        </w:rPr>
        <w:br/>
        <w:t>The end of multiculturalism</w:t>
      </w:r>
      <w:r w:rsidRPr="000C3F48">
        <w:rPr>
          <w:lang w:val="en-US"/>
        </w:rPr>
        <w:br/>
      </w:r>
      <w:r w:rsidRPr="000C3F48">
        <w:rPr>
          <w:noProof/>
          <w:lang w:val="en-US"/>
        </w:rPr>
        <w:t>11855</w:t>
      </w:r>
      <w:r w:rsidRPr="000C3F48">
        <w:rPr>
          <w:lang w:val="en-US"/>
        </w:rPr>
        <w:t>/15 PE-QE 441 11853/15 PE-QE 440 11884/15 PE-QE 445 11856/15 PE-QE 442 11879/15 PE-QE 443 11886/15 PE-QE 446 11881/15 PE-QE 444 11999/15 PE-QE 448 12001/15 PE-QE 449 11809/15 PE-QE 439 11940/15 PE-QE 447</w:t>
      </w:r>
    </w:p>
    <w:p w14:paraId="6108D43A" w14:textId="77777777" w:rsidR="00643D86" w:rsidRDefault="000C3F48" w:rsidP="00643D86">
      <w:r>
        <w:rPr>
          <w:b/>
        </w:rPr>
        <w:t>Ansvarigt statsråd</w:t>
      </w:r>
      <w:r>
        <w:rPr>
          <w:b/>
        </w:rPr>
        <w:br/>
      </w:r>
      <w:r>
        <w:rPr>
          <w:noProof/>
        </w:rPr>
        <w:t>Stefan Löfven</w:t>
      </w:r>
    </w:p>
    <w:p w14:paraId="6108D43D" w14:textId="77777777" w:rsidR="00643D86" w:rsidRDefault="000C3F48" w:rsidP="00643D86">
      <w:r w:rsidRPr="00B44CE2">
        <w:rPr>
          <w:b/>
        </w:rPr>
        <w:t>Annotering</w:t>
      </w:r>
      <w:r>
        <w:rPr>
          <w:b/>
        </w:rPr>
        <w:br/>
      </w:r>
      <w:r>
        <w:t>Föranleder ingen annotering.</w:t>
      </w:r>
    </w:p>
    <w:p w14:paraId="6108D43E" w14:textId="77777777" w:rsidR="00643D86" w:rsidRDefault="000C3F48" w:rsidP="00643D86">
      <w:pPr>
        <w:pStyle w:val="Rubrik1"/>
      </w:pPr>
      <w:bookmarkStart w:id="3" w:name="_Toc431903561"/>
      <w:r>
        <w:rPr>
          <w:noProof/>
        </w:rPr>
        <w:t xml:space="preserve">Comité consultatif pour la coordination des systèmes de sécurité sociale </w:t>
      </w:r>
      <w:r>
        <w:rPr>
          <w:noProof/>
        </w:rPr>
        <w:br/>
        <w:t>Projet de décision du Conseil portant nomination des membres titulaires et suppléants</w:t>
      </w:r>
      <w:bookmarkEnd w:id="3"/>
    </w:p>
    <w:p w14:paraId="1E29D56E" w14:textId="77777777" w:rsidR="000C3F48" w:rsidRDefault="000C3F48" w:rsidP="00643D86">
      <w:pPr>
        <w:rPr>
          <w:lang w:val="en-US"/>
        </w:rPr>
      </w:pPr>
      <w:r>
        <w:rPr>
          <w:noProof/>
          <w:lang w:val="en-US"/>
        </w:rPr>
        <w:t>–</w:t>
      </w:r>
      <w:r>
        <w:rPr>
          <w:lang w:val="en-US"/>
        </w:rPr>
        <w:t>Adoption</w:t>
      </w:r>
    </w:p>
    <w:p w14:paraId="6108D43F" w14:textId="4ACD6B48" w:rsidR="00643D86" w:rsidRDefault="000C3F48" w:rsidP="00643D86">
      <w:pPr>
        <w:rPr>
          <w:lang w:val="en-US"/>
        </w:rPr>
      </w:pPr>
      <w:r>
        <w:rPr>
          <w:noProof/>
          <w:lang w:val="en-US"/>
        </w:rPr>
        <w:t>12021</w:t>
      </w:r>
      <w:r>
        <w:rPr>
          <w:lang w:val="en-US"/>
        </w:rPr>
        <w:t>/15 SOC 518 EMPL 339 12022/15 SOC 519 EMPL 340</w:t>
      </w:r>
    </w:p>
    <w:p w14:paraId="6108D440" w14:textId="77777777" w:rsidR="00643D86" w:rsidRDefault="000C3F48" w:rsidP="00643D86">
      <w:r>
        <w:rPr>
          <w:b/>
        </w:rPr>
        <w:t>Ansvarigt statsråd</w:t>
      </w:r>
      <w:r>
        <w:rPr>
          <w:b/>
        </w:rPr>
        <w:br/>
      </w:r>
      <w:r>
        <w:rPr>
          <w:noProof/>
        </w:rPr>
        <w:t>Annika Strandhäll</w:t>
      </w:r>
    </w:p>
    <w:p w14:paraId="6108D443" w14:textId="77777777" w:rsidR="00643D86" w:rsidRDefault="000C3F48" w:rsidP="00643D86">
      <w:r w:rsidRPr="00B44CE2">
        <w:rPr>
          <w:b/>
        </w:rPr>
        <w:lastRenderedPageBreak/>
        <w:t>Annotering</w:t>
      </w:r>
      <w:r>
        <w:rPr>
          <w:b/>
        </w:rPr>
        <w:br/>
      </w:r>
      <w:r>
        <w:rPr>
          <w:b/>
          <w:bCs/>
        </w:rPr>
        <w:t>Avsikt med behandlingen i rådet:</w:t>
      </w:r>
      <w:r>
        <w:t xml:space="preserve"> Utnämning av ordinarie ledamöter och suppleanter i rådgivande kommittén för samordning av de sociala trygghetssystemen. </w:t>
      </w:r>
    </w:p>
    <w:p w14:paraId="6108D444" w14:textId="77777777" w:rsidR="00DA4933" w:rsidRDefault="000C3F48">
      <w:pPr>
        <w:spacing w:after="280" w:afterAutospacing="1"/>
      </w:pPr>
      <w:r>
        <w:rPr>
          <w:b/>
          <w:bCs/>
        </w:rPr>
        <w:t>Hur regeringen ställer sig till den blivande A-punkten:</w:t>
      </w:r>
      <w:r>
        <w:t xml:space="preserve"> Regeringen avser godkänna förslaget. </w:t>
      </w:r>
    </w:p>
    <w:p w14:paraId="6108D446" w14:textId="12758A42" w:rsidR="00FB32B9" w:rsidRDefault="000C3F48">
      <w:pPr>
        <w:spacing w:after="280" w:afterAutospacing="1"/>
        <w:rPr>
          <w:noProof/>
        </w:rPr>
      </w:pPr>
      <w:r>
        <w:rPr>
          <w:b/>
          <w:bCs/>
        </w:rPr>
        <w:t xml:space="preserve">Bakgrund: </w:t>
      </w:r>
      <w:r>
        <w:t>Mandatet för ordinarie ledamöter och suppleanter i rådgivande kommittén för samordning av de sociala trygghetssystemen löper ut den 20 oktober 2015. I enlighet med artikel 75 i förordning (EG) nr 883/2004 av den 7 juni 2004 utses ordinarie ledamöter och suppleanter av rådet.</w:t>
      </w:r>
    </w:p>
    <w:p w14:paraId="6108D447" w14:textId="77777777" w:rsidR="00643D86" w:rsidRDefault="000C3F48" w:rsidP="00643D86">
      <w:pPr>
        <w:pStyle w:val="Rubrik1"/>
      </w:pPr>
      <w:bookmarkStart w:id="4" w:name="_Toc431903562"/>
      <w:r>
        <w:rPr>
          <w:noProof/>
        </w:rPr>
        <w:t>Règlement délégué (UE) …/... de la Commission du 28.7.2015 complétant le règlement (UE) n° 952/2013 du Parlement européen et du Conseil en vue de préciser certaines dispositions du code des douanes de l'Union</w:t>
      </w:r>
      <w:bookmarkEnd w:id="4"/>
    </w:p>
    <w:p w14:paraId="688E710E" w14:textId="77777777" w:rsidR="000C3F48" w:rsidRDefault="000C3F48" w:rsidP="00643D86">
      <w:pPr>
        <w:rPr>
          <w:lang w:val="en-US"/>
        </w:rPr>
      </w:pPr>
      <w:r>
        <w:rPr>
          <w:noProof/>
          <w:lang w:val="en-US"/>
        </w:rPr>
        <w:t>–</w:t>
      </w:r>
      <w:r>
        <w:rPr>
          <w:lang w:val="en-US"/>
        </w:rPr>
        <w:t>Intention de ne pas exprimer d'objection à l'égard d'un acte délégué</w:t>
      </w:r>
    </w:p>
    <w:p w14:paraId="6108D448" w14:textId="48FD0CD7" w:rsidR="00643D86" w:rsidRDefault="000C3F48" w:rsidP="00643D86">
      <w:pPr>
        <w:rPr>
          <w:lang w:val="en-US"/>
        </w:rPr>
      </w:pPr>
      <w:r>
        <w:rPr>
          <w:noProof/>
          <w:lang w:val="en-US"/>
        </w:rPr>
        <w:t>12635</w:t>
      </w:r>
      <w:r>
        <w:rPr>
          <w:lang w:val="en-US"/>
        </w:rPr>
        <w:t>/15 UD 194 DELACT 129 11507/15 UD 166 DELACT 108+ ADD 1-3</w:t>
      </w:r>
    </w:p>
    <w:p w14:paraId="6108D449" w14:textId="77777777" w:rsidR="00643D86" w:rsidRDefault="000C3F48" w:rsidP="00643D86">
      <w:r>
        <w:rPr>
          <w:b/>
        </w:rPr>
        <w:t>Ansvarigt statsråd</w:t>
      </w:r>
      <w:r>
        <w:rPr>
          <w:b/>
        </w:rPr>
        <w:br/>
      </w:r>
      <w:r>
        <w:rPr>
          <w:noProof/>
        </w:rPr>
        <w:t>Magdalena Andersson</w:t>
      </w:r>
    </w:p>
    <w:p w14:paraId="6108D44C" w14:textId="77777777" w:rsidR="00643D86" w:rsidRDefault="000C3F48" w:rsidP="00643D86">
      <w:r w:rsidRPr="00B44CE2">
        <w:rPr>
          <w:b/>
        </w:rPr>
        <w:t>Annotering</w:t>
      </w:r>
      <w:r>
        <w:rPr>
          <w:b/>
        </w:rPr>
        <w:br/>
      </w:r>
      <w:r>
        <w:rPr>
          <w:b/>
          <w:bCs/>
        </w:rPr>
        <w:t>Avsikt med behandlingen i rådet:</w:t>
      </w:r>
      <w:r>
        <w:t xml:space="preserve"> Rådet föreslås bekräftar att det inte har för avsikt att invända mot kommissionens delegerade förordning om komplettering av unionstullkodexen.   </w:t>
      </w:r>
    </w:p>
    <w:p w14:paraId="6108D44D" w14:textId="77777777" w:rsidR="00DA4933" w:rsidRDefault="000C3F48">
      <w:pPr>
        <w:spacing w:after="280" w:afterAutospacing="1"/>
      </w:pPr>
      <w:r>
        <w:rPr>
          <w:b/>
          <w:bCs/>
        </w:rPr>
        <w:t>Hur regeringen ställer sig till den blivande A-punkten:</w:t>
      </w:r>
      <w:r>
        <w:t xml:space="preserve"> Regeringen avser att rösta ja till förslaget.  </w:t>
      </w:r>
    </w:p>
    <w:p w14:paraId="6108D44E" w14:textId="77777777" w:rsidR="00DA4933" w:rsidRDefault="000C3F48">
      <w:pPr>
        <w:spacing w:after="280" w:afterAutospacing="1"/>
      </w:pPr>
      <w:r>
        <w:rPr>
          <w:b/>
          <w:bCs/>
        </w:rPr>
        <w:t xml:space="preserve">Bakgrund: </w:t>
      </w:r>
      <w:r>
        <w:t xml:space="preserve">EU är en tullunion med ett gemensamt regelverk för tullförfarandena. Detta finns sedan 1992 i tullkodexen. Denna EU-förordning innehåller de allmänna regler och förfaranden som ska tillämpas på varor som förs in i eller ut ur gemenskapens område. Tullkodexen har länge varit i behov av modernisering. Under 2008 antogs Europaparlamentets och rådets förordning om fastställande av en tullkodex för gemenskapen (moderniserad tullkodex). Kommissionen lade dock den 22 februari 2012 fram ett nytt förslag till omarbetning av tullkodexen. Detta föranleddes främst av att rättsakten måste anpassas till Lissabonfördraget. Den nya unionstullkodexen ska börja tillämpas den 1 maj 2016. Unionstullkodexen innehåller ett stort antal bestämmelser som ger kommissionen behörighet att anta delegerade akter. </w:t>
      </w:r>
    </w:p>
    <w:p w14:paraId="6108D44F" w14:textId="77777777" w:rsidR="00DA4933" w:rsidRDefault="000C3F48">
      <w:pPr>
        <w:spacing w:after="280" w:afterAutospacing="1"/>
      </w:pPr>
      <w:r>
        <w:t xml:space="preserve">Kommissionen har med stöd av en grupp experter från tullmyndigheterna i medlemstaterna utarbetat ett paket med delegerade akter, som antogs av kommissionen den 28 juli 2015. </w:t>
      </w:r>
    </w:p>
    <w:p w14:paraId="6108D451" w14:textId="7DFA36F7" w:rsidR="00FB32B9" w:rsidRDefault="000C3F48">
      <w:pPr>
        <w:spacing w:after="280" w:afterAutospacing="1"/>
        <w:rPr>
          <w:noProof/>
        </w:rPr>
      </w:pPr>
      <w:r>
        <w:t xml:space="preserve">Rättsakten består av 256 artiklar samt en bilaga. Det rör sig således om ett mycket omfattande arbete som utförts av kommissionen och expertgruppen under tidspress. Detta innebär att den av kommissionen antagna rättsakten av allt att döma kommer att behöva ses över och förbättras. Det har framgått att även kommissionen inser att det kommer att behövas en översyn. Givet att det måste finnas ett regelverk på plats till den 1 maj 2016, kan dock inte detta göras nu. </w:t>
      </w:r>
    </w:p>
    <w:p w14:paraId="6108D452" w14:textId="77777777" w:rsidR="00643D86" w:rsidRDefault="000C3F48" w:rsidP="00643D86">
      <w:pPr>
        <w:pStyle w:val="Rubrik1"/>
      </w:pPr>
      <w:bookmarkStart w:id="5" w:name="_Toc431903563"/>
      <w:r>
        <w:rPr>
          <w:noProof/>
        </w:rPr>
        <w:lastRenderedPageBreak/>
        <w:t>Règlement (UE) …/… de la Commission du XXX modifiant l’annexe II du règlement (CE) nº 854/2004 du Parlement européen et du Conseil fixant les règles spécifiques d’organisation des contrôles officiels concernant les produits d’origine animale destinés à la consommation humaine au regard de certaines exigences applicables aux mollusques bivalves, aux échinodermes, aux tuniciers et aux gastéropodes marins vivants et l’annexe I du règlement (CE) nº 2073/2005 concernant les critères microbiologiques applicables aux denrées alimentaires</w:t>
      </w:r>
      <w:bookmarkEnd w:id="5"/>
    </w:p>
    <w:p w14:paraId="5A69A747" w14:textId="77777777" w:rsidR="000C3F48" w:rsidRDefault="000C3F48" w:rsidP="00643D86">
      <w:pPr>
        <w:rPr>
          <w:lang w:val="en-US"/>
        </w:rPr>
      </w:pPr>
      <w:r>
        <w:rPr>
          <w:noProof/>
          <w:lang w:val="en-US"/>
        </w:rPr>
        <w:t>–</w:t>
      </w:r>
      <w:r>
        <w:rPr>
          <w:lang w:val="en-US"/>
        </w:rPr>
        <w:t>Décision de ne pas s'opposer à l'adoption</w:t>
      </w:r>
    </w:p>
    <w:p w14:paraId="6108D453" w14:textId="7DFD4C4B" w:rsidR="00643D86" w:rsidRDefault="000C3F48" w:rsidP="00643D86">
      <w:pPr>
        <w:rPr>
          <w:lang w:val="en-US"/>
        </w:rPr>
      </w:pPr>
      <w:r>
        <w:rPr>
          <w:noProof/>
          <w:lang w:val="en-US"/>
        </w:rPr>
        <w:t>12543</w:t>
      </w:r>
      <w:r>
        <w:rPr>
          <w:lang w:val="en-US"/>
        </w:rPr>
        <w:t>/15 AGRILEG 181 DENLEG 126 VETER 75 11584/15 AGRILEG 162 DENLEG 114 VETER 65</w:t>
      </w:r>
    </w:p>
    <w:p w14:paraId="6108D454" w14:textId="77777777" w:rsidR="00643D86" w:rsidRDefault="000C3F48" w:rsidP="00643D86">
      <w:r>
        <w:rPr>
          <w:b/>
        </w:rPr>
        <w:t>Ansvarigt statsråd</w:t>
      </w:r>
      <w:r>
        <w:rPr>
          <w:b/>
        </w:rPr>
        <w:br/>
      </w:r>
      <w:r>
        <w:rPr>
          <w:noProof/>
        </w:rPr>
        <w:t>Sven Erik Bucht</w:t>
      </w:r>
    </w:p>
    <w:p w14:paraId="6108D457" w14:textId="77777777" w:rsidR="00643D86" w:rsidRDefault="000C3F48" w:rsidP="00643D86">
      <w:r w:rsidRPr="00B44CE2">
        <w:rPr>
          <w:b/>
        </w:rPr>
        <w:t>Annotering</w:t>
      </w:r>
      <w:r>
        <w:rPr>
          <w:b/>
        </w:rPr>
        <w:br/>
      </w:r>
      <w:r>
        <w:t>Föranleder ingen annotering.</w:t>
      </w:r>
    </w:p>
    <w:p w14:paraId="6108D458" w14:textId="77777777" w:rsidR="00643D86" w:rsidRDefault="000C3F48" w:rsidP="00643D86">
      <w:pPr>
        <w:pStyle w:val="Rubrik1"/>
      </w:pPr>
      <w:bookmarkStart w:id="6" w:name="_Toc431903564"/>
      <w:r>
        <w:rPr>
          <w:noProof/>
        </w:rPr>
        <w:t>Règlement (UE) …/… de la Commission du XXX modifiant les annexes II et III du règlement (CE) nº 396/2005 du Parlement européen et du Conseil en ce qui concerne les limites maximales applicables aux résidus d’abamectine, de desmédiphame, de dichlorprop-P, d’haloxyfop-P, d’oryzalin et de phenmédiphame présents dans ou sur certains produits</w:t>
      </w:r>
      <w:bookmarkEnd w:id="6"/>
    </w:p>
    <w:p w14:paraId="3DEFF419" w14:textId="77777777" w:rsidR="000C3F48" w:rsidRDefault="000C3F48" w:rsidP="00643D86">
      <w:pPr>
        <w:rPr>
          <w:lang w:val="en-US"/>
        </w:rPr>
      </w:pPr>
      <w:r>
        <w:rPr>
          <w:noProof/>
          <w:lang w:val="en-US"/>
        </w:rPr>
        <w:t>–</w:t>
      </w:r>
      <w:r>
        <w:rPr>
          <w:lang w:val="en-US"/>
        </w:rPr>
        <w:t>Décision de ne pas s'opposer à l'adoption</w:t>
      </w:r>
    </w:p>
    <w:p w14:paraId="6108D459" w14:textId="580727C1" w:rsidR="00643D86" w:rsidRDefault="000C3F48" w:rsidP="00643D86">
      <w:pPr>
        <w:rPr>
          <w:lang w:val="en-US"/>
        </w:rPr>
      </w:pPr>
      <w:r>
        <w:rPr>
          <w:noProof/>
          <w:lang w:val="en-US"/>
        </w:rPr>
        <w:t>12523</w:t>
      </w:r>
      <w:r>
        <w:rPr>
          <w:lang w:val="en-US"/>
        </w:rPr>
        <w:t xml:space="preserve">/15 AGRILEG 179 11892/15 AGRILEG 169+ ADD 1 + ADD 2 </w:t>
      </w:r>
    </w:p>
    <w:p w14:paraId="6108D45A" w14:textId="77777777" w:rsidR="00643D86" w:rsidRDefault="000C3F48" w:rsidP="00643D86">
      <w:r>
        <w:rPr>
          <w:b/>
        </w:rPr>
        <w:t>Ansvarigt statsråd</w:t>
      </w:r>
      <w:r>
        <w:rPr>
          <w:b/>
        </w:rPr>
        <w:br/>
      </w:r>
      <w:r>
        <w:rPr>
          <w:noProof/>
        </w:rPr>
        <w:t>Sven Erik Bucht</w:t>
      </w:r>
    </w:p>
    <w:p w14:paraId="6108D45D" w14:textId="77777777" w:rsidR="00643D86" w:rsidRDefault="000C3F48" w:rsidP="00643D86">
      <w:r w:rsidRPr="00B44CE2">
        <w:rPr>
          <w:b/>
        </w:rPr>
        <w:t>Annotering</w:t>
      </w:r>
      <w:r>
        <w:rPr>
          <w:b/>
        </w:rPr>
        <w:br/>
      </w:r>
      <w:r>
        <w:t>Föranleder ingen annotering.</w:t>
      </w:r>
    </w:p>
    <w:p w14:paraId="6108D45E" w14:textId="77777777" w:rsidR="00643D86" w:rsidRDefault="000C3F48" w:rsidP="00643D86">
      <w:pPr>
        <w:pStyle w:val="Rubrik1"/>
      </w:pPr>
      <w:bookmarkStart w:id="7" w:name="_Toc431903565"/>
      <w:r>
        <w:rPr>
          <w:noProof/>
        </w:rPr>
        <w:t>Règlement (UE) …/… de la Commission du XXX modifiant les annexes II et III du règlement (CE) nº 396/2005 du Parlement européen et du Conseil en ce qui concerne les limites maximales applicables aux résidus de bifénazate, de boscalid, de cyazofamide, de cyromazine, de dazomet, de dithiocarbamates, de fluazifop-P, de mépanipyrim, de metrafenone, de piclorame, de propamocarbe, de pyridaben, de pyriofénone, de sulfoxaflor, de tébuconazole, de tebufenpyrad et de thirame présents dans ou sur certains produits</w:t>
      </w:r>
      <w:bookmarkEnd w:id="7"/>
    </w:p>
    <w:p w14:paraId="243D1590" w14:textId="77777777" w:rsidR="000C3F48" w:rsidRDefault="000C3F48" w:rsidP="00643D86">
      <w:pPr>
        <w:rPr>
          <w:lang w:val="en-US"/>
        </w:rPr>
      </w:pPr>
      <w:r>
        <w:rPr>
          <w:noProof/>
          <w:lang w:val="en-US"/>
        </w:rPr>
        <w:t>–</w:t>
      </w:r>
      <w:r>
        <w:rPr>
          <w:lang w:val="en-US"/>
        </w:rPr>
        <w:t>Décision de ne pas s'opposer à l'adoption</w:t>
      </w:r>
    </w:p>
    <w:p w14:paraId="6108D45F" w14:textId="5BE5B60D" w:rsidR="00643D86" w:rsidRDefault="000C3F48" w:rsidP="00643D86">
      <w:pPr>
        <w:rPr>
          <w:lang w:val="en-US"/>
        </w:rPr>
      </w:pPr>
      <w:r>
        <w:rPr>
          <w:noProof/>
          <w:lang w:val="en-US"/>
        </w:rPr>
        <w:t>12500</w:t>
      </w:r>
      <w:r>
        <w:rPr>
          <w:lang w:val="en-US"/>
        </w:rPr>
        <w:t xml:space="preserve">/15 AGRILEG 177 11820/15 AGRILEG 166+ ADD 1 + ADD 2 </w:t>
      </w:r>
    </w:p>
    <w:p w14:paraId="6108D460" w14:textId="77777777" w:rsidR="00643D86" w:rsidRDefault="000C3F48" w:rsidP="00643D86">
      <w:r>
        <w:rPr>
          <w:b/>
        </w:rPr>
        <w:t>Ansvarigt statsråd</w:t>
      </w:r>
      <w:r>
        <w:rPr>
          <w:b/>
        </w:rPr>
        <w:br/>
      </w:r>
      <w:r>
        <w:rPr>
          <w:noProof/>
        </w:rPr>
        <w:t>Sven Erik Bucht</w:t>
      </w:r>
    </w:p>
    <w:p w14:paraId="6108D463" w14:textId="77777777" w:rsidR="00643D86" w:rsidRDefault="000C3F48" w:rsidP="00643D86">
      <w:r w:rsidRPr="00B44CE2">
        <w:rPr>
          <w:b/>
        </w:rPr>
        <w:t>Annotering</w:t>
      </w:r>
      <w:r>
        <w:rPr>
          <w:b/>
        </w:rPr>
        <w:br/>
      </w:r>
      <w:r>
        <w:t>Föranleder ingen annotering.</w:t>
      </w:r>
    </w:p>
    <w:p w14:paraId="6108D464" w14:textId="77777777" w:rsidR="00643D86" w:rsidRDefault="000C3F48" w:rsidP="00643D86">
      <w:pPr>
        <w:pStyle w:val="Rubrik1"/>
      </w:pPr>
      <w:bookmarkStart w:id="8" w:name="_Toc431903566"/>
      <w:r>
        <w:rPr>
          <w:noProof/>
        </w:rPr>
        <w:lastRenderedPageBreak/>
        <w:t>Règlement (UE) …/… de la Commission du XXX modifiant le règlement (CE) nº 1831/2003 du Parlement européen et du Conseil afin d’établir un nouveau groupe fonctionnel d’additifs pour l’alimentation animale</w:t>
      </w:r>
      <w:bookmarkEnd w:id="8"/>
    </w:p>
    <w:p w14:paraId="5743B20C" w14:textId="77777777" w:rsidR="000C3F48" w:rsidRDefault="000C3F48" w:rsidP="00643D86">
      <w:pPr>
        <w:rPr>
          <w:lang w:val="en-US"/>
        </w:rPr>
      </w:pPr>
      <w:r>
        <w:rPr>
          <w:noProof/>
          <w:lang w:val="en-US"/>
        </w:rPr>
        <w:t>–</w:t>
      </w:r>
      <w:r>
        <w:rPr>
          <w:lang w:val="en-US"/>
        </w:rPr>
        <w:t>Décision de ne pas s'opposer à l'adoption</w:t>
      </w:r>
    </w:p>
    <w:p w14:paraId="6108D465" w14:textId="69D09222" w:rsidR="00643D86" w:rsidRDefault="000C3F48" w:rsidP="00643D86">
      <w:pPr>
        <w:rPr>
          <w:lang w:val="en-US"/>
        </w:rPr>
      </w:pPr>
      <w:r>
        <w:rPr>
          <w:noProof/>
          <w:lang w:val="en-US"/>
        </w:rPr>
        <w:t>12520</w:t>
      </w:r>
      <w:r>
        <w:rPr>
          <w:lang w:val="en-US"/>
        </w:rPr>
        <w:t>/15 AGRILEG 178 11580/15 AGRILEG 161</w:t>
      </w:r>
    </w:p>
    <w:p w14:paraId="6108D466" w14:textId="77777777" w:rsidR="00643D86" w:rsidRDefault="000C3F48" w:rsidP="00643D86">
      <w:r>
        <w:rPr>
          <w:b/>
        </w:rPr>
        <w:t>Ansvarigt statsråd</w:t>
      </w:r>
      <w:r>
        <w:rPr>
          <w:b/>
        </w:rPr>
        <w:br/>
      </w:r>
      <w:r>
        <w:rPr>
          <w:noProof/>
        </w:rPr>
        <w:t>Sven Erik Bucht</w:t>
      </w:r>
    </w:p>
    <w:p w14:paraId="6108D469" w14:textId="77777777" w:rsidR="00643D86" w:rsidRDefault="000C3F48" w:rsidP="00643D86">
      <w:r w:rsidRPr="00B44CE2">
        <w:rPr>
          <w:b/>
        </w:rPr>
        <w:t>Annotering</w:t>
      </w:r>
      <w:r>
        <w:rPr>
          <w:b/>
        </w:rPr>
        <w:br/>
      </w:r>
      <w:r>
        <w:t>Föranleder ingen annotering.</w:t>
      </w:r>
    </w:p>
    <w:bookmarkEnd w:id="1"/>
    <w:p w14:paraId="6108D46A" w14:textId="77777777" w:rsidR="00643D86" w:rsidRPr="00643D86" w:rsidRDefault="007E2295"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8D47C" w14:textId="77777777" w:rsidR="00E57B2C" w:rsidRDefault="000C3F48">
      <w:pPr>
        <w:spacing w:after="0" w:line="240" w:lineRule="auto"/>
      </w:pPr>
      <w:r>
        <w:separator/>
      </w:r>
    </w:p>
  </w:endnote>
  <w:endnote w:type="continuationSeparator" w:id="0">
    <w:p w14:paraId="6108D47E" w14:textId="77777777" w:rsidR="00E57B2C" w:rsidRDefault="000C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8D478" w14:textId="77777777" w:rsidR="00E57B2C" w:rsidRDefault="000C3F48">
      <w:pPr>
        <w:spacing w:after="0" w:line="240" w:lineRule="auto"/>
      </w:pPr>
      <w:r>
        <w:separator/>
      </w:r>
    </w:p>
  </w:footnote>
  <w:footnote w:type="continuationSeparator" w:id="0">
    <w:p w14:paraId="6108D47A" w14:textId="77777777" w:rsidR="00E57B2C" w:rsidRDefault="000C3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447883"/>
      <w:docPartObj>
        <w:docPartGallery w:val="Page Numbers (Top of Page)"/>
        <w:docPartUnique/>
      </w:docPartObj>
    </w:sdtPr>
    <w:sdtEndPr/>
    <w:sdtContent>
      <w:p w14:paraId="44446D98" w14:textId="3227827A" w:rsidR="000C3F48" w:rsidRDefault="000C3F48">
        <w:pPr>
          <w:pStyle w:val="Sidhuvud"/>
          <w:jc w:val="right"/>
        </w:pPr>
        <w:r>
          <w:fldChar w:fldCharType="begin"/>
        </w:r>
        <w:r>
          <w:instrText>PAGE   \* MERGEFORMAT</w:instrText>
        </w:r>
        <w:r>
          <w:fldChar w:fldCharType="separate"/>
        </w:r>
        <w:r w:rsidR="007E2295">
          <w:rPr>
            <w:noProof/>
          </w:rPr>
          <w:t>6</w:t>
        </w:r>
        <w:r>
          <w:fldChar w:fldCharType="end"/>
        </w:r>
      </w:p>
    </w:sdtContent>
  </w:sdt>
  <w:p w14:paraId="6108D46C" w14:textId="77777777" w:rsidR="006F1C0D" w:rsidRDefault="007E2295"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A4933" w14:paraId="6108D472" w14:textId="77777777" w:rsidTr="006E71D7">
      <w:tc>
        <w:tcPr>
          <w:tcW w:w="4606" w:type="dxa"/>
        </w:tcPr>
        <w:p w14:paraId="6108D46D" w14:textId="77777777" w:rsidR="006E71D7" w:rsidRDefault="000C3F48" w:rsidP="00752770">
          <w:pPr>
            <w:pStyle w:val="Sidhuvud"/>
            <w:ind w:left="0"/>
          </w:pPr>
          <w:r>
            <w:rPr>
              <w:noProof/>
              <w:lang w:eastAsia="sv-SE"/>
            </w:rPr>
            <w:drawing>
              <wp:inline distT="0" distB="0" distL="0" distR="0" wp14:anchorId="6108D478" wp14:editId="6108D47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108D46E" w14:textId="77777777" w:rsidR="00FB32B9" w:rsidRDefault="007E2295" w:rsidP="00FB32B9">
          <w:pPr>
            <w:ind w:right="916"/>
            <w:rPr>
              <w:rFonts w:ascii="TradeGothic" w:hAnsi="TradeGothic"/>
              <w:b/>
            </w:rPr>
          </w:pPr>
        </w:p>
        <w:p w14:paraId="6108D46F" w14:textId="77777777" w:rsidR="00FB32B9" w:rsidRDefault="000C3F48" w:rsidP="00FB32B9">
          <w:pPr>
            <w:ind w:right="916"/>
          </w:pPr>
          <w:r>
            <w:rPr>
              <w:rFonts w:ascii="TradeGothic" w:hAnsi="TradeGothic"/>
              <w:b/>
            </w:rPr>
            <w:t>Promemoria</w:t>
          </w:r>
        </w:p>
        <w:p w14:paraId="6108D470" w14:textId="77777777" w:rsidR="00FB32B9" w:rsidRDefault="007E2295" w:rsidP="00FB32B9">
          <w:pPr>
            <w:jc w:val="right"/>
          </w:pPr>
        </w:p>
        <w:p w14:paraId="6108D471" w14:textId="5E09CCB3" w:rsidR="006E71D7" w:rsidRDefault="000C3F48" w:rsidP="00FB32B9">
          <w:pPr>
            <w:ind w:right="916"/>
          </w:pPr>
          <w:r>
            <w:rPr>
              <w:rFonts w:ascii="TradeGothic" w:hAnsi="TradeGothic"/>
              <w:b/>
              <w:noProof/>
            </w:rPr>
            <w:t>2015-10-07</w:t>
          </w:r>
          <w:r w:rsidRPr="00934953">
            <w:t xml:space="preserve"> </w:t>
          </w:r>
        </w:p>
      </w:tc>
    </w:tr>
  </w:tbl>
  <w:p w14:paraId="6108D473" w14:textId="77777777" w:rsidR="00FB32B9" w:rsidRDefault="007E2295" w:rsidP="00FB32B9">
    <w:pPr>
      <w:pStyle w:val="Avsndare"/>
      <w:framePr w:w="0" w:hRule="auto" w:hSpace="0" w:wrap="auto" w:vAnchor="margin" w:hAnchor="text" w:xAlign="left" w:yAlign="inline"/>
      <w:rPr>
        <w:b/>
        <w:i w:val="0"/>
        <w:sz w:val="22"/>
      </w:rPr>
    </w:pPr>
  </w:p>
  <w:p w14:paraId="6108D474" w14:textId="77777777" w:rsidR="00FB32B9" w:rsidRDefault="000C3F48" w:rsidP="00FB32B9">
    <w:pPr>
      <w:pStyle w:val="Avsndare"/>
      <w:framePr w:w="0" w:hRule="auto" w:hSpace="0" w:wrap="auto" w:vAnchor="margin" w:hAnchor="text" w:xAlign="left" w:yAlign="inline"/>
      <w:rPr>
        <w:b/>
        <w:i w:val="0"/>
        <w:sz w:val="22"/>
      </w:rPr>
    </w:pPr>
    <w:r>
      <w:rPr>
        <w:b/>
        <w:i w:val="0"/>
        <w:sz w:val="22"/>
      </w:rPr>
      <w:t>Statsrådsberedningen</w:t>
    </w:r>
  </w:p>
  <w:p w14:paraId="6108D475" w14:textId="77777777" w:rsidR="00FB32B9" w:rsidRDefault="007E2295" w:rsidP="00FB32B9">
    <w:pPr>
      <w:pStyle w:val="Avsndare"/>
      <w:framePr w:w="0" w:hRule="auto" w:hSpace="0" w:wrap="auto" w:vAnchor="margin" w:hAnchor="text" w:xAlign="left" w:yAlign="inline"/>
    </w:pPr>
  </w:p>
  <w:p w14:paraId="6108D476" w14:textId="77777777" w:rsidR="00FB32B9" w:rsidRDefault="000C3F48" w:rsidP="00FB32B9">
    <w:pPr>
      <w:pStyle w:val="Avsndare"/>
      <w:framePr w:w="0" w:hRule="auto" w:hSpace="0" w:wrap="auto" w:vAnchor="margin" w:hAnchor="text" w:xAlign="left" w:yAlign="inline"/>
    </w:pPr>
    <w:r>
      <w:t>EU-kansliet</w:t>
    </w:r>
  </w:p>
  <w:p w14:paraId="6108D477" w14:textId="77777777" w:rsidR="0012376B" w:rsidRDefault="007E229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F383A70">
      <w:start w:val="1"/>
      <w:numFmt w:val="decimal"/>
      <w:pStyle w:val="Rubrik1"/>
      <w:lvlText w:val="%1."/>
      <w:lvlJc w:val="left"/>
      <w:pPr>
        <w:ind w:left="720" w:hanging="360"/>
      </w:pPr>
    </w:lvl>
    <w:lvl w:ilvl="1" w:tplc="2D08E34A" w:tentative="1">
      <w:start w:val="1"/>
      <w:numFmt w:val="lowerLetter"/>
      <w:lvlText w:val="%2."/>
      <w:lvlJc w:val="left"/>
      <w:pPr>
        <w:ind w:left="1440" w:hanging="360"/>
      </w:pPr>
    </w:lvl>
    <w:lvl w:ilvl="2" w:tplc="1B862F26" w:tentative="1">
      <w:start w:val="1"/>
      <w:numFmt w:val="lowerRoman"/>
      <w:lvlText w:val="%3."/>
      <w:lvlJc w:val="right"/>
      <w:pPr>
        <w:ind w:left="2160" w:hanging="180"/>
      </w:pPr>
    </w:lvl>
    <w:lvl w:ilvl="3" w:tplc="3C7E0D52" w:tentative="1">
      <w:start w:val="1"/>
      <w:numFmt w:val="decimal"/>
      <w:lvlText w:val="%4."/>
      <w:lvlJc w:val="left"/>
      <w:pPr>
        <w:ind w:left="2880" w:hanging="360"/>
      </w:pPr>
    </w:lvl>
    <w:lvl w:ilvl="4" w:tplc="64FC97BC" w:tentative="1">
      <w:start w:val="1"/>
      <w:numFmt w:val="lowerLetter"/>
      <w:lvlText w:val="%5."/>
      <w:lvlJc w:val="left"/>
      <w:pPr>
        <w:ind w:left="3600" w:hanging="360"/>
      </w:pPr>
    </w:lvl>
    <w:lvl w:ilvl="5" w:tplc="7B0C06CC" w:tentative="1">
      <w:start w:val="1"/>
      <w:numFmt w:val="lowerRoman"/>
      <w:lvlText w:val="%6."/>
      <w:lvlJc w:val="right"/>
      <w:pPr>
        <w:ind w:left="4320" w:hanging="180"/>
      </w:pPr>
    </w:lvl>
    <w:lvl w:ilvl="6" w:tplc="4216D12C" w:tentative="1">
      <w:start w:val="1"/>
      <w:numFmt w:val="decimal"/>
      <w:lvlText w:val="%7."/>
      <w:lvlJc w:val="left"/>
      <w:pPr>
        <w:ind w:left="5040" w:hanging="360"/>
      </w:pPr>
    </w:lvl>
    <w:lvl w:ilvl="7" w:tplc="3E129AEC" w:tentative="1">
      <w:start w:val="1"/>
      <w:numFmt w:val="lowerLetter"/>
      <w:lvlText w:val="%8."/>
      <w:lvlJc w:val="left"/>
      <w:pPr>
        <w:ind w:left="5760" w:hanging="360"/>
      </w:pPr>
    </w:lvl>
    <w:lvl w:ilvl="8" w:tplc="E236CEC4" w:tentative="1">
      <w:start w:val="1"/>
      <w:numFmt w:val="lowerRoman"/>
      <w:lvlText w:val="%9."/>
      <w:lvlJc w:val="right"/>
      <w:pPr>
        <w:ind w:left="6480" w:hanging="180"/>
      </w:pPr>
    </w:lvl>
  </w:abstractNum>
  <w:abstractNum w:abstractNumId="1">
    <w:nsid w:val="71E945B5"/>
    <w:multiLevelType w:val="hybridMultilevel"/>
    <w:tmpl w:val="F6780696"/>
    <w:lvl w:ilvl="0" w:tplc="3FFE4798">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2">
    <w:nsid w:val="73990993"/>
    <w:multiLevelType w:val="hybridMultilevel"/>
    <w:tmpl w:val="3BD822EE"/>
    <w:lvl w:ilvl="0" w:tplc="312E1392">
      <w:start w:val="1"/>
      <w:numFmt w:val="decimal"/>
      <w:lvlText w:val="%1."/>
      <w:lvlJc w:val="left"/>
      <w:pPr>
        <w:ind w:left="360" w:hanging="360"/>
      </w:pPr>
      <w:rPr>
        <w:b w:val="0"/>
      </w:rPr>
    </w:lvl>
    <w:lvl w:ilvl="1" w:tplc="2C9A775E" w:tentative="1">
      <w:start w:val="1"/>
      <w:numFmt w:val="lowerLetter"/>
      <w:lvlText w:val="%2."/>
      <w:lvlJc w:val="left"/>
      <w:pPr>
        <w:ind w:left="1080" w:hanging="360"/>
      </w:pPr>
    </w:lvl>
    <w:lvl w:ilvl="2" w:tplc="AE4E9B14" w:tentative="1">
      <w:start w:val="1"/>
      <w:numFmt w:val="lowerRoman"/>
      <w:lvlText w:val="%3."/>
      <w:lvlJc w:val="right"/>
      <w:pPr>
        <w:ind w:left="1800" w:hanging="180"/>
      </w:pPr>
    </w:lvl>
    <w:lvl w:ilvl="3" w:tplc="BEEE22E4" w:tentative="1">
      <w:start w:val="1"/>
      <w:numFmt w:val="decimal"/>
      <w:lvlText w:val="%4."/>
      <w:lvlJc w:val="left"/>
      <w:pPr>
        <w:ind w:left="2520" w:hanging="360"/>
      </w:pPr>
    </w:lvl>
    <w:lvl w:ilvl="4" w:tplc="C9DE073A" w:tentative="1">
      <w:start w:val="1"/>
      <w:numFmt w:val="lowerLetter"/>
      <w:lvlText w:val="%5."/>
      <w:lvlJc w:val="left"/>
      <w:pPr>
        <w:ind w:left="3240" w:hanging="360"/>
      </w:pPr>
    </w:lvl>
    <w:lvl w:ilvl="5" w:tplc="8272DCBC" w:tentative="1">
      <w:start w:val="1"/>
      <w:numFmt w:val="lowerRoman"/>
      <w:lvlText w:val="%6."/>
      <w:lvlJc w:val="right"/>
      <w:pPr>
        <w:ind w:left="3960" w:hanging="180"/>
      </w:pPr>
    </w:lvl>
    <w:lvl w:ilvl="6" w:tplc="93A23D9A" w:tentative="1">
      <w:start w:val="1"/>
      <w:numFmt w:val="decimal"/>
      <w:lvlText w:val="%7."/>
      <w:lvlJc w:val="left"/>
      <w:pPr>
        <w:ind w:left="4680" w:hanging="360"/>
      </w:pPr>
    </w:lvl>
    <w:lvl w:ilvl="7" w:tplc="C594780C" w:tentative="1">
      <w:start w:val="1"/>
      <w:numFmt w:val="lowerLetter"/>
      <w:lvlText w:val="%8."/>
      <w:lvlJc w:val="left"/>
      <w:pPr>
        <w:ind w:left="5400" w:hanging="360"/>
      </w:pPr>
    </w:lvl>
    <w:lvl w:ilvl="8" w:tplc="CA34A450"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33"/>
    <w:rsid w:val="000C3F48"/>
    <w:rsid w:val="007E2295"/>
    <w:rsid w:val="00DA4933"/>
    <w:rsid w:val="00E57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0C3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0C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JE6N4JFJXNNF-9-69284</_dlc_DocId>
    <_dlc_DocIdUrl xmlns="8b66ae41-1ec6-402e-b662-35d1932ca064">
      <Url>http://rkdhs-sb/enhet/EUKansli/_layouts/DocIdRedir.aspx?ID=JE6N4JFJXNNF-9-69284</Url>
      <Description>JE6N4JFJXNNF-9-69284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9E7C-CC83-448B-B942-96F5ECE76428}"/>
</file>

<file path=customXml/itemProps2.xml><?xml version="1.0" encoding="utf-8"?>
<ds:datastoreItem xmlns:ds="http://schemas.openxmlformats.org/officeDocument/2006/customXml" ds:itemID="{EE419F95-80C1-43E0-B77B-8946F9AD139E}"/>
</file>

<file path=customXml/itemProps3.xml><?xml version="1.0" encoding="utf-8"?>
<ds:datastoreItem xmlns:ds="http://schemas.openxmlformats.org/officeDocument/2006/customXml" ds:itemID="{DB90DD26-2A5C-4DB9-8B74-AB7B806BD6FE}"/>
</file>

<file path=customXml/itemProps4.xml><?xml version="1.0" encoding="utf-8"?>
<ds:datastoreItem xmlns:ds="http://schemas.openxmlformats.org/officeDocument/2006/customXml" ds:itemID="{405A21D4-2FAB-40E4-80FD-4A7F6E9CC139}"/>
</file>

<file path=customXml/itemProps5.xml><?xml version="1.0" encoding="utf-8"?>
<ds:datastoreItem xmlns:ds="http://schemas.openxmlformats.org/officeDocument/2006/customXml" ds:itemID="{138EF764-09C7-496B-A3F7-499208D95398}"/>
</file>

<file path=customXml/itemProps6.xml><?xml version="1.0" encoding="utf-8"?>
<ds:datastoreItem xmlns:ds="http://schemas.openxmlformats.org/officeDocument/2006/customXml" ds:itemID="{0E1C31E2-0117-4BAB-8067-C3935A3D1269}"/>
</file>

<file path=customXml/itemProps7.xml><?xml version="1.0" encoding="utf-8"?>
<ds:datastoreItem xmlns:ds="http://schemas.openxmlformats.org/officeDocument/2006/customXml" ds:itemID="{FF21225C-FA22-4827-93FB-D99DBA392254}"/>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8380</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2015-10-07T07:16:00Z</dcterms:created>
  <dcterms:modified xsi:type="dcterms:W3CDTF">2015-10-07T07:16:00Z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31a17d30-51f4-418d-9b04-e9874efd09bc</vt:lpwstr>
  </property>
</Properties>
</file>