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D163F5" w14:textId="77777777">
        <w:tc>
          <w:tcPr>
            <w:tcW w:w="2268" w:type="dxa"/>
          </w:tcPr>
          <w:p w14:paraId="7BD163F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D163F4" w14:textId="77777777" w:rsidR="006E4E11" w:rsidRDefault="006E4E11" w:rsidP="007242A3">
            <w:pPr>
              <w:framePr w:w="5035" w:h="1644" w:wrap="notBeside" w:vAnchor="page" w:hAnchor="page" w:x="6573" w:y="721"/>
              <w:rPr>
                <w:rFonts w:ascii="TradeGothic" w:hAnsi="TradeGothic"/>
                <w:i/>
                <w:sz w:val="18"/>
              </w:rPr>
            </w:pPr>
          </w:p>
        </w:tc>
      </w:tr>
      <w:tr w:rsidR="006E4E11" w14:paraId="7BD163F8" w14:textId="77777777">
        <w:tc>
          <w:tcPr>
            <w:tcW w:w="2268" w:type="dxa"/>
          </w:tcPr>
          <w:p w14:paraId="7BD163F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BD163F7" w14:textId="77777777" w:rsidR="006E4E11" w:rsidRDefault="006E4E11" w:rsidP="007242A3">
            <w:pPr>
              <w:framePr w:w="5035" w:h="1644" w:wrap="notBeside" w:vAnchor="page" w:hAnchor="page" w:x="6573" w:y="721"/>
              <w:rPr>
                <w:rFonts w:ascii="TradeGothic" w:hAnsi="TradeGothic"/>
                <w:b/>
                <w:sz w:val="22"/>
              </w:rPr>
            </w:pPr>
          </w:p>
        </w:tc>
      </w:tr>
      <w:tr w:rsidR="006E4E11" w14:paraId="7BD163FB" w14:textId="77777777">
        <w:tc>
          <w:tcPr>
            <w:tcW w:w="3402" w:type="dxa"/>
            <w:gridSpan w:val="2"/>
          </w:tcPr>
          <w:p w14:paraId="7BD163F9" w14:textId="77777777" w:rsidR="006E4E11" w:rsidRDefault="006E4E11" w:rsidP="007242A3">
            <w:pPr>
              <w:framePr w:w="5035" w:h="1644" w:wrap="notBeside" w:vAnchor="page" w:hAnchor="page" w:x="6573" w:y="721"/>
            </w:pPr>
          </w:p>
        </w:tc>
        <w:tc>
          <w:tcPr>
            <w:tcW w:w="1865" w:type="dxa"/>
          </w:tcPr>
          <w:p w14:paraId="7BD163FA" w14:textId="77777777" w:rsidR="006E4E11" w:rsidRDefault="006E4E11" w:rsidP="007242A3">
            <w:pPr>
              <w:framePr w:w="5035" w:h="1644" w:wrap="notBeside" w:vAnchor="page" w:hAnchor="page" w:x="6573" w:y="721"/>
            </w:pPr>
          </w:p>
        </w:tc>
      </w:tr>
      <w:tr w:rsidR="006E4E11" w14:paraId="7BD163FE" w14:textId="77777777">
        <w:tc>
          <w:tcPr>
            <w:tcW w:w="2268" w:type="dxa"/>
          </w:tcPr>
          <w:p w14:paraId="7BD163FC" w14:textId="77777777" w:rsidR="006E4E11" w:rsidRDefault="006E4E11" w:rsidP="007242A3">
            <w:pPr>
              <w:framePr w:w="5035" w:h="1644" w:wrap="notBeside" w:vAnchor="page" w:hAnchor="page" w:x="6573" w:y="721"/>
            </w:pPr>
          </w:p>
        </w:tc>
        <w:tc>
          <w:tcPr>
            <w:tcW w:w="2999" w:type="dxa"/>
            <w:gridSpan w:val="2"/>
          </w:tcPr>
          <w:p w14:paraId="7BD163FD" w14:textId="2C271957" w:rsidR="006E4E11" w:rsidRPr="00ED583F" w:rsidRDefault="005A19CE" w:rsidP="005A19CE">
            <w:pPr>
              <w:framePr w:w="5035" w:h="1644" w:wrap="notBeside" w:vAnchor="page" w:hAnchor="page" w:x="6573" w:y="721"/>
              <w:rPr>
                <w:sz w:val="20"/>
              </w:rPr>
            </w:pPr>
            <w:r>
              <w:rPr>
                <w:sz w:val="20"/>
              </w:rPr>
              <w:t>Dnr Ju2015/07093</w:t>
            </w:r>
            <w:r w:rsidR="00145797">
              <w:rPr>
                <w:sz w:val="20"/>
              </w:rPr>
              <w:t>/</w:t>
            </w:r>
            <w:r>
              <w:rPr>
                <w:sz w:val="20"/>
              </w:rPr>
              <w:t>POL</w:t>
            </w:r>
          </w:p>
        </w:tc>
      </w:tr>
      <w:tr w:rsidR="006E4E11" w14:paraId="7BD16401" w14:textId="77777777">
        <w:tc>
          <w:tcPr>
            <w:tcW w:w="2268" w:type="dxa"/>
          </w:tcPr>
          <w:p w14:paraId="7BD163FF" w14:textId="77777777" w:rsidR="006E4E11" w:rsidRDefault="006E4E11" w:rsidP="007242A3">
            <w:pPr>
              <w:framePr w:w="5035" w:h="1644" w:wrap="notBeside" w:vAnchor="page" w:hAnchor="page" w:x="6573" w:y="721"/>
            </w:pPr>
          </w:p>
        </w:tc>
        <w:tc>
          <w:tcPr>
            <w:tcW w:w="2999" w:type="dxa"/>
            <w:gridSpan w:val="2"/>
          </w:tcPr>
          <w:p w14:paraId="7BD16400" w14:textId="77777777" w:rsidR="006E4E11" w:rsidRDefault="006E4E11" w:rsidP="007242A3">
            <w:pPr>
              <w:framePr w:w="5035" w:h="1644" w:wrap="notBeside" w:vAnchor="page" w:hAnchor="page" w:x="6573" w:y="721"/>
            </w:pPr>
          </w:p>
        </w:tc>
      </w:tr>
    </w:tbl>
    <w:tbl>
      <w:tblPr>
        <w:tblW w:w="4925" w:type="dxa"/>
        <w:tblLayout w:type="fixed"/>
        <w:tblLook w:val="0000" w:firstRow="0" w:lastRow="0" w:firstColumn="0" w:lastColumn="0" w:noHBand="0" w:noVBand="0"/>
      </w:tblPr>
      <w:tblGrid>
        <w:gridCol w:w="4925"/>
      </w:tblGrid>
      <w:tr w:rsidR="006E4E11" w14:paraId="7BD16403" w14:textId="77777777" w:rsidTr="00BC1C57">
        <w:trPr>
          <w:trHeight w:val="6"/>
        </w:trPr>
        <w:tc>
          <w:tcPr>
            <w:tcW w:w="4925" w:type="dxa"/>
          </w:tcPr>
          <w:p w14:paraId="7BD16402" w14:textId="77777777" w:rsidR="006E4E11" w:rsidRDefault="00145797" w:rsidP="00BC1C57">
            <w:pPr>
              <w:pStyle w:val="Avsndare"/>
              <w:framePr w:h="2483" w:wrap="notBeside" w:x="1504" w:y="2221"/>
              <w:rPr>
                <w:b/>
                <w:i w:val="0"/>
                <w:sz w:val="22"/>
              </w:rPr>
            </w:pPr>
            <w:r>
              <w:rPr>
                <w:b/>
                <w:i w:val="0"/>
                <w:sz w:val="22"/>
              </w:rPr>
              <w:t>Justitiedepartementet</w:t>
            </w:r>
          </w:p>
        </w:tc>
      </w:tr>
      <w:tr w:rsidR="006E4E11" w14:paraId="7BD16405" w14:textId="77777777" w:rsidTr="00BC1C57">
        <w:trPr>
          <w:trHeight w:val="6"/>
        </w:trPr>
        <w:tc>
          <w:tcPr>
            <w:tcW w:w="4925" w:type="dxa"/>
          </w:tcPr>
          <w:p w14:paraId="7BD16404" w14:textId="77777777" w:rsidR="006E4E11" w:rsidRDefault="00145797" w:rsidP="00BC1C57">
            <w:pPr>
              <w:pStyle w:val="Avsndare"/>
              <w:framePr w:h="2483" w:wrap="notBeside" w:x="1504" w:y="2221"/>
              <w:rPr>
                <w:bCs/>
                <w:iCs/>
              </w:rPr>
            </w:pPr>
            <w:r>
              <w:rPr>
                <w:bCs/>
                <w:iCs/>
              </w:rPr>
              <w:t>Justitie- och migrationsministern</w:t>
            </w:r>
          </w:p>
        </w:tc>
      </w:tr>
      <w:tr w:rsidR="006E4E11" w14:paraId="7BD16407" w14:textId="77777777" w:rsidTr="00BC1C57">
        <w:trPr>
          <w:trHeight w:val="6"/>
        </w:trPr>
        <w:tc>
          <w:tcPr>
            <w:tcW w:w="4925" w:type="dxa"/>
          </w:tcPr>
          <w:p w14:paraId="7BD16406" w14:textId="77777777" w:rsidR="006E4E11" w:rsidRDefault="006E4E11" w:rsidP="00BC1C57">
            <w:pPr>
              <w:pStyle w:val="Avsndare"/>
              <w:framePr w:h="2483" w:wrap="notBeside" w:x="1504" w:y="2221"/>
              <w:rPr>
                <w:bCs/>
                <w:iCs/>
              </w:rPr>
            </w:pPr>
          </w:p>
        </w:tc>
      </w:tr>
      <w:tr w:rsidR="006E4E11" w14:paraId="7BD16409" w14:textId="77777777" w:rsidTr="00BC1C57">
        <w:trPr>
          <w:trHeight w:val="6"/>
        </w:trPr>
        <w:tc>
          <w:tcPr>
            <w:tcW w:w="4925" w:type="dxa"/>
          </w:tcPr>
          <w:p w14:paraId="7BD16408" w14:textId="77777777" w:rsidR="006E4E11" w:rsidRDefault="006E4E11" w:rsidP="00BC1C57">
            <w:pPr>
              <w:pStyle w:val="Avsndare"/>
              <w:framePr w:h="2483" w:wrap="notBeside" w:x="1504" w:y="2221"/>
              <w:rPr>
                <w:bCs/>
                <w:iCs/>
              </w:rPr>
            </w:pPr>
          </w:p>
        </w:tc>
      </w:tr>
      <w:tr w:rsidR="006E4E11" w14:paraId="7BD1640B" w14:textId="77777777" w:rsidTr="00BC1C57">
        <w:trPr>
          <w:trHeight w:val="6"/>
        </w:trPr>
        <w:tc>
          <w:tcPr>
            <w:tcW w:w="4925" w:type="dxa"/>
          </w:tcPr>
          <w:p w14:paraId="7BD1640A" w14:textId="77777777" w:rsidR="00E22765" w:rsidRDefault="00E22765" w:rsidP="00BC1C57">
            <w:pPr>
              <w:pStyle w:val="Avsndare"/>
              <w:framePr w:h="2483" w:wrap="notBeside" w:x="1504" w:y="2221"/>
              <w:rPr>
                <w:bCs/>
                <w:iCs/>
              </w:rPr>
            </w:pPr>
          </w:p>
        </w:tc>
      </w:tr>
      <w:tr w:rsidR="006E4E11" w14:paraId="7BD1640D" w14:textId="77777777" w:rsidTr="00BC1C57">
        <w:trPr>
          <w:trHeight w:val="6"/>
        </w:trPr>
        <w:tc>
          <w:tcPr>
            <w:tcW w:w="4925" w:type="dxa"/>
          </w:tcPr>
          <w:p w14:paraId="7BD1640C" w14:textId="77777777" w:rsidR="006E4E11" w:rsidRDefault="006E4E11" w:rsidP="00BC1C57">
            <w:pPr>
              <w:pStyle w:val="Avsndare"/>
              <w:framePr w:h="2483" w:wrap="notBeside" w:x="1504" w:y="2221"/>
              <w:rPr>
                <w:bCs/>
                <w:iCs/>
              </w:rPr>
            </w:pPr>
          </w:p>
        </w:tc>
      </w:tr>
      <w:tr w:rsidR="006E4E11" w14:paraId="7BD1640F" w14:textId="77777777" w:rsidTr="00BC1C57">
        <w:trPr>
          <w:trHeight w:val="6"/>
        </w:trPr>
        <w:tc>
          <w:tcPr>
            <w:tcW w:w="4925" w:type="dxa"/>
          </w:tcPr>
          <w:p w14:paraId="7BD1640E" w14:textId="77777777" w:rsidR="006E4E11" w:rsidRPr="00E22765" w:rsidRDefault="006E4E11" w:rsidP="00BC1C57">
            <w:pPr>
              <w:pStyle w:val="Avsndare"/>
              <w:framePr w:h="2483" w:wrap="notBeside" w:x="1504" w:y="2221"/>
              <w:rPr>
                <w:b/>
                <w:bCs/>
                <w:iCs/>
              </w:rPr>
            </w:pPr>
          </w:p>
        </w:tc>
      </w:tr>
      <w:tr w:rsidR="006E4E11" w14:paraId="7BD16411" w14:textId="77777777" w:rsidTr="00BC1C57">
        <w:trPr>
          <w:trHeight w:val="6"/>
        </w:trPr>
        <w:tc>
          <w:tcPr>
            <w:tcW w:w="4925" w:type="dxa"/>
          </w:tcPr>
          <w:p w14:paraId="7BD16410" w14:textId="77777777" w:rsidR="00E22765" w:rsidRDefault="00E22765" w:rsidP="00BC1C57">
            <w:pPr>
              <w:pStyle w:val="Avsndare"/>
              <w:framePr w:h="2483" w:wrap="notBeside" w:x="1504" w:y="2221"/>
              <w:rPr>
                <w:bCs/>
                <w:iCs/>
              </w:rPr>
            </w:pPr>
          </w:p>
        </w:tc>
      </w:tr>
      <w:tr w:rsidR="006E4E11" w14:paraId="7BD16413" w14:textId="77777777" w:rsidTr="00BC1C57">
        <w:trPr>
          <w:trHeight w:val="80"/>
        </w:trPr>
        <w:tc>
          <w:tcPr>
            <w:tcW w:w="4925" w:type="dxa"/>
          </w:tcPr>
          <w:p w14:paraId="7BD16412" w14:textId="77777777" w:rsidR="00E22765" w:rsidRDefault="00E22765" w:rsidP="00BC1C57">
            <w:pPr>
              <w:pStyle w:val="Avsndare"/>
              <w:framePr w:h="2483" w:wrap="notBeside" w:x="1504" w:y="2221"/>
              <w:rPr>
                <w:bCs/>
                <w:iCs/>
              </w:rPr>
            </w:pPr>
          </w:p>
        </w:tc>
      </w:tr>
    </w:tbl>
    <w:p w14:paraId="7BD16414" w14:textId="77777777" w:rsidR="006E4E11" w:rsidRDefault="00145797" w:rsidP="00070705">
      <w:pPr>
        <w:framePr w:w="4400" w:h="1111" w:wrap="notBeside" w:vAnchor="page" w:hAnchor="page" w:x="6453" w:y="2445"/>
        <w:ind w:left="142"/>
      </w:pPr>
      <w:r>
        <w:t>Till riksdagen</w:t>
      </w:r>
    </w:p>
    <w:p w14:paraId="7BD16415" w14:textId="6D6C25AB" w:rsidR="006E4E11" w:rsidRDefault="005A19CE" w:rsidP="00145797">
      <w:pPr>
        <w:pStyle w:val="RKrubrik"/>
        <w:pBdr>
          <w:bottom w:val="single" w:sz="4" w:space="1" w:color="auto"/>
        </w:pBdr>
        <w:spacing w:before="0" w:after="0"/>
      </w:pPr>
      <w:r>
        <w:t>Svar på fråga 2015/16:23</w:t>
      </w:r>
      <w:r w:rsidR="00145797">
        <w:t xml:space="preserve"> av Roger Haddad (FP) </w:t>
      </w:r>
      <w:r>
        <w:t>Stöd till brottsofferjourerna - Luleåmodellen</w:t>
      </w:r>
    </w:p>
    <w:p w14:paraId="7BD16416" w14:textId="77777777" w:rsidR="006E4E11" w:rsidRDefault="006E4E11">
      <w:pPr>
        <w:pStyle w:val="RKnormal"/>
      </w:pPr>
    </w:p>
    <w:p w14:paraId="2B7A9822" w14:textId="77777777" w:rsidR="005A19CE" w:rsidRDefault="005A19CE" w:rsidP="005A19CE">
      <w:pPr>
        <w:pStyle w:val="RKnormal"/>
      </w:pPr>
      <w:r>
        <w:t xml:space="preserve">Roger Haddad har frågat mig om jag och regeringen kommer att förändra ersättningsmodellen till landets jourverksamheter så att verksamheter som brottsofferjouren i Luleå, som jobbar med både män och kvinnor, kan få bättre villkor ekonomiskt och verksamhetsmässigt. </w:t>
      </w:r>
    </w:p>
    <w:p w14:paraId="192B2D0A" w14:textId="77777777" w:rsidR="005A19CE" w:rsidRDefault="005A19CE" w:rsidP="005A19CE">
      <w:pPr>
        <w:pStyle w:val="RKnormal"/>
      </w:pPr>
    </w:p>
    <w:p w14:paraId="286BA68F" w14:textId="77777777" w:rsidR="005A19CE" w:rsidRDefault="005A19CE" w:rsidP="005A19CE">
      <w:pPr>
        <w:pStyle w:val="RKnormal"/>
      </w:pPr>
      <w:r>
        <w:t xml:space="preserve">Det arbete som det civila samhällets organisationer utför med att stödja dem som har drabbats av brott är ett mycket viktigt och angeläget komplement till myndigheters och kommuners åtgärder.  Det gäller inte minst det arbete som brottsofferjourerna utför. Regeringen möjliggör därför att frivilligorganisationer ska kunna söka stöd för sin verksamhet, bl.a. genom förordningen (2011:1062) om statsbidrag till vissa organisationer inom det sociala området m.m. Vidare fördelar Brottsoffermyndigheten genom brottsofferfonden ekonomiskt stöd till olika former av brottsofferinriktad verksamhet och forskning. </w:t>
      </w:r>
      <w:r w:rsidRPr="00A74AAE">
        <w:t xml:space="preserve">Höjningen av </w:t>
      </w:r>
      <w:r>
        <w:t xml:space="preserve">avgifterna till brottsofferfonden i februari i år kommer också att skapa förutsättningar för ytterligare förstärkningar av stödet till brottsdrabbade och vittnen.  </w:t>
      </w:r>
    </w:p>
    <w:p w14:paraId="44E19231" w14:textId="77777777" w:rsidR="005A19CE" w:rsidRDefault="005A19CE" w:rsidP="005A19CE">
      <w:pPr>
        <w:pStyle w:val="RKnormal"/>
      </w:pPr>
    </w:p>
    <w:p w14:paraId="1CB23E44" w14:textId="05C7CCA4" w:rsidR="005A19CE" w:rsidRDefault="005A19CE" w:rsidP="005A19CE">
      <w:pPr>
        <w:pStyle w:val="RKnormal"/>
      </w:pPr>
      <w:r w:rsidRPr="004963BF">
        <w:t xml:space="preserve">Den vittnesstödsverksamhet som brottsofferjourerna </w:t>
      </w:r>
      <w:r>
        <w:t xml:space="preserve">bedriver når årligen ett stort antal brottsutsatta och vittnen. Den fyller en viktig funktion genom att bidra till ökad trygghet och förståelse för rättsprocessen och därmed till ökad rättssäkerhet. I syfte att utveckla verksamheten ytterligare har Brottsoffermyndigheten och Domstolsverket i uppdrag att överväga alternativ för att säkerställa en långsiktigt hållbar vittnesstödsverksamhet i hela landet. Uppdraget ska redovisas </w:t>
      </w:r>
      <w:r w:rsidR="00535636">
        <w:t>den 30</w:t>
      </w:r>
      <w:r>
        <w:t xml:space="preserve"> november. </w:t>
      </w:r>
    </w:p>
    <w:p w14:paraId="7D0B6FB8" w14:textId="77777777" w:rsidR="005A19CE" w:rsidRDefault="005A19CE" w:rsidP="005A19CE">
      <w:pPr>
        <w:pStyle w:val="RKnormal"/>
      </w:pPr>
    </w:p>
    <w:p w14:paraId="67F29C73" w14:textId="77777777" w:rsidR="00611821" w:rsidRDefault="00611821" w:rsidP="005A19CE">
      <w:pPr>
        <w:pStyle w:val="RKnormal"/>
      </w:pPr>
    </w:p>
    <w:p w14:paraId="696B078D" w14:textId="77777777" w:rsidR="00611821" w:rsidRDefault="00611821" w:rsidP="005A19CE">
      <w:pPr>
        <w:pStyle w:val="RKnormal"/>
      </w:pPr>
    </w:p>
    <w:p w14:paraId="65546E7B" w14:textId="77777777" w:rsidR="00611821" w:rsidRDefault="00611821" w:rsidP="005A19CE">
      <w:pPr>
        <w:pStyle w:val="RKnormal"/>
      </w:pPr>
    </w:p>
    <w:p w14:paraId="20392845" w14:textId="77777777" w:rsidR="00611821" w:rsidRDefault="00611821" w:rsidP="005A19CE">
      <w:pPr>
        <w:pStyle w:val="RKnormal"/>
      </w:pPr>
    </w:p>
    <w:p w14:paraId="232D4C5C" w14:textId="77777777" w:rsidR="00611821" w:rsidRDefault="00611821" w:rsidP="005A19CE">
      <w:pPr>
        <w:pStyle w:val="RKnormal"/>
      </w:pPr>
    </w:p>
    <w:p w14:paraId="0AC0010F" w14:textId="77777777" w:rsidR="00611821" w:rsidRDefault="00611821" w:rsidP="005A19CE">
      <w:pPr>
        <w:pStyle w:val="RKnormal"/>
      </w:pPr>
    </w:p>
    <w:p w14:paraId="3AC9EED0" w14:textId="77777777" w:rsidR="005A19CE" w:rsidRDefault="005A19CE" w:rsidP="005A19CE">
      <w:pPr>
        <w:pStyle w:val="RKnormal"/>
      </w:pPr>
      <w:bookmarkStart w:id="0" w:name="_GoBack"/>
      <w:bookmarkEnd w:id="0"/>
      <w:r>
        <w:lastRenderedPageBreak/>
        <w:t xml:space="preserve">Av socialtjänstlagen (2001:453) följer att det är varje kommun som har det yttersta ansvaret för att enskilda får det stöd och den hjälp de behöver. I lagen påtalas uttryckligen socialnämndens ansvar för att den som utsatts för brott och dennes närstående får stöd och hjälp. Ett uttryck för det är att den huvudsakliga finansieringen av de lokala brottsofferjourerna är kommunal.   </w:t>
      </w:r>
    </w:p>
    <w:p w14:paraId="6FDB7CE6" w14:textId="77777777" w:rsidR="005A19CE" w:rsidRDefault="005A19CE" w:rsidP="005A19CE">
      <w:pPr>
        <w:pStyle w:val="RKnormal"/>
      </w:pPr>
    </w:p>
    <w:p w14:paraId="52536D81" w14:textId="77777777" w:rsidR="005A19CE" w:rsidRDefault="005A19CE" w:rsidP="005A19CE">
      <w:pPr>
        <w:pStyle w:val="RKnormal"/>
      </w:pPr>
      <w:r>
        <w:t>Stockholm den 7 oktober 2015</w:t>
      </w:r>
    </w:p>
    <w:p w14:paraId="659CC18E" w14:textId="77777777" w:rsidR="005A19CE" w:rsidRDefault="005A19CE" w:rsidP="005A19CE">
      <w:pPr>
        <w:pStyle w:val="RKnormal"/>
      </w:pPr>
    </w:p>
    <w:p w14:paraId="49BA60AB" w14:textId="77777777" w:rsidR="005A19CE" w:rsidRDefault="005A19CE" w:rsidP="005A19CE">
      <w:pPr>
        <w:pStyle w:val="RKnormal"/>
      </w:pPr>
    </w:p>
    <w:p w14:paraId="0E1B522C" w14:textId="77777777" w:rsidR="005A19CE" w:rsidRDefault="005A19CE" w:rsidP="005A19CE">
      <w:pPr>
        <w:pStyle w:val="RKnormal"/>
      </w:pPr>
      <w:r>
        <w:t>Morgan Johansson</w:t>
      </w:r>
    </w:p>
    <w:p w14:paraId="492C117D" w14:textId="77777777" w:rsidR="005A19CE" w:rsidRDefault="005A19CE" w:rsidP="005A19CE">
      <w:pPr>
        <w:pStyle w:val="RKnormal"/>
      </w:pPr>
    </w:p>
    <w:p w14:paraId="3AA7C865" w14:textId="77777777" w:rsidR="005A19CE" w:rsidRDefault="005A19CE" w:rsidP="005A19CE">
      <w:pPr>
        <w:pStyle w:val="RKnormal"/>
      </w:pPr>
    </w:p>
    <w:p w14:paraId="51BF9851" w14:textId="77777777" w:rsidR="005A19CE" w:rsidRDefault="005A19CE" w:rsidP="005A19CE">
      <w:pPr>
        <w:pStyle w:val="RKnormal"/>
      </w:pPr>
    </w:p>
    <w:p w14:paraId="010CB51D" w14:textId="77777777" w:rsidR="005A19CE" w:rsidRDefault="005A19CE">
      <w:pPr>
        <w:pStyle w:val="RKnormal"/>
      </w:pPr>
    </w:p>
    <w:sectPr w:rsidR="005A19CE">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16427" w14:textId="77777777" w:rsidR="00145797" w:rsidRDefault="00145797">
      <w:r>
        <w:separator/>
      </w:r>
    </w:p>
  </w:endnote>
  <w:endnote w:type="continuationSeparator" w:id="0">
    <w:p w14:paraId="7BD16428" w14:textId="77777777" w:rsidR="00145797" w:rsidRDefault="0014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8D2A" w14:textId="77777777" w:rsidR="005A19CE" w:rsidRDefault="005A19C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38A18" w14:textId="77777777" w:rsidR="005A19CE" w:rsidRDefault="005A19C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73997" w14:textId="77777777" w:rsidR="005A19CE" w:rsidRDefault="005A19C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16425" w14:textId="77777777" w:rsidR="00145797" w:rsidRDefault="00145797">
      <w:r>
        <w:separator/>
      </w:r>
    </w:p>
  </w:footnote>
  <w:footnote w:type="continuationSeparator" w:id="0">
    <w:p w14:paraId="7BD16426" w14:textId="77777777" w:rsidR="00145797" w:rsidRDefault="00145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6429" w14:textId="4079329E"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7BD1642D" w14:textId="77777777">
      <w:trPr>
        <w:cantSplit/>
      </w:trPr>
      <w:tc>
        <w:tcPr>
          <w:tcW w:w="3119" w:type="dxa"/>
        </w:tcPr>
        <w:p w14:paraId="7BD1642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D1642B" w14:textId="77777777" w:rsidR="00E80146" w:rsidRDefault="00E80146">
          <w:pPr>
            <w:pStyle w:val="Sidhuvud"/>
            <w:ind w:right="360"/>
          </w:pPr>
        </w:p>
      </w:tc>
      <w:tc>
        <w:tcPr>
          <w:tcW w:w="1525" w:type="dxa"/>
        </w:tcPr>
        <w:p w14:paraId="7BD1642C" w14:textId="77777777" w:rsidR="00E80146" w:rsidRDefault="00E80146">
          <w:pPr>
            <w:pStyle w:val="Sidhuvud"/>
            <w:ind w:right="360"/>
          </w:pPr>
        </w:p>
      </w:tc>
    </w:tr>
  </w:tbl>
  <w:p w14:paraId="7BD1642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642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2A1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D16433" w14:textId="77777777">
      <w:trPr>
        <w:cantSplit/>
      </w:trPr>
      <w:tc>
        <w:tcPr>
          <w:tcW w:w="3119" w:type="dxa"/>
        </w:tcPr>
        <w:p w14:paraId="7BD164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D16431" w14:textId="77777777" w:rsidR="00E80146" w:rsidRDefault="00E80146">
          <w:pPr>
            <w:pStyle w:val="Sidhuvud"/>
            <w:ind w:right="360"/>
          </w:pPr>
        </w:p>
      </w:tc>
      <w:tc>
        <w:tcPr>
          <w:tcW w:w="1525" w:type="dxa"/>
        </w:tcPr>
        <w:p w14:paraId="7BD16432" w14:textId="77777777" w:rsidR="00E80146" w:rsidRDefault="00E80146">
          <w:pPr>
            <w:pStyle w:val="Sidhuvud"/>
            <w:ind w:right="360"/>
          </w:pPr>
        </w:p>
      </w:tc>
    </w:tr>
  </w:tbl>
  <w:p w14:paraId="7BD164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6435" w14:textId="77777777" w:rsidR="00145797" w:rsidRDefault="00643225">
    <w:pPr>
      <w:framePr w:w="2948" w:h="1321" w:hRule="exact" w:wrap="notBeside" w:vAnchor="page" w:hAnchor="page" w:x="1362" w:y="653"/>
    </w:pPr>
    <w:r>
      <w:rPr>
        <w:noProof/>
        <w:lang w:eastAsia="sv-SE"/>
      </w:rPr>
      <w:drawing>
        <wp:inline distT="0" distB="0" distL="0" distR="0" wp14:anchorId="7BD1643A" wp14:editId="7BD1643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D16436" w14:textId="77777777" w:rsidR="00E80146" w:rsidRDefault="00E80146">
    <w:pPr>
      <w:pStyle w:val="RKrubrik"/>
      <w:keepNext w:val="0"/>
      <w:tabs>
        <w:tab w:val="clear" w:pos="1134"/>
        <w:tab w:val="clear" w:pos="2835"/>
      </w:tabs>
      <w:spacing w:before="0" w:after="0" w:line="320" w:lineRule="atLeast"/>
      <w:rPr>
        <w:bCs/>
      </w:rPr>
    </w:pPr>
  </w:p>
  <w:p w14:paraId="7BD16437" w14:textId="77777777" w:rsidR="00E80146" w:rsidRDefault="00E80146">
    <w:pPr>
      <w:rPr>
        <w:rFonts w:ascii="TradeGothic" w:hAnsi="TradeGothic"/>
        <w:b/>
        <w:bCs/>
        <w:spacing w:val="12"/>
        <w:sz w:val="22"/>
      </w:rPr>
    </w:pPr>
  </w:p>
  <w:p w14:paraId="7BD16438" w14:textId="77777777" w:rsidR="00E80146" w:rsidRDefault="00E80146">
    <w:pPr>
      <w:pStyle w:val="RKrubrik"/>
      <w:keepNext w:val="0"/>
      <w:tabs>
        <w:tab w:val="clear" w:pos="1134"/>
        <w:tab w:val="clear" w:pos="2835"/>
      </w:tabs>
      <w:spacing w:before="0" w:after="0" w:line="320" w:lineRule="atLeast"/>
      <w:rPr>
        <w:bCs/>
      </w:rPr>
    </w:pPr>
  </w:p>
  <w:p w14:paraId="7BD1643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97"/>
    <w:rsid w:val="0000117A"/>
    <w:rsid w:val="00070705"/>
    <w:rsid w:val="000C1E67"/>
    <w:rsid w:val="000D2E1A"/>
    <w:rsid w:val="00100629"/>
    <w:rsid w:val="00123017"/>
    <w:rsid w:val="00145797"/>
    <w:rsid w:val="00150384"/>
    <w:rsid w:val="00160901"/>
    <w:rsid w:val="001632C3"/>
    <w:rsid w:val="00165E1F"/>
    <w:rsid w:val="001805B7"/>
    <w:rsid w:val="001F0D24"/>
    <w:rsid w:val="002651D5"/>
    <w:rsid w:val="002C7783"/>
    <w:rsid w:val="00336B61"/>
    <w:rsid w:val="00367B1C"/>
    <w:rsid w:val="003A326D"/>
    <w:rsid w:val="003C3B7C"/>
    <w:rsid w:val="003F12D5"/>
    <w:rsid w:val="00443462"/>
    <w:rsid w:val="0046290C"/>
    <w:rsid w:val="004956DE"/>
    <w:rsid w:val="004975C8"/>
    <w:rsid w:val="004A328D"/>
    <w:rsid w:val="004B6C78"/>
    <w:rsid w:val="00535636"/>
    <w:rsid w:val="00545BFA"/>
    <w:rsid w:val="0058762B"/>
    <w:rsid w:val="005A19CE"/>
    <w:rsid w:val="005B3416"/>
    <w:rsid w:val="005D5E6F"/>
    <w:rsid w:val="00611821"/>
    <w:rsid w:val="00643225"/>
    <w:rsid w:val="00692A16"/>
    <w:rsid w:val="006C1B3F"/>
    <w:rsid w:val="006E4E11"/>
    <w:rsid w:val="007242A3"/>
    <w:rsid w:val="00761F2F"/>
    <w:rsid w:val="007A6855"/>
    <w:rsid w:val="0092027A"/>
    <w:rsid w:val="00955E31"/>
    <w:rsid w:val="00992E72"/>
    <w:rsid w:val="009F4D6C"/>
    <w:rsid w:val="00AA5ED1"/>
    <w:rsid w:val="00AE628F"/>
    <w:rsid w:val="00AF26D1"/>
    <w:rsid w:val="00B60FA4"/>
    <w:rsid w:val="00B81FFD"/>
    <w:rsid w:val="00BC1C57"/>
    <w:rsid w:val="00BF6668"/>
    <w:rsid w:val="00D133D7"/>
    <w:rsid w:val="00DA7B0C"/>
    <w:rsid w:val="00E22765"/>
    <w:rsid w:val="00E5652C"/>
    <w:rsid w:val="00E80146"/>
    <w:rsid w:val="00E904D0"/>
    <w:rsid w:val="00EC25F9"/>
    <w:rsid w:val="00ED583F"/>
    <w:rsid w:val="00F2172D"/>
    <w:rsid w:val="00F940DB"/>
    <w:rsid w:val="00FB5EB5"/>
    <w:rsid w:val="00FB7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1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45797"/>
    <w:pPr>
      <w:autoSpaceDE w:val="0"/>
      <w:autoSpaceDN w:val="0"/>
      <w:adjustRightInd w:val="0"/>
    </w:pPr>
    <w:rPr>
      <w:color w:val="000000"/>
      <w:sz w:val="24"/>
      <w:szCs w:val="24"/>
    </w:rPr>
  </w:style>
  <w:style w:type="paragraph" w:styleId="Ballongtext">
    <w:name w:val="Balloon Text"/>
    <w:basedOn w:val="Normal"/>
    <w:link w:val="BallongtextChar"/>
    <w:rsid w:val="003C3B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3B7C"/>
    <w:rPr>
      <w:rFonts w:ascii="Tahoma" w:hAnsi="Tahoma" w:cs="Tahoma"/>
      <w:sz w:val="16"/>
      <w:szCs w:val="16"/>
      <w:lang w:eastAsia="en-US"/>
    </w:rPr>
  </w:style>
  <w:style w:type="character" w:styleId="Kommentarsreferens">
    <w:name w:val="annotation reference"/>
    <w:basedOn w:val="Standardstycketeckensnitt"/>
    <w:rsid w:val="00BF6668"/>
    <w:rPr>
      <w:sz w:val="16"/>
      <w:szCs w:val="16"/>
    </w:rPr>
  </w:style>
  <w:style w:type="paragraph" w:styleId="Kommentarer">
    <w:name w:val="annotation text"/>
    <w:basedOn w:val="Normal"/>
    <w:link w:val="KommentarerChar"/>
    <w:rsid w:val="00BF6668"/>
    <w:pPr>
      <w:spacing w:line="240" w:lineRule="auto"/>
    </w:pPr>
    <w:rPr>
      <w:sz w:val="20"/>
    </w:rPr>
  </w:style>
  <w:style w:type="character" w:customStyle="1" w:styleId="KommentarerChar">
    <w:name w:val="Kommentarer Char"/>
    <w:basedOn w:val="Standardstycketeckensnitt"/>
    <w:link w:val="Kommentarer"/>
    <w:rsid w:val="00BF6668"/>
    <w:rPr>
      <w:rFonts w:ascii="OrigGarmnd BT" w:hAnsi="OrigGarmnd BT"/>
      <w:lang w:eastAsia="en-US"/>
    </w:rPr>
  </w:style>
  <w:style w:type="paragraph" w:styleId="Kommentarsmne">
    <w:name w:val="annotation subject"/>
    <w:basedOn w:val="Kommentarer"/>
    <w:next w:val="Kommentarer"/>
    <w:link w:val="KommentarsmneChar"/>
    <w:rsid w:val="00BF6668"/>
    <w:rPr>
      <w:b/>
      <w:bCs/>
    </w:rPr>
  </w:style>
  <w:style w:type="character" w:customStyle="1" w:styleId="KommentarsmneChar">
    <w:name w:val="Kommentarsämne Char"/>
    <w:basedOn w:val="KommentarerChar"/>
    <w:link w:val="Kommentarsmne"/>
    <w:rsid w:val="00BF6668"/>
    <w:rPr>
      <w:rFonts w:ascii="OrigGarmnd BT" w:hAnsi="OrigGarmnd BT"/>
      <w:b/>
      <w:bCs/>
      <w:lang w:eastAsia="en-US"/>
    </w:rPr>
  </w:style>
  <w:style w:type="character" w:customStyle="1" w:styleId="RKnormalChar">
    <w:name w:val="RKnormal Char"/>
    <w:link w:val="RKnormal"/>
    <w:locked/>
    <w:rsid w:val="005A19CE"/>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45797"/>
    <w:pPr>
      <w:autoSpaceDE w:val="0"/>
      <w:autoSpaceDN w:val="0"/>
      <w:adjustRightInd w:val="0"/>
    </w:pPr>
    <w:rPr>
      <w:color w:val="000000"/>
      <w:sz w:val="24"/>
      <w:szCs w:val="24"/>
    </w:rPr>
  </w:style>
  <w:style w:type="paragraph" w:styleId="Ballongtext">
    <w:name w:val="Balloon Text"/>
    <w:basedOn w:val="Normal"/>
    <w:link w:val="BallongtextChar"/>
    <w:rsid w:val="003C3B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3B7C"/>
    <w:rPr>
      <w:rFonts w:ascii="Tahoma" w:hAnsi="Tahoma" w:cs="Tahoma"/>
      <w:sz w:val="16"/>
      <w:szCs w:val="16"/>
      <w:lang w:eastAsia="en-US"/>
    </w:rPr>
  </w:style>
  <w:style w:type="character" w:styleId="Kommentarsreferens">
    <w:name w:val="annotation reference"/>
    <w:basedOn w:val="Standardstycketeckensnitt"/>
    <w:rsid w:val="00BF6668"/>
    <w:rPr>
      <w:sz w:val="16"/>
      <w:szCs w:val="16"/>
    </w:rPr>
  </w:style>
  <w:style w:type="paragraph" w:styleId="Kommentarer">
    <w:name w:val="annotation text"/>
    <w:basedOn w:val="Normal"/>
    <w:link w:val="KommentarerChar"/>
    <w:rsid w:val="00BF6668"/>
    <w:pPr>
      <w:spacing w:line="240" w:lineRule="auto"/>
    </w:pPr>
    <w:rPr>
      <w:sz w:val="20"/>
    </w:rPr>
  </w:style>
  <w:style w:type="character" w:customStyle="1" w:styleId="KommentarerChar">
    <w:name w:val="Kommentarer Char"/>
    <w:basedOn w:val="Standardstycketeckensnitt"/>
    <w:link w:val="Kommentarer"/>
    <w:rsid w:val="00BF6668"/>
    <w:rPr>
      <w:rFonts w:ascii="OrigGarmnd BT" w:hAnsi="OrigGarmnd BT"/>
      <w:lang w:eastAsia="en-US"/>
    </w:rPr>
  </w:style>
  <w:style w:type="paragraph" w:styleId="Kommentarsmne">
    <w:name w:val="annotation subject"/>
    <w:basedOn w:val="Kommentarer"/>
    <w:next w:val="Kommentarer"/>
    <w:link w:val="KommentarsmneChar"/>
    <w:rsid w:val="00BF6668"/>
    <w:rPr>
      <w:b/>
      <w:bCs/>
    </w:rPr>
  </w:style>
  <w:style w:type="character" w:customStyle="1" w:styleId="KommentarsmneChar">
    <w:name w:val="Kommentarsämne Char"/>
    <w:basedOn w:val="KommentarerChar"/>
    <w:link w:val="Kommentarsmne"/>
    <w:rsid w:val="00BF6668"/>
    <w:rPr>
      <w:rFonts w:ascii="OrigGarmnd BT" w:hAnsi="OrigGarmnd BT"/>
      <w:b/>
      <w:bCs/>
      <w:lang w:eastAsia="en-US"/>
    </w:rPr>
  </w:style>
  <w:style w:type="character" w:customStyle="1" w:styleId="RKnormalChar">
    <w:name w:val="RKnormal Char"/>
    <w:link w:val="RKnormal"/>
    <w:locked/>
    <w:rsid w:val="005A19CE"/>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4618c5e1-6230-4944-b03e-3d5a7f2cf8c6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E5459-B8AF-4C6C-89F6-F8A16FB6E7AB}"/>
</file>

<file path=customXml/itemProps2.xml><?xml version="1.0" encoding="utf-8"?>
<ds:datastoreItem xmlns:ds="http://schemas.openxmlformats.org/officeDocument/2006/customXml" ds:itemID="{E6FEA6A3-B8CC-4179-B8E1-8D6351136842}"/>
</file>

<file path=customXml/itemProps3.xml><?xml version="1.0" encoding="utf-8"?>
<ds:datastoreItem xmlns:ds="http://schemas.openxmlformats.org/officeDocument/2006/customXml" ds:itemID="{1B089143-D7C6-4265-B8FA-1865E73EA33E}"/>
</file>

<file path=customXml/itemProps4.xml><?xml version="1.0" encoding="utf-8"?>
<ds:datastoreItem xmlns:ds="http://schemas.openxmlformats.org/officeDocument/2006/customXml" ds:itemID="{E6FEA6A3-B8CC-4179-B8E1-8D6351136842}"/>
</file>

<file path=customXml/itemProps5.xml><?xml version="1.0" encoding="utf-8"?>
<ds:datastoreItem xmlns:ds="http://schemas.openxmlformats.org/officeDocument/2006/customXml" ds:itemID="{3DE62E6C-8187-49B3-8AD4-68103415F94D}"/>
</file>

<file path=customXml/itemProps6.xml><?xml version="1.0" encoding="utf-8"?>
<ds:datastoreItem xmlns:ds="http://schemas.openxmlformats.org/officeDocument/2006/customXml" ds:itemID="{E6FEA6A3-B8CC-4179-B8E1-8D6351136842}"/>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1861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Ekström</dc:creator>
  <cp:lastModifiedBy>Gunilla Hansson-Böe</cp:lastModifiedBy>
  <cp:revision>3</cp:revision>
  <cp:lastPrinted>2015-03-03T15:27:00Z</cp:lastPrinted>
  <dcterms:created xsi:type="dcterms:W3CDTF">2015-10-07T06:27:00Z</dcterms:created>
  <dcterms:modified xsi:type="dcterms:W3CDTF">2015-10-07T06:27:00Z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63d4646c-d6fd-441e-a5b9-2fdbbb85b64e</vt:lpwstr>
  </property>
  <property fmtid="{D5CDD505-2E9C-101B-9397-08002B2CF9AE}" pid="7" name="Departementsenhet">
    <vt:lpwstr/>
  </property>
  <property fmtid="{D5CDD505-2E9C-101B-9397-08002B2CF9AE}" pid="8" name="Aktivitetskategori">
    <vt:lpwstr/>
  </property>
</Properties>
</file>