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511F9">
        <w:tblPrEx>
          <w:tblCellMar>
            <w:top w:w="0" w:type="dxa"/>
            <w:bottom w:w="0" w:type="dxa"/>
          </w:tblCellMar>
        </w:tblPrEx>
        <w:trPr>
          <w:cantSplit/>
          <w:trHeight w:val="1720"/>
        </w:trPr>
        <w:tc>
          <w:tcPr>
            <w:tcW w:w="6024" w:type="dxa"/>
            <w:gridSpan w:val="2"/>
          </w:tcPr>
          <w:p w:rsidR="00BC7F2F" w:rsidRPr="006511F9" w:rsidRDefault="00BC7F2F">
            <w:pPr>
              <w:pStyle w:val="HuvudRubrik"/>
            </w:pPr>
            <w:r w:rsidRPr="006511F9">
              <w:t>Finansutskottets yttrande</w:t>
            </w:r>
          </w:p>
          <w:p w:rsidR="00BC7F2F" w:rsidRPr="006511F9" w:rsidRDefault="00BC7F2F">
            <w:pPr>
              <w:pStyle w:val="HuvudRubrikRad2"/>
            </w:pPr>
            <w:bookmarkStart w:id="0" w:name="BetänkandeNr"/>
            <w:bookmarkEnd w:id="0"/>
            <w:r w:rsidRPr="006511F9">
              <w:t>2002/03:FiU1y</w:t>
            </w:r>
          </w:p>
        </w:tc>
        <w:tc>
          <w:tcPr>
            <w:tcW w:w="1418" w:type="dxa"/>
            <w:tcBorders>
              <w:bottom w:val="nil"/>
            </w:tcBorders>
          </w:tcPr>
          <w:p w:rsidR="00BC7F2F" w:rsidRPr="006511F9" w:rsidRDefault="006511F9">
            <w:pPr>
              <w:spacing w:line="230" w:lineRule="auto"/>
              <w:jc w:val="center"/>
            </w:pPr>
            <w:r w:rsidRPr="006511F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7F2F" w:rsidRPr="006511F9" w:rsidRDefault="00BC7F2F">
            <w:pPr>
              <w:pStyle w:val="Normaltindrag"/>
              <w:jc w:val="center"/>
            </w:pPr>
          </w:p>
          <w:p w:rsidR="00BC7F2F" w:rsidRPr="006511F9" w:rsidRDefault="00BC7F2F">
            <w:pPr>
              <w:pStyle w:val="StatusSida1"/>
            </w:pPr>
          </w:p>
          <w:p w:rsidR="00BC7F2F" w:rsidRPr="006511F9" w:rsidRDefault="00BC7F2F">
            <w:pPr>
              <w:pStyle w:val="UtskriftsdatumSida1"/>
              <w:framePr w:wrap="around"/>
            </w:pPr>
          </w:p>
        </w:tc>
      </w:tr>
      <w:tr w:rsidR="00000000" w:rsidRPr="006511F9">
        <w:tblPrEx>
          <w:tblCellMar>
            <w:top w:w="0" w:type="dxa"/>
            <w:bottom w:w="0" w:type="dxa"/>
          </w:tblCellMar>
        </w:tblPrEx>
        <w:trPr>
          <w:cantSplit/>
        </w:trPr>
        <w:tc>
          <w:tcPr>
            <w:tcW w:w="6024" w:type="dxa"/>
            <w:gridSpan w:val="2"/>
            <w:tcBorders>
              <w:bottom w:val="single" w:sz="4" w:space="0" w:color="auto"/>
            </w:tcBorders>
          </w:tcPr>
          <w:p w:rsidR="00BC7F2F" w:rsidRPr="006511F9" w:rsidRDefault="00BC7F2F">
            <w:pPr>
              <w:pStyle w:val="DokumentRubrik"/>
              <w:rPr>
                <w:noProof w:val="0"/>
              </w:rPr>
            </w:pPr>
            <w:bookmarkStart w:id="1" w:name="Huvudrubrik"/>
            <w:bookmarkEnd w:id="1"/>
            <w:r w:rsidRPr="006511F9">
              <w:rPr>
                <w:noProof w:val="0"/>
              </w:rPr>
              <w:t>Behandlingen av riksdagens skrivelser till regeringen</w:t>
            </w:r>
          </w:p>
        </w:tc>
        <w:tc>
          <w:tcPr>
            <w:tcW w:w="1418" w:type="dxa"/>
            <w:tcBorders>
              <w:bottom w:val="nil"/>
            </w:tcBorders>
          </w:tcPr>
          <w:p w:rsidR="00BC7F2F" w:rsidRPr="006511F9" w:rsidRDefault="00BC7F2F"/>
        </w:tc>
      </w:tr>
      <w:tr w:rsidR="00000000" w:rsidRPr="006511F9">
        <w:tblPrEx>
          <w:tblCellMar>
            <w:top w:w="0" w:type="dxa"/>
            <w:bottom w:w="0" w:type="dxa"/>
          </w:tblCellMar>
        </w:tblPrEx>
        <w:trPr>
          <w:cantSplit/>
          <w:trHeight w:hRule="exact" w:val="360"/>
        </w:trPr>
        <w:tc>
          <w:tcPr>
            <w:tcW w:w="3012" w:type="dxa"/>
          </w:tcPr>
          <w:p w:rsidR="00BC7F2F" w:rsidRPr="006511F9" w:rsidRDefault="00BC7F2F"/>
        </w:tc>
        <w:tc>
          <w:tcPr>
            <w:tcW w:w="3012" w:type="dxa"/>
          </w:tcPr>
          <w:p w:rsidR="00BC7F2F" w:rsidRPr="006511F9" w:rsidRDefault="00BC7F2F"/>
        </w:tc>
        <w:tc>
          <w:tcPr>
            <w:tcW w:w="1418" w:type="dxa"/>
          </w:tcPr>
          <w:p w:rsidR="00BC7F2F" w:rsidRPr="006511F9" w:rsidRDefault="00BC7F2F"/>
        </w:tc>
      </w:tr>
    </w:tbl>
    <w:p w:rsidR="00BC7F2F" w:rsidRPr="006511F9" w:rsidRDefault="00BC7F2F">
      <w:pPr>
        <w:pStyle w:val="R1"/>
        <w:spacing w:after="250"/>
      </w:pPr>
      <w:r w:rsidRPr="006511F9">
        <w:t>Till konstitutionsutskottet</w:t>
      </w:r>
    </w:p>
    <w:p w:rsidR="00BC7F2F" w:rsidRPr="006511F9" w:rsidRDefault="00BC7F2F">
      <w:bookmarkStart w:id="2" w:name="TextStart"/>
      <w:bookmarkEnd w:id="2"/>
      <w:r w:rsidRPr="006511F9">
        <w:t>Konstitutionsutskottet beslutade den 20 mars 2003 att bereda samtliga utskott tillfälle att – i de delar som har samband med respektive utskotts beredning</w:t>
      </w:r>
      <w:r w:rsidRPr="006511F9">
        <w:t>s</w:t>
      </w:r>
      <w:r w:rsidRPr="006511F9">
        <w:t>område – yttra sig över regeringens skrivelse 2002/03:75 med redogörelse för behan</w:t>
      </w:r>
      <w:r w:rsidRPr="006511F9">
        <w:t>d</w:t>
      </w:r>
      <w:r w:rsidRPr="006511F9">
        <w:t>lingen av riksdagens skrivelser till regeringen.</w:t>
      </w:r>
    </w:p>
    <w:p w:rsidR="00BC7F2F" w:rsidRPr="006511F9" w:rsidRDefault="00BC7F2F">
      <w:pPr>
        <w:pStyle w:val="Rubrik2"/>
      </w:pPr>
      <w:bookmarkStart w:id="3" w:name="_Toc525539118"/>
      <w:bookmarkStart w:id="4" w:name="_Toc6728522"/>
      <w:r w:rsidRPr="006511F9">
        <w:t>Utskottets överväganden</w:t>
      </w:r>
      <w:bookmarkEnd w:id="3"/>
      <w:bookmarkEnd w:id="4"/>
    </w:p>
    <w:p w:rsidR="00BC7F2F" w:rsidRPr="006511F9" w:rsidRDefault="00BC7F2F">
      <w:pPr>
        <w:pStyle w:val="R3"/>
      </w:pPr>
      <w:bookmarkStart w:id="5" w:name="_Toc525539119"/>
      <w:bookmarkStart w:id="6" w:name="_Toc6728523"/>
      <w:r w:rsidRPr="006511F9">
        <w:t>Bakgrund</w:t>
      </w:r>
      <w:bookmarkEnd w:id="5"/>
      <w:bookmarkEnd w:id="6"/>
    </w:p>
    <w:p w:rsidR="00BC7F2F" w:rsidRPr="006511F9" w:rsidRDefault="00BC7F2F">
      <w:r w:rsidRPr="006511F9">
        <w:t>Regeringens skrivelse, Redogörelse för behandlingen av riksdagens skrivelser till regeringen, (skr. 2002/03:75) överlämnades till riksdagen den 6 mars 2003. Skrivelsen redogör huvudsakligen för sådana åtgärder som regeringen vidtagit under kalenderåret 2002 med anledning av riksdagens skrivelser. För att underlätta riksdagsutskottens möjligheter att få en så aktuell bild som möjligt vid sitt uppföljningsarbete, har redovisningen även fått omfatta vissa regeringsbeslut från 2003, dvs. efter den egentliga re</w:t>
      </w:r>
      <w:r w:rsidRPr="006511F9">
        <w:t>dovisningsperiodens utgång. Detta förfarande har använts om riksdagsskrivelserna därigenom har kunnat rapporteras som slutbehandlade.</w:t>
      </w:r>
    </w:p>
    <w:p w:rsidR="00BC7F2F" w:rsidRPr="006511F9" w:rsidRDefault="00BC7F2F">
      <w:pPr>
        <w:pStyle w:val="Normaltindrag"/>
      </w:pPr>
      <w:r w:rsidRPr="006511F9">
        <w:t>Redogörelsen är som tidigare år uppställd departementsvis. Inom varje d</w:t>
      </w:r>
      <w:r w:rsidRPr="006511F9">
        <w:t>e</w:t>
      </w:r>
      <w:r w:rsidRPr="006511F9">
        <w:t>partements område har materialet grupperats i fyra huvudgrupper, alltefter åldern på de behandlade riksdagsskrivelserna. Vid uppföljningen av riksd</w:t>
      </w:r>
      <w:r w:rsidRPr="006511F9">
        <w:t>a</w:t>
      </w:r>
      <w:r w:rsidRPr="006511F9">
        <w:t xml:space="preserve">gens beslut tilldrar sig regeringens åtgärder med anledning av riksdagens tillkännagivanden till regeringen ett särskilt intresse. De moment i utskottens betänkanden som innehåller tillkännagivanden har därför utmärkts med en asterisk (*). </w:t>
      </w:r>
    </w:p>
    <w:p w:rsidR="00BC7F2F" w:rsidRPr="006511F9" w:rsidRDefault="00BC7F2F">
      <w:pPr>
        <w:pStyle w:val="Normaltindrag"/>
      </w:pPr>
      <w:r w:rsidRPr="006511F9">
        <w:t>Sammantaget 53 skrivelser redovisas i årets redogörelse inom finansu</w:t>
      </w:r>
      <w:r w:rsidRPr="006511F9">
        <w:t>t</w:t>
      </w:r>
      <w:r w:rsidRPr="006511F9">
        <w:t>skottets ansvarsområde. Av de 53 skrivelserna rapporteras 33 som slutb</w:t>
      </w:r>
      <w:r w:rsidRPr="006511F9">
        <w:t>e</w:t>
      </w:r>
      <w:r w:rsidRPr="006511F9">
        <w:t xml:space="preserve">handlade och 20 som inte slutbehandlade. </w:t>
      </w:r>
    </w:p>
    <w:p w:rsidR="00BC7F2F" w:rsidRPr="006511F9" w:rsidRDefault="00BC7F2F">
      <w:pPr>
        <w:pStyle w:val="Normaltindrag"/>
      </w:pPr>
      <w:r w:rsidRPr="006511F9">
        <w:lastRenderedPageBreak/>
        <w:t>Det kan också noteras att finansutskottet i sina betänkanden enligt den gällande budgetordningen numera behandlar samtliga ärenden på tilläggsbu</w:t>
      </w:r>
      <w:r w:rsidRPr="006511F9">
        <w:t>d</w:t>
      </w:r>
      <w:r w:rsidRPr="006511F9">
        <w:t xml:space="preserve">get. Vissa skrivelser omfattar bl.a. av detta skäl ett stort antal moment. En närmare uppföljning av regeringens åtgärder har gjorts för de moment i tilläggsbudgetbetänkandena som faller inom utskottets eget ansvarsområde. (10 av de sammanlagt 53 riksdagsskrivelserna som redovisats i regeringens återrapportering avser frågor som tillhör andra utskotts ansvarsområden men som behandlats av finansutskottet i samband med tilläggsbudgetar.) </w:t>
      </w:r>
    </w:p>
    <w:p w:rsidR="00BC7F2F" w:rsidRPr="006511F9" w:rsidRDefault="00BC7F2F">
      <w:pPr>
        <w:pStyle w:val="Normaltindrag"/>
      </w:pPr>
      <w:r w:rsidRPr="006511F9">
        <w:t>Av riksdagsskrivelserna är 13 äldre än två år och 7 äldre än tre år. A</w:t>
      </w:r>
      <w:r w:rsidRPr="006511F9">
        <w:t>v de</w:t>
      </w:r>
      <w:r w:rsidRPr="006511F9">
        <w:t>s</w:t>
      </w:r>
      <w:r w:rsidRPr="006511F9">
        <w:t>sa senare 7 redovisas 5 som inte slutbehandlade. Det äldsta inte slutbehandl</w:t>
      </w:r>
      <w:r w:rsidRPr="006511F9">
        <w:t>a</w:t>
      </w:r>
      <w:r w:rsidRPr="006511F9">
        <w:t>de ärendet avser riksmötet 1995/96.</w:t>
      </w:r>
    </w:p>
    <w:p w:rsidR="00BC7F2F" w:rsidRPr="006511F9" w:rsidRDefault="00BC7F2F">
      <w:pPr>
        <w:pStyle w:val="R3"/>
      </w:pPr>
      <w:r w:rsidRPr="006511F9">
        <w:t>Motionerna</w:t>
      </w:r>
    </w:p>
    <w:p w:rsidR="00BC7F2F" w:rsidRPr="006511F9" w:rsidRDefault="00BC7F2F">
      <w:r w:rsidRPr="006511F9">
        <w:t>Två motioner har väckts med anledning av regeringens skrivelse, motionerna K6 av Gunnar Hökmark m.fl. (m) och K7 av Helena Bargholtz m.fl. (fp). I motionerna riktas skarp kritik mot att regeringen inte tillräckligt snabbt ver</w:t>
      </w:r>
      <w:r w:rsidRPr="006511F9">
        <w:t>k</w:t>
      </w:r>
      <w:r w:rsidRPr="006511F9">
        <w:t>ställer riksdagens beslut. Regeringen bedriver förhalningspolitik, anser m</w:t>
      </w:r>
      <w:r w:rsidRPr="006511F9">
        <w:t>o</w:t>
      </w:r>
      <w:r w:rsidRPr="006511F9">
        <w:t>tionärerna i motion K7 (fp), och föreslår att regeringen bör åläggas att skärpa sina rutiner för att snabba på genomförandet av riksdagens beslut. Om det finns särskilda skäl att regeringen inte kan följa riksdagens beslut ska rege</w:t>
      </w:r>
      <w:r w:rsidRPr="006511F9">
        <w:t>r</w:t>
      </w:r>
      <w:r w:rsidRPr="006511F9">
        <w:t>ingen skyndsamt upplysa riksdagen om detta och redovisa varför. I motion K6 (m) framhålls att regeringens underlåtenhet att efterkomma riksdagens beslut kan leda till att riksdagen tvingas agera på egen h</w:t>
      </w:r>
      <w:r w:rsidRPr="006511F9">
        <w:t>and, vilket med tanke på utskottskansliernas begränsade resurser i längden riskerar att leda till sä</w:t>
      </w:r>
      <w:r w:rsidRPr="006511F9">
        <w:t>m</w:t>
      </w:r>
      <w:r w:rsidRPr="006511F9">
        <w:t>re kvalitet på lagstiftningen. Regeringens agerande riskerar också att skada allmänhetens förtroende för de politiska institutionerna, anser m</w:t>
      </w:r>
      <w:r w:rsidRPr="006511F9">
        <w:t>o</w:t>
      </w:r>
      <w:r w:rsidRPr="006511F9">
        <w:t>tionärerna.</w:t>
      </w:r>
    </w:p>
    <w:p w:rsidR="00BC7F2F" w:rsidRPr="006511F9" w:rsidRDefault="00BC7F2F">
      <w:pPr>
        <w:pStyle w:val="R3"/>
      </w:pPr>
      <w:r w:rsidRPr="006511F9">
        <w:t>Utskottets synpunkter</w:t>
      </w:r>
    </w:p>
    <w:p w:rsidR="00BC7F2F" w:rsidRPr="006511F9" w:rsidRDefault="00BC7F2F">
      <w:r w:rsidRPr="006511F9">
        <w:t>Utskottet anser att regeringen till största delen fullföljt riksdagens beslut inom utskottets ansvarsområde i rimlig tid. Det finns dock exempel på riksdag</w:t>
      </w:r>
      <w:r w:rsidRPr="006511F9">
        <w:t>s</w:t>
      </w:r>
      <w:r w:rsidRPr="006511F9">
        <w:t xml:space="preserve">skrivelser som inte har slutbehandlats trots att avsevärd tid gått sedan de överlämnats till regeringen. </w:t>
      </w:r>
    </w:p>
    <w:p w:rsidR="00BC7F2F" w:rsidRPr="006511F9" w:rsidRDefault="00BC7F2F">
      <w:pPr>
        <w:pStyle w:val="Normaltindrag"/>
      </w:pPr>
      <w:r w:rsidRPr="006511F9">
        <w:t>Utskottet delar motionärernas principiella synpunkt att det är mycket a</w:t>
      </w:r>
      <w:r w:rsidRPr="006511F9">
        <w:t>n</w:t>
      </w:r>
      <w:r w:rsidRPr="006511F9">
        <w:t>geläget att regeringen utan onödiga dröjsmål och utan påminnelser verkställer riksdagens beslut, och om det av någon anledning inte är möjligt, tydligt redovisar varför. De specifika punkter motionärerna tar upp ligger emellertid inte inom finansutskottets område varför utskottet inte ser sig föranlett att göra något ytterligare uttalande i frågan.</w:t>
      </w:r>
    </w:p>
    <w:p w:rsidR="00BC7F2F" w:rsidRPr="006511F9" w:rsidRDefault="00BC7F2F">
      <w:pPr>
        <w:pStyle w:val="Normaltindrag"/>
      </w:pPr>
      <w:r w:rsidRPr="006511F9">
        <w:t>Beträffande den äldsta icke slutbehandlade skrivelsen inom utskottets o</w:t>
      </w:r>
      <w:r w:rsidRPr="006511F9">
        <w:t>m</w:t>
      </w:r>
      <w:r w:rsidRPr="006511F9">
        <w:t>råde, från 1995/96 om ett vinstdelningssystem mellan staten och föreningsl</w:t>
      </w:r>
      <w:r w:rsidRPr="006511F9">
        <w:t>i</w:t>
      </w:r>
      <w:r w:rsidRPr="006511F9">
        <w:t>vet för inkomster från automatspel, rapporterar regeringen att man avser att återkomma till riksdagen i samband med budgetpropositionen för 2004. U</w:t>
      </w:r>
      <w:r w:rsidRPr="006511F9">
        <w:t>t</w:t>
      </w:r>
      <w:r w:rsidRPr="006511F9">
        <w:t>skottet utgår från att så sker.</w:t>
      </w:r>
    </w:p>
    <w:p w:rsidR="00BC7F2F" w:rsidRPr="006511F9" w:rsidRDefault="00BC7F2F">
      <w:pPr>
        <w:pStyle w:val="R4"/>
      </w:pPr>
      <w:r w:rsidRPr="006511F9">
        <w:t>Offentlig upphandling (punkt Fi54)</w:t>
      </w:r>
    </w:p>
    <w:p w:rsidR="00BC7F2F" w:rsidRPr="006511F9" w:rsidRDefault="00BC7F2F">
      <w:r w:rsidRPr="006511F9">
        <w:t>Regeringen rapporterar att skrivelse nr 324, baserad på betänkande 2001/02:FiU12 om offentlig upphandling är slutbehandlad. Tre av punkterna i betänkandet, punkterna 1, 4 och 5, innehöll tillkännagivanden till regeringen. I regeringens återrapportering framgår emellertid endast att det fanns ett tillkännagivande, det under punkt 1. Momenten 4 och 5 anges som slutb</w:t>
      </w:r>
      <w:r w:rsidRPr="006511F9">
        <w:t>e</w:t>
      </w:r>
      <w:r w:rsidRPr="006511F9">
        <w:t>handlade i och med att lagarna som riksdagen antagit utfärdades den 13 juni 2002.</w:t>
      </w:r>
    </w:p>
    <w:p w:rsidR="00BC7F2F" w:rsidRPr="006511F9" w:rsidRDefault="00BC7F2F">
      <w:pPr>
        <w:pStyle w:val="Normaltindrag"/>
      </w:pPr>
      <w:r w:rsidRPr="006511F9">
        <w:t>Under moment 4 fanns ett tillkännagivande om EG:s regler och andra i</w:t>
      </w:r>
      <w:r w:rsidRPr="006511F9">
        <w:t>n</w:t>
      </w:r>
      <w:r w:rsidRPr="006511F9">
        <w:t>ternationella regler och möjligheten att ta större hänsyn till miljön vid up</w:t>
      </w:r>
      <w:r w:rsidRPr="006511F9">
        <w:t>p</w:t>
      </w:r>
      <w:r w:rsidRPr="006511F9">
        <w:t>handling, och under moment 5 fanns ett tillkännagivande om sociala och arbetsmarknadspolitiska hänsyn vid upphandling. Riksdagsskrivelsen uppges vara slutbehandlad trots att regeringen inte vidtagit några åtgärder med anle</w:t>
      </w:r>
      <w:r w:rsidRPr="006511F9">
        <w:t>d</w:t>
      </w:r>
      <w:r w:rsidRPr="006511F9">
        <w:t>ning av dessa tillkännagivanden. De har heller inte, som brukligt, markerats med asterisk i regeringens rapportering. Utskottet anser inte att den aktuella skr</w:t>
      </w:r>
      <w:r w:rsidRPr="006511F9">
        <w:t>i</w:t>
      </w:r>
      <w:r w:rsidRPr="006511F9">
        <w:t>velsen kan betraktas som slutbehandlad.</w:t>
      </w:r>
    </w:p>
    <w:p w:rsidR="00BC7F2F" w:rsidRPr="006511F9" w:rsidRDefault="00BC7F2F"/>
    <w:p w:rsidR="00BC7F2F" w:rsidRPr="006511F9" w:rsidRDefault="00BC7F2F"/>
    <w:p w:rsidR="00BC7F2F" w:rsidRPr="006511F9" w:rsidRDefault="00BC7F2F">
      <w:pPr>
        <w:pStyle w:val="Utskriftsdatum"/>
      </w:pPr>
      <w:r w:rsidRPr="006511F9">
        <w:t xml:space="preserve">Stockholm den 29 april 2003 </w:t>
      </w:r>
    </w:p>
    <w:p w:rsidR="00BC7F2F" w:rsidRPr="006511F9" w:rsidRDefault="00BC7F2F">
      <w:r w:rsidRPr="006511F9">
        <w:t>På finansutskottets vägnar</w:t>
      </w:r>
    </w:p>
    <w:p w:rsidR="00BC7F2F" w:rsidRPr="006511F9" w:rsidRDefault="00BC7F2F">
      <w:pPr>
        <w:pStyle w:val="Ordfranden"/>
        <w:rPr>
          <w:noProof w:val="0"/>
        </w:rPr>
      </w:pPr>
      <w:bookmarkStart w:id="7" w:name="Ordförande"/>
      <w:bookmarkEnd w:id="7"/>
      <w:r w:rsidRPr="006511F9">
        <w:rPr>
          <w:noProof w:val="0"/>
        </w:rPr>
        <w:t xml:space="preserve">Sven-Erik Österberg </w:t>
      </w:r>
    </w:p>
    <w:p w:rsidR="00BC7F2F" w:rsidRPr="006511F9" w:rsidRDefault="00BC7F2F">
      <w:pPr>
        <w:pStyle w:val="Deltagare"/>
        <w:rPr>
          <w:noProof w:val="0"/>
        </w:rPr>
      </w:pPr>
      <w:bookmarkStart w:id="8" w:name="Deltagare"/>
      <w:bookmarkEnd w:id="8"/>
      <w:r w:rsidRPr="006511F9">
        <w:rPr>
          <w:noProof w:val="0"/>
        </w:rPr>
        <w:t>Följande ledamöter har deltagit i beslutet: Sven-Erik Österberg (s), Fredrik Reinfeldt (m), Carin Lundberg (s), Karin Pilsäter (fp), Sonia Karlsson (s), Kjell Nordström (s), Mats Odell (kd), Lars Bäckström (v), Gunnar Axén (m), Tommy Waidelich (s), Christer Nylander (fp), Hans Hoff (s), Tomas Högström (m), Agneta Gille (s), Bo Bernhardsson (s), Jörgen Johansson (c) och Mikael Johansson (mp).</w:t>
      </w:r>
    </w:p>
    <w:p w:rsidR="00BC7F2F" w:rsidRPr="006511F9" w:rsidRDefault="00BC7F2F">
      <w:pPr>
        <w:pStyle w:val="Tryckort"/>
        <w:framePr w:wrap="around"/>
      </w:pPr>
      <w:r w:rsidRPr="006511F9">
        <w:t>Elanders Gotab, Stockholm  2003</w:t>
      </w:r>
    </w:p>
    <w:p w:rsidR="00BC7F2F" w:rsidRPr="006511F9" w:rsidRDefault="00BC7F2F">
      <w:pPr>
        <w:pStyle w:val="Normaltindrag"/>
      </w:pPr>
    </w:p>
    <w:sectPr w:rsidR="00BC7F2F" w:rsidRPr="006511F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F2F" w:rsidRPr="006511F9" w:rsidRDefault="00BC7F2F">
      <w:pPr>
        <w:spacing w:before="0" w:line="240" w:lineRule="auto"/>
      </w:pPr>
      <w:r w:rsidRPr="006511F9">
        <w:separator/>
      </w:r>
    </w:p>
  </w:endnote>
  <w:endnote w:type="continuationSeparator" w:id="0">
    <w:p w:rsidR="00BC7F2F" w:rsidRPr="006511F9" w:rsidRDefault="00BC7F2F">
      <w:pPr>
        <w:spacing w:before="0" w:line="240" w:lineRule="auto"/>
      </w:pPr>
      <w:r w:rsidRPr="006511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fotV"/>
      <w:framePr w:w="8732" w:h="284" w:hRule="exact" w:hSpace="0" w:vSpace="0" w:wrap="around" w:xAlign="inside" w:y="13042" w:anchorLock="0"/>
    </w:pPr>
    <w:r w:rsidRPr="006511F9">
      <w:fldChar w:fldCharType="begin" w:fldLock="1"/>
    </w:r>
    <w:r w:rsidRPr="006511F9">
      <w:instrText xml:space="preserve"> P</w:instrText>
    </w:r>
    <w:r w:rsidRPr="006511F9">
      <w:instrText>A</w:instrText>
    </w:r>
    <w:r w:rsidRPr="006511F9">
      <w:instrText xml:space="preserve">GE </w:instrText>
    </w:r>
    <w:r w:rsidRPr="006511F9">
      <w:fldChar w:fldCharType="separate"/>
    </w:r>
    <w:r w:rsidRPr="006511F9">
      <w:t>2</w:t>
    </w:r>
    <w:r w:rsidRPr="006511F9">
      <w:fldChar w:fldCharType="end"/>
    </w:r>
  </w:p>
  <w:p w:rsidR="00BC7F2F" w:rsidRPr="006511F9" w:rsidRDefault="00BC7F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fotH"/>
      <w:framePr w:w="8732" w:h="284" w:hRule="exact" w:hSpace="0" w:vSpace="0" w:wrap="around" w:xAlign="inside" w:y="13042" w:anchorLock="0"/>
    </w:pPr>
    <w:r w:rsidRPr="006511F9">
      <w:fldChar w:fldCharType="begin" w:fldLock="1"/>
    </w:r>
    <w:r w:rsidRPr="006511F9">
      <w:instrText xml:space="preserve"> P</w:instrText>
    </w:r>
    <w:r w:rsidRPr="006511F9">
      <w:instrText>A</w:instrText>
    </w:r>
    <w:r w:rsidRPr="006511F9">
      <w:instrText xml:space="preserve">GE </w:instrText>
    </w:r>
    <w:r w:rsidRPr="006511F9">
      <w:fldChar w:fldCharType="separate"/>
    </w:r>
    <w:r w:rsidRPr="006511F9">
      <w:t>3</w:t>
    </w:r>
    <w:r w:rsidRPr="006511F9">
      <w:fldChar w:fldCharType="end"/>
    </w:r>
  </w:p>
  <w:p w:rsidR="00BC7F2F" w:rsidRPr="006511F9" w:rsidRDefault="00BC7F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fotV"/>
      <w:framePr w:w="8732" w:h="284" w:hRule="exact" w:hSpace="0" w:vSpace="0" w:wrap="around" w:xAlign="inside" w:y="13042" w:anchorLock="0"/>
    </w:pPr>
    <w:r w:rsidRPr="006511F9">
      <w:fldChar w:fldCharType="begin" w:fldLock="1"/>
    </w:r>
    <w:r w:rsidRPr="006511F9">
      <w:instrText xml:space="preserve"> if </w:instrText>
    </w:r>
    <w:r w:rsidRPr="006511F9">
      <w:fldChar w:fldCharType="begin" w:fldLock="1"/>
    </w:r>
    <w:r w:rsidRPr="006511F9">
      <w:instrText xml:space="preserve"> = </w:instrText>
    </w:r>
    <w:r w:rsidRPr="006511F9">
      <w:fldChar w:fldCharType="begin" w:fldLock="1"/>
    </w:r>
    <w:r w:rsidRPr="006511F9">
      <w:instrText xml:space="preserve"> = </w:instrText>
    </w:r>
    <w:r w:rsidRPr="006511F9">
      <w:fldChar w:fldCharType="begin" w:fldLock="1"/>
    </w:r>
    <w:r w:rsidRPr="006511F9">
      <w:instrText xml:space="preserve"> page</w:instrText>
    </w:r>
    <w:r w:rsidRPr="006511F9">
      <w:fldChar w:fldCharType="separate"/>
    </w:r>
    <w:r w:rsidR="006511F9">
      <w:rPr>
        <w:noProof/>
      </w:rPr>
      <w:instrText>1</w:instrText>
    </w:r>
    <w:r w:rsidRPr="006511F9">
      <w:fldChar w:fldCharType="end"/>
    </w:r>
    <w:r w:rsidRPr="006511F9">
      <w:instrText xml:space="preserve">/2 </w:instrText>
    </w:r>
    <w:r w:rsidRPr="006511F9">
      <w:fldChar w:fldCharType="separate"/>
    </w:r>
    <w:r w:rsidR="006511F9">
      <w:rPr>
        <w:noProof/>
      </w:rPr>
      <w:instrText>0,5</w:instrText>
    </w:r>
    <w:r w:rsidRPr="006511F9">
      <w:fldChar w:fldCharType="end"/>
    </w:r>
    <w:r w:rsidRPr="006511F9">
      <w:instrText xml:space="preserve"> - </w:instrText>
    </w:r>
    <w:r w:rsidRPr="006511F9">
      <w:fldChar w:fldCharType="begin" w:fldLock="1"/>
    </w:r>
    <w:r w:rsidRPr="006511F9">
      <w:instrText xml:space="preserve"> = int(</w:instrText>
    </w:r>
    <w:r w:rsidRPr="006511F9">
      <w:fldChar w:fldCharType="begin" w:fldLock="1"/>
    </w:r>
    <w:r w:rsidRPr="006511F9">
      <w:instrText xml:space="preserve"> page</w:instrText>
    </w:r>
    <w:r w:rsidRPr="006511F9">
      <w:fldChar w:fldCharType="separate"/>
    </w:r>
    <w:r w:rsidR="006511F9">
      <w:rPr>
        <w:noProof/>
      </w:rPr>
      <w:instrText>1</w:instrText>
    </w:r>
    <w:r w:rsidRPr="006511F9">
      <w:fldChar w:fldCharType="end"/>
    </w:r>
    <w:r w:rsidRPr="006511F9">
      <w:instrText xml:space="preserve">/2) </w:instrText>
    </w:r>
    <w:r w:rsidRPr="006511F9">
      <w:fldChar w:fldCharType="separate"/>
    </w:r>
    <w:r w:rsidR="006511F9">
      <w:rPr>
        <w:noProof/>
      </w:rPr>
      <w:instrText>0</w:instrText>
    </w:r>
    <w:r w:rsidRPr="006511F9">
      <w:fldChar w:fldCharType="end"/>
    </w:r>
    <w:r w:rsidRPr="006511F9">
      <w:fldChar w:fldCharType="separate"/>
    </w:r>
    <w:r w:rsidR="006511F9">
      <w:rPr>
        <w:noProof/>
      </w:rPr>
      <w:instrText>0,5</w:instrText>
    </w:r>
    <w:r w:rsidRPr="006511F9">
      <w:fldChar w:fldCharType="end"/>
    </w:r>
    <w:r w:rsidRPr="006511F9">
      <w:instrText xml:space="preserve"> = 0 "</w:instrText>
    </w:r>
    <w:r w:rsidRPr="006511F9">
      <w:fldChar w:fldCharType="begin" w:fldLock="1"/>
    </w:r>
    <w:r w:rsidRPr="006511F9">
      <w:instrText xml:space="preserve"> P</w:instrText>
    </w:r>
    <w:r w:rsidRPr="006511F9">
      <w:instrText>A</w:instrText>
    </w:r>
    <w:r w:rsidRPr="006511F9">
      <w:instrText xml:space="preserve">GE </w:instrText>
    </w:r>
    <w:r w:rsidRPr="006511F9">
      <w:fldChar w:fldCharType="separate"/>
    </w:r>
    <w:r w:rsidRPr="006511F9">
      <w:instrText>4</w:instrText>
    </w:r>
    <w:r w:rsidRPr="006511F9">
      <w:fldChar w:fldCharType="end"/>
    </w:r>
  </w:p>
  <w:p w:rsidR="00BC7F2F" w:rsidRPr="006511F9" w:rsidRDefault="00BC7F2F">
    <w:pPr>
      <w:pStyle w:val="SidfotH"/>
      <w:framePr w:w="8732" w:h="284" w:hRule="exact" w:hSpace="0" w:vSpace="0" w:wrap="around" w:xAlign="inside" w:y="13042" w:anchorLock="0"/>
    </w:pPr>
    <w:r w:rsidRPr="006511F9">
      <w:instrText>""</w:instrText>
    </w:r>
    <w:r w:rsidRPr="006511F9">
      <w:fldChar w:fldCharType="begin" w:fldLock="1"/>
    </w:r>
    <w:r w:rsidRPr="006511F9">
      <w:instrText xml:space="preserve"> P</w:instrText>
    </w:r>
    <w:r w:rsidRPr="006511F9">
      <w:instrText>A</w:instrText>
    </w:r>
    <w:r w:rsidRPr="006511F9">
      <w:instrText xml:space="preserve">GE </w:instrText>
    </w:r>
    <w:r w:rsidRPr="006511F9">
      <w:fldChar w:fldCharType="separate"/>
    </w:r>
    <w:r w:rsidR="006511F9">
      <w:rPr>
        <w:noProof/>
      </w:rPr>
      <w:instrText>1</w:instrText>
    </w:r>
    <w:r w:rsidRPr="006511F9">
      <w:fldChar w:fldCharType="end"/>
    </w:r>
    <w:r w:rsidRPr="006511F9">
      <w:instrText>"</w:instrText>
    </w:r>
    <w:r w:rsidRPr="006511F9">
      <w:fldChar w:fldCharType="separate"/>
    </w:r>
    <w:r w:rsidR="006511F9">
      <w:rPr>
        <w:noProof/>
      </w:rPr>
      <w:t>1</w:t>
    </w:r>
    <w:r w:rsidRPr="006511F9">
      <w:fldChar w:fldCharType="end"/>
    </w:r>
  </w:p>
  <w:p w:rsidR="00BC7F2F" w:rsidRPr="006511F9" w:rsidRDefault="00BC7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F2F" w:rsidRPr="006511F9" w:rsidRDefault="00BC7F2F">
      <w:pPr>
        <w:pStyle w:val="Sidfot"/>
      </w:pPr>
    </w:p>
  </w:footnote>
  <w:footnote w:type="continuationSeparator" w:id="0">
    <w:p w:rsidR="00BC7F2F" w:rsidRPr="006511F9" w:rsidRDefault="00BC7F2F">
      <w:pPr>
        <w:spacing w:before="0" w:line="240" w:lineRule="auto"/>
      </w:pPr>
      <w:r w:rsidRPr="006511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huvudKantJmn"/>
      <w:framePr w:w="8732" w:h="567" w:hRule="exact" w:vSpace="0" w:wrap="around" w:vAnchor="page" w:y="341" w:anchorLock="0"/>
    </w:pPr>
    <w:r w:rsidRPr="006511F9">
      <w:rPr>
        <w:rStyle w:val="SidhuvudUtskott"/>
      </w:rPr>
      <w:t>2002/03:FiU1y</w:t>
    </w:r>
    <w:r w:rsidRPr="006511F9">
      <w:t xml:space="preserve"> </w:t>
    </w:r>
  </w:p>
  <w:p w:rsidR="00BC7F2F" w:rsidRPr="006511F9" w:rsidRDefault="00BC7F2F">
    <w:pPr>
      <w:pStyle w:val="SidhuvudKantJmn"/>
      <w:framePr w:w="8732" w:h="567" w:hRule="exact" w:vSpace="0" w:wrap="around" w:vAnchor="page" w:y="341" w:anchorLock="0"/>
    </w:pPr>
  </w:p>
  <w:p w:rsidR="00BC7F2F" w:rsidRPr="006511F9" w:rsidRDefault="00BC7F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huvudKantUdda"/>
      <w:framePr w:w="8732" w:h="567" w:hRule="exact" w:vSpace="0" w:wrap="around" w:vAnchor="page" w:y="341" w:anchorLock="0"/>
    </w:pPr>
    <w:r w:rsidRPr="006511F9">
      <w:rPr>
        <w:rStyle w:val="SidhuvudUtskott"/>
      </w:rPr>
      <w:t>2002/03:FiU1y</w:t>
    </w:r>
  </w:p>
  <w:p w:rsidR="00BC7F2F" w:rsidRPr="006511F9" w:rsidRDefault="00BC7F2F">
    <w:pPr>
      <w:pStyle w:val="SidhuvudKantUdda"/>
      <w:framePr w:w="8732" w:h="567" w:hRule="exact" w:vSpace="0" w:wrap="around" w:vAnchor="page" w:y="341" w:anchorLock="0"/>
      <w:ind w:left="1276"/>
    </w:pPr>
  </w:p>
  <w:p w:rsidR="00BC7F2F" w:rsidRPr="006511F9" w:rsidRDefault="00BC7F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F2F" w:rsidRPr="006511F9" w:rsidRDefault="00BC7F2F">
    <w:pPr>
      <w:pStyle w:val="SidhuvudKantUdda"/>
      <w:framePr w:w="8732" w:h="567" w:hRule="exact" w:vSpace="0" w:wrap="around" w:vAnchor="page" w:y="341" w:anchorLock="0"/>
    </w:pPr>
    <w:r w:rsidRPr="006511F9">
      <w:t xml:space="preserve"> </w:t>
    </w:r>
  </w:p>
  <w:p w:rsidR="00BC7F2F" w:rsidRPr="006511F9" w:rsidRDefault="00BC7F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7871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64732E"/>
    <w:rsid w:val="0064732E"/>
    <w:rsid w:val="006511F9"/>
    <w:rsid w:val="00BC7F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EB4E6-47BC-4179-A07F-0FBE388C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5299</Characters>
  <Application>Microsoft Office Word</Application>
  <DocSecurity>4</DocSecurity>
  <Lines>108</Lines>
  <Paragraphs>29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1999/2000:T1</vt:lpstr>
      <vt:lpstr>    Utskottets överväganden</vt:lpstr>
    </vt:vector>
  </TitlesOfParts>
  <Company>Riksdagen</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2003-05-07T06:23:00Z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