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C6AC7CEF1DD490C8279BB699F86AE81"/>
        </w:placeholder>
        <w:text/>
      </w:sdtPr>
      <w:sdtEndPr/>
      <w:sdtContent>
        <w:p w:rsidRPr="009B062B" w:rsidR="00AF30DD" w:rsidP="00DA28CE" w:rsidRDefault="00AF30DD">
          <w:pPr>
            <w:pStyle w:val="Rubrik1"/>
            <w:spacing w:after="300"/>
          </w:pPr>
          <w:r w:rsidRPr="009B062B">
            <w:t>Förslag till riksdagsbeslut</w:t>
          </w:r>
        </w:p>
      </w:sdtContent>
    </w:sdt>
    <w:sdt>
      <w:sdtPr>
        <w:alias w:val="Yrkande 1"/>
        <w:tag w:val="bef5c5e0-f8ad-4504-b95c-adbcf41b942f"/>
        <w:id w:val="1555972949"/>
        <w:lock w:val="sdtLocked"/>
      </w:sdtPr>
      <w:sdtEndPr/>
      <w:sdtContent>
        <w:p w:rsidR="00E53862" w:rsidRDefault="00936BA5">
          <w:pPr>
            <w:pStyle w:val="Frslagstext"/>
          </w:pPr>
          <w:r>
            <w:t>Riksdagen ställer sig bakom det som anförs i motionen om politiken för global utveckling (PGU) som kriterium för krigsmaterielexport och tillkännager detta för regeringen.</w:t>
          </w:r>
        </w:p>
      </w:sdtContent>
    </w:sdt>
    <w:sdt>
      <w:sdtPr>
        <w:alias w:val="Yrkande 2"/>
        <w:tag w:val="31e6f2c5-9daa-4f29-8811-1c429d125513"/>
        <w:id w:val="-1135416104"/>
        <w:lock w:val="sdtLocked"/>
      </w:sdtPr>
      <w:sdtEndPr/>
      <w:sdtContent>
        <w:p w:rsidR="00E53862" w:rsidRDefault="00936BA5">
          <w:pPr>
            <w:pStyle w:val="Frslagstext"/>
          </w:pPr>
          <w:r>
            <w:t>Riksdagen ställer sig bakom det som anförs i motionen om den s.k. feministiska utrikespolitiken som kriterium för krigsmaterielexport och tillkännager detta för regeringen.</w:t>
          </w:r>
        </w:p>
      </w:sdtContent>
    </w:sdt>
    <w:sdt>
      <w:sdtPr>
        <w:alias w:val="Yrkande 3"/>
        <w:tag w:val="55a77934-a2d4-43a6-9708-ed405313e435"/>
        <w:id w:val="1856147850"/>
        <w:lock w:val="sdtLocked"/>
      </w:sdtPr>
      <w:sdtEndPr/>
      <w:sdtContent>
        <w:p w:rsidR="00E53862" w:rsidRDefault="00936BA5">
          <w:pPr>
            <w:pStyle w:val="Frslagstext"/>
          </w:pPr>
          <w:r>
            <w:t>Riksdagen ställer sig bakom det som anförs i motionen om behovet av icke-spridningsövningar och tillkännager detta för regeringen.</w:t>
          </w:r>
        </w:p>
      </w:sdtContent>
    </w:sdt>
    <w:sdt>
      <w:sdtPr>
        <w:alias w:val="Yrkande 4"/>
        <w:tag w:val="c9e80c0e-c23c-4d35-b948-18ffac647ecf"/>
        <w:id w:val="-1514144770"/>
        <w:lock w:val="sdtLocked"/>
      </w:sdtPr>
      <w:sdtEndPr/>
      <w:sdtContent>
        <w:p w:rsidR="00E53862" w:rsidRDefault="00936BA5">
          <w:pPr>
            <w:pStyle w:val="Frslagstext"/>
          </w:pPr>
          <w:r>
            <w:t>Riksdagen ställer sig bakom det som anförs i motionen om behovet av specialistkompetens vid Inspektionen för strategiska produkter (ISP)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754140973A47DC8D1967FBD5C1A16D"/>
        </w:placeholder>
        <w:text/>
      </w:sdtPr>
      <w:sdtEndPr/>
      <w:sdtContent>
        <w:p w:rsidRPr="009B062B" w:rsidR="006D79C9" w:rsidP="00333E95" w:rsidRDefault="006D79C9">
          <w:pPr>
            <w:pStyle w:val="Rubrik1"/>
          </w:pPr>
          <w:r>
            <w:t>Motivering</w:t>
          </w:r>
        </w:p>
      </w:sdtContent>
    </w:sdt>
    <w:p w:rsidRPr="007E79FF" w:rsidR="007E79FF" w:rsidP="00EB4DD6" w:rsidRDefault="007E79FF">
      <w:pPr>
        <w:pStyle w:val="Normalutanindragellerluft"/>
      </w:pPr>
      <w:r>
        <w:t>Under 2021 har exportkontrollen av strategiska produkter kunnat fortsätta trots den pågående pandemin. Detta är mycket positivt eftersom Sveriges försvarsindustri på många sätt bidrar till svensk utrikes- och säkerhetspolitik och en krigsmaterielexport noga behöver följas upp av en effektiv exportkontroll. Det kraftigt försämrade säker</w:t>
      </w:r>
      <w:r w:rsidR="00EB4DD6">
        <w:softHyphen/>
      </w:r>
      <w:r>
        <w:t>hetspolitiska läge som inleddes med de ryska kraven i december 2021 och den ryska invasionen av Ukraina i februari 2022 har gjort att vikten av försvarsindustri och export av krigsmateriel har ökat betydligt. Det är positivt att regeringen beslutade om efter</w:t>
      </w:r>
      <w:r w:rsidR="00EB4DD6">
        <w:softHyphen/>
      </w:r>
      <w:r>
        <w:t xml:space="preserve">kontroller av krigsmateriel i november 2021 och att de infördes i mars 2022 men anmärkningsvärt att det inte kunde införas redan </w:t>
      </w:r>
      <w:r w:rsidR="00936BA5">
        <w:t xml:space="preserve">den </w:t>
      </w:r>
      <w:r>
        <w:t>1 januari 2019 som ISP rekom</w:t>
      </w:r>
      <w:r w:rsidR="00EB4DD6">
        <w:softHyphen/>
      </w:r>
      <w:r>
        <w:lastRenderedPageBreak/>
        <w:t>menderade. Det är fortsatt viktigt att följa upp och informera om vilka regler som gäller för krigsmateriel och produkter med dubbla användningsområden bland näringsidkare inom detta område. Samverkan med näringslivets organisationer på området behöver också fortsatt stärkas.</w:t>
      </w:r>
    </w:p>
    <w:p w:rsidRPr="00EB4DD6" w:rsidR="007E79FF" w:rsidP="00EB4DD6" w:rsidRDefault="007E79FF">
      <w:pPr>
        <w:pStyle w:val="Rubrik1numrerat"/>
      </w:pPr>
      <w:r w:rsidRPr="00EB4DD6">
        <w:t xml:space="preserve">Politiken för global utveckling </w:t>
      </w:r>
    </w:p>
    <w:p w:rsidR="007E79FF" w:rsidP="00EB4DD6" w:rsidRDefault="007E79FF">
      <w:pPr>
        <w:pStyle w:val="Normalutanindragellerluft"/>
      </w:pPr>
      <w:r>
        <w:t>Politiken för global utveckling (PGU) ska i dag ingå som ett kriterium vid bedömningen av krigsmaterielexport. Detta kriterium är inte genomtänkt och riskerar att vara kontra</w:t>
      </w:r>
      <w:r w:rsidR="00EB4DD6">
        <w:softHyphen/>
      </w:r>
      <w:r>
        <w:t xml:space="preserve">produktivt av flera orsaker. Det är inte upp till Sverige att gå in och avgöra hur olika stater prioriterar i sina budgetar, om de väljer att satsa på sina väpnade styrkor eller väljer andra satsningar. Det finns redan ett kriterium att den demokratiska statusen ska prövas för stater som köper krigsmateriel, och Sverigedemokraterna menar att det måste vara staternas egna beslut, i synnerhet när den demokratiska statusen redan har beaktats. Om en stat är militärt hotad kan det också finnas skäl att prioritera försvaret framför </w:t>
      </w:r>
      <w:r w:rsidRPr="00EB4DD6">
        <w:rPr>
          <w:spacing w:val="-1"/>
        </w:rPr>
        <w:t>andra områden, trots att landet kan ha stora brister på dessa områden.</w:t>
      </w:r>
      <w:r>
        <w:t xml:space="preserve"> </w:t>
      </w:r>
      <w:r w:rsidRPr="00EB4DD6">
        <w:rPr>
          <w:spacing w:val="-1"/>
        </w:rPr>
        <w:t>Sverigedemokra</w:t>
      </w:r>
      <w:r w:rsidRPr="00EB4DD6" w:rsidR="00EB4DD6">
        <w:rPr>
          <w:spacing w:val="-1"/>
        </w:rPr>
        <w:softHyphen/>
      </w:r>
      <w:r w:rsidRPr="00EB4DD6">
        <w:rPr>
          <w:spacing w:val="-1"/>
        </w:rPr>
        <w:t xml:space="preserve">terna </w:t>
      </w:r>
      <w:r w:rsidRPr="00EB4DD6">
        <w:rPr>
          <w:spacing w:val="-2"/>
        </w:rPr>
        <w:t>menar därför att PGU inte ska ingå som ett kriterium vid prövning av krigsmateriel</w:t>
      </w:r>
      <w:r w:rsidRPr="00EB4DD6" w:rsidR="00EB4DD6">
        <w:rPr>
          <w:spacing w:val="-2"/>
        </w:rPr>
        <w:softHyphen/>
      </w:r>
      <w:r w:rsidRPr="00EB4DD6">
        <w:rPr>
          <w:spacing w:val="-2"/>
        </w:rPr>
        <w:t>export.</w:t>
      </w:r>
    </w:p>
    <w:p w:rsidRPr="00EB4DD6" w:rsidR="007E79FF" w:rsidP="00EB4DD6" w:rsidRDefault="007E79FF">
      <w:pPr>
        <w:pStyle w:val="Rubrik1numrerat"/>
      </w:pPr>
      <w:r w:rsidRPr="00EB4DD6">
        <w:t>Den s.k. feministiska utrikespolitiken</w:t>
      </w:r>
    </w:p>
    <w:p w:rsidR="007E79FF" w:rsidP="00EB4DD6" w:rsidRDefault="007E79FF">
      <w:pPr>
        <w:pStyle w:val="Normalutanindragellerluft"/>
      </w:pPr>
      <w:r>
        <w:t>I skrivelsen betonas att ISP ska beakta den s.k. feministiska utrikespolitiken och jäm</w:t>
      </w:r>
      <w:r w:rsidR="00EB4DD6">
        <w:softHyphen/>
      </w:r>
      <w:r>
        <w:t>ställdhetsaspekter under sin handläggning av exportkontrollärenden. ISP beskrivs vidare säkerställa att myndigheten har denna kompetens. Sverigedemokraterna menar att det är oroande att regeringen gör denna prioritering då det riskerar att prioriteras framför grundläggande kompetens att exempelvis klassificera krigsmateriel. Det är också svårt att se hur dessa aspekter rent praktiskt ska tillämpas på den typ av materiel som Sverige tillverkar och exporterar. Regeringen beskriver själv i skrivelsen (s.</w:t>
      </w:r>
      <w:r w:rsidR="00936BA5">
        <w:t> </w:t>
      </w:r>
      <w:r>
        <w:t>9) att sambanden främst rör små och lätta vapen, men dessa vapenkategorier som i huvudsak inkluderar handeldvapen har Sverige i princip ingen export av. Sverigedemokraterna menar därför att jämställdhetsaspekter som del av den påstådda feministiska utrikespolitiken inte ska ingå som ett kriterium vid prövning av krigsmaterielexport.</w:t>
      </w:r>
    </w:p>
    <w:p w:rsidRPr="00EB4DD6" w:rsidR="007E79FF" w:rsidP="00EB4DD6" w:rsidRDefault="007E79FF">
      <w:pPr>
        <w:pStyle w:val="Rubrik1numrerat"/>
      </w:pPr>
      <w:r w:rsidRPr="00EB4DD6">
        <w:t xml:space="preserve">Icke-spridningsövningar </w:t>
      </w:r>
    </w:p>
    <w:p w:rsidR="007E79FF" w:rsidP="00EB4DD6" w:rsidRDefault="007E79FF">
      <w:pPr>
        <w:pStyle w:val="Normalutanindragellerluft"/>
      </w:pPr>
      <w:r>
        <w:t>Sverige deltar som en part i FN:s säkerhetsrådsresolution 1540 om säkerhet mot sprid</w:t>
      </w:r>
      <w:r w:rsidR="00EB4DD6">
        <w:softHyphen/>
      </w:r>
      <w:r>
        <w:t xml:space="preserve">ning av massförstörelsevapen. Inom ramen för denna resolution finns det s.k. </w:t>
      </w:r>
      <w:proofErr w:type="spellStart"/>
      <w:r>
        <w:t>Prolifera</w:t>
      </w:r>
      <w:r w:rsidR="00EB4DD6">
        <w:softHyphen/>
      </w:r>
      <w:r>
        <w:t>tion</w:t>
      </w:r>
      <w:proofErr w:type="spellEnd"/>
      <w:r>
        <w:t xml:space="preserve"> </w:t>
      </w:r>
      <w:proofErr w:type="spellStart"/>
      <w:r>
        <w:t>Security</w:t>
      </w:r>
      <w:proofErr w:type="spellEnd"/>
      <w:r>
        <w:t xml:space="preserve"> </w:t>
      </w:r>
      <w:proofErr w:type="spellStart"/>
      <w:r>
        <w:t>Initiative</w:t>
      </w:r>
      <w:proofErr w:type="spellEnd"/>
      <w:r>
        <w:t xml:space="preserve"> (PSI). Detta initiativ är mycket lovvärt, och det genomförs både internationella och nationella övningar i syfte att kunna samordna olika myndigheter och stater så att man kan hantera upptäckt av massförstörelsevapen och/eller komponen</w:t>
      </w:r>
      <w:r w:rsidR="00EB4DD6">
        <w:softHyphen/>
      </w:r>
      <w:r>
        <w:t>ter på eget eller internationellt territorium. I Sverige har sådana övningar genomförts mellan ansvariga myndigheter där bl.a. ISP deltagit. Tyvärr har denna fråga inte priori</w:t>
      </w:r>
      <w:r w:rsidR="00EB4DD6">
        <w:softHyphen/>
      </w:r>
      <w:r>
        <w:t>terats under senare tid och få övningar har genomförts. Därför menar Sverigedemokra</w:t>
      </w:r>
      <w:r w:rsidR="00EB4DD6">
        <w:softHyphen/>
      </w:r>
      <w:r>
        <w:t xml:space="preserve">terna att en ökad uppmärksamhet bör ägnas åt PSI-frågor samt att fler övningar framför </w:t>
      </w:r>
      <w:r>
        <w:lastRenderedPageBreak/>
        <w:t>allt nationellt men också internationellt bör genomföras. De ansvariga myndigheterna bör ges uppdrag att genomföra och delta i dessa övningar.</w:t>
      </w:r>
    </w:p>
    <w:p w:rsidRPr="00EB4DD6" w:rsidR="007E79FF" w:rsidP="00EB4DD6" w:rsidRDefault="007E79FF">
      <w:pPr>
        <w:pStyle w:val="Rubrik1numrerat"/>
      </w:pPr>
      <w:r w:rsidRPr="00EB4DD6">
        <w:t>Kompetens inom strategisk exportkontroll</w:t>
      </w:r>
    </w:p>
    <w:p w:rsidRPr="00422B9E" w:rsidR="00422B9E" w:rsidP="00EB4DD6" w:rsidRDefault="007E79FF">
      <w:pPr>
        <w:pStyle w:val="Normalutanindragellerluft"/>
      </w:pPr>
      <w:r>
        <w:t>Sverigedemokraterna har tidigare tagit upp behovet för den kontrollerande myndigheten ISP att ha erforderlig specialistkompetens för att kunna lösa sin uppgift. Detta har föran</w:t>
      </w:r>
      <w:r w:rsidR="00EB4DD6">
        <w:softHyphen/>
      </w:r>
      <w:r>
        <w:t>letts av Riksrevisionens granskning av exportkontrollen av krigsmateriel (</w:t>
      </w:r>
      <w:proofErr w:type="spellStart"/>
      <w:r>
        <w:t>RiR</w:t>
      </w:r>
      <w:proofErr w:type="spellEnd"/>
      <w:r>
        <w:t xml:space="preserve"> 2017:2 s.</w:t>
      </w:r>
      <w:r w:rsidR="00936BA5">
        <w:t> </w:t>
      </w:r>
      <w:r>
        <w:t xml:space="preserve">36) där Riksrevisionen skriver: ”ISP har även uppgett att det är svårt att rekrytera medarbetare med kompetens inom exportkontrollområdet.” En avgörande kompetens är de som besitter militär kompetens och har erfarenhet av att arbeta inom Försvarsmakten på strategisk nivå och göra säkerhetspolitiska bedömningar, exempelvis stabsofficerare </w:t>
      </w:r>
      <w:r w:rsidRPr="00EB4DD6">
        <w:rPr>
          <w:spacing w:val="-1"/>
        </w:rPr>
        <w:t xml:space="preserve">och tekniska officerare. Vi menar att regeringen i sin skrivelse fortfarande inte adresserar </w:t>
      </w:r>
      <w:r w:rsidRPr="00EB4DD6">
        <w:t>detta behov. I stället fokuseras på att ISP har kompetens inom könsrelaterat våld och jämställdhetsaspekter – trots att dessa aspekter har ringa relevans för exportkontroll. Det är mycket allvarligt att de kompetenser som behövs för exportkontroll kopplat till den materiel som exporteras urholkas medan det fokuseras på kompetens som saknar rele</w:t>
      </w:r>
      <w:r w:rsidRPr="00EB4DD6" w:rsidR="00EB4DD6">
        <w:softHyphen/>
      </w:r>
      <w:r w:rsidRPr="00EB4DD6">
        <w:t xml:space="preserve">vans för exportkontroll. Därför behöver regeringen prioritera att denna kompetens finns </w:t>
      </w:r>
      <w:bookmarkStart w:name="_GoBack" w:id="1"/>
      <w:bookmarkEnd w:id="1"/>
      <w:r w:rsidRPr="00EB4DD6">
        <w:t>hos ISP.</w:t>
      </w:r>
    </w:p>
    <w:sdt>
      <w:sdtPr>
        <w:alias w:val="CC_Underskrifter"/>
        <w:tag w:val="CC_Underskrifter"/>
        <w:id w:val="583496634"/>
        <w:lock w:val="sdtContentLocked"/>
        <w:placeholder>
          <w:docPart w:val="AC88787C65B94280A74ABBB516EA1E47"/>
        </w:placeholder>
      </w:sdtPr>
      <w:sdtEndPr/>
      <w:sdtContent>
        <w:p w:rsidR="007E79FF" w:rsidP="00014CE7" w:rsidRDefault="007E79FF"/>
        <w:p w:rsidRPr="008E0FE2" w:rsidR="004801AC" w:rsidP="00014CE7" w:rsidRDefault="00EB4DD6"/>
      </w:sdtContent>
    </w:sdt>
    <w:tbl>
      <w:tblPr>
        <w:tblW w:w="5000" w:type="pct"/>
        <w:tblLook w:val="04A0" w:firstRow="1" w:lastRow="0" w:firstColumn="1" w:lastColumn="0" w:noHBand="0" w:noVBand="1"/>
        <w:tblCaption w:val="underskrifter"/>
      </w:tblPr>
      <w:tblGrid>
        <w:gridCol w:w="4252"/>
        <w:gridCol w:w="4252"/>
      </w:tblGrid>
      <w:tr w:rsidR="00E53862">
        <w:trPr>
          <w:cantSplit/>
        </w:trPr>
        <w:tc>
          <w:tcPr>
            <w:tcW w:w="50" w:type="pct"/>
            <w:vAlign w:val="bottom"/>
          </w:tcPr>
          <w:p w:rsidR="00E53862" w:rsidRDefault="00936BA5">
            <w:pPr>
              <w:pStyle w:val="Underskrifter"/>
            </w:pPr>
            <w:r>
              <w:t>Björn Söder (SD)</w:t>
            </w:r>
          </w:p>
        </w:tc>
        <w:tc>
          <w:tcPr>
            <w:tcW w:w="50" w:type="pct"/>
            <w:vAlign w:val="bottom"/>
          </w:tcPr>
          <w:p w:rsidR="00E53862" w:rsidRDefault="00936BA5">
            <w:pPr>
              <w:pStyle w:val="Underskrifter"/>
            </w:pPr>
            <w:r>
              <w:t>Aron Emilsson (SD)</w:t>
            </w:r>
          </w:p>
        </w:tc>
      </w:tr>
      <w:tr w:rsidR="00E53862">
        <w:trPr>
          <w:cantSplit/>
        </w:trPr>
        <w:tc>
          <w:tcPr>
            <w:tcW w:w="50" w:type="pct"/>
            <w:vAlign w:val="bottom"/>
          </w:tcPr>
          <w:p w:rsidR="00E53862" w:rsidRDefault="00936BA5">
            <w:pPr>
              <w:pStyle w:val="Underskrifter"/>
            </w:pPr>
            <w:r>
              <w:t>Markus Wiechel (SD)</w:t>
            </w:r>
          </w:p>
        </w:tc>
        <w:tc>
          <w:tcPr>
            <w:tcW w:w="50" w:type="pct"/>
            <w:vAlign w:val="bottom"/>
          </w:tcPr>
          <w:p w:rsidR="00E53862" w:rsidRDefault="00936BA5">
            <w:pPr>
              <w:pStyle w:val="Underskrifter"/>
            </w:pPr>
            <w:r>
              <w:t>Mats Nordberg (SD)</w:t>
            </w:r>
          </w:p>
        </w:tc>
      </w:tr>
    </w:tbl>
    <w:p w:rsidR="00EE6D84" w:rsidRDefault="00EE6D84"/>
    <w:sectPr w:rsidR="00EE6D8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79FF" w:rsidRDefault="007E79FF" w:rsidP="000C1CAD">
      <w:pPr>
        <w:spacing w:line="240" w:lineRule="auto"/>
      </w:pPr>
      <w:r>
        <w:separator/>
      </w:r>
    </w:p>
  </w:endnote>
  <w:endnote w:type="continuationSeparator" w:id="0">
    <w:p w:rsidR="007E79FF" w:rsidRDefault="007E79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014CE7" w:rsidRDefault="00262EA3" w:rsidP="00014C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79FF" w:rsidRDefault="007E79FF" w:rsidP="000C1CAD">
      <w:pPr>
        <w:spacing w:line="240" w:lineRule="auto"/>
      </w:pPr>
      <w:r>
        <w:separator/>
      </w:r>
    </w:p>
  </w:footnote>
  <w:footnote w:type="continuationSeparator" w:id="0">
    <w:p w:rsidR="007E79FF" w:rsidRDefault="007E79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EB4DD6" w:rsidP="008103B5">
                          <w:pPr>
                            <w:jc w:val="right"/>
                          </w:pPr>
                          <w:sdt>
                            <w:sdtPr>
                              <w:alias w:val="CC_Noformat_Partikod"/>
                              <w:tag w:val="CC_Noformat_Partikod"/>
                              <w:id w:val="-53464382"/>
                              <w:placeholder>
                                <w:docPart w:val="C74202345B264BC49D16982B04AA39E5"/>
                              </w:placeholder>
                              <w:text/>
                            </w:sdtPr>
                            <w:sdtEndPr/>
                            <w:sdtContent>
                              <w:r w:rsidR="007E79FF">
                                <w:t>SD</w:t>
                              </w:r>
                            </w:sdtContent>
                          </w:sdt>
                          <w:sdt>
                            <w:sdtPr>
                              <w:alias w:val="CC_Noformat_Partinummer"/>
                              <w:tag w:val="CC_Noformat_Partinummer"/>
                              <w:id w:val="-1709555926"/>
                              <w:placeholder>
                                <w:docPart w:val="0D9FC6B77AA34CCBA6A3200685239F7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EB4DD6" w:rsidP="008103B5">
                    <w:pPr>
                      <w:jc w:val="right"/>
                    </w:pPr>
                    <w:sdt>
                      <w:sdtPr>
                        <w:alias w:val="CC_Noformat_Partikod"/>
                        <w:tag w:val="CC_Noformat_Partikod"/>
                        <w:id w:val="-53464382"/>
                        <w:placeholder>
                          <w:docPart w:val="C74202345B264BC49D16982B04AA39E5"/>
                        </w:placeholder>
                        <w:text/>
                      </w:sdtPr>
                      <w:sdtEndPr/>
                      <w:sdtContent>
                        <w:r w:rsidR="007E79FF">
                          <w:t>SD</w:t>
                        </w:r>
                      </w:sdtContent>
                    </w:sdt>
                    <w:sdt>
                      <w:sdtPr>
                        <w:alias w:val="CC_Noformat_Partinummer"/>
                        <w:tag w:val="CC_Noformat_Partinummer"/>
                        <w:id w:val="-1709555926"/>
                        <w:placeholder>
                          <w:docPart w:val="0D9FC6B77AA34CCBA6A3200685239F71"/>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EB4D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EB4DD6" w:rsidP="00A314CF">
    <w:pPr>
      <w:pStyle w:val="FSHNormal"/>
      <w:spacing w:before="40"/>
    </w:pPr>
    <w:sdt>
      <w:sdtPr>
        <w:alias w:val="CC_Noformat_Motionstyp"/>
        <w:tag w:val="CC_Noformat_Motionstyp"/>
        <w:id w:val="1162973129"/>
        <w:lock w:val="sdtContentLocked"/>
        <w15:appearance w15:val="hidden"/>
        <w:text/>
      </w:sdtPr>
      <w:sdtEndPr/>
      <w:sdtContent>
        <w:r w:rsidR="00014CE7">
          <w:t>Kommittémotion</w:t>
        </w:r>
      </w:sdtContent>
    </w:sdt>
    <w:r w:rsidR="00821B36">
      <w:t xml:space="preserve"> </w:t>
    </w:r>
    <w:sdt>
      <w:sdtPr>
        <w:alias w:val="CC_Noformat_Partikod"/>
        <w:tag w:val="CC_Noformat_Partikod"/>
        <w:id w:val="1471015553"/>
        <w:text/>
      </w:sdtPr>
      <w:sdtEndPr/>
      <w:sdtContent>
        <w:r w:rsidR="007E79FF">
          <w:t>SD</w:t>
        </w:r>
      </w:sdtContent>
    </w:sdt>
    <w:sdt>
      <w:sdtPr>
        <w:alias w:val="CC_Noformat_Partinummer"/>
        <w:tag w:val="CC_Noformat_Partinummer"/>
        <w:id w:val="-2014525982"/>
        <w:showingPlcHdr/>
        <w:text/>
      </w:sdtPr>
      <w:sdtEndPr/>
      <w:sdtContent>
        <w:r w:rsidR="00821B36">
          <w:t xml:space="preserve"> </w:t>
        </w:r>
      </w:sdtContent>
    </w:sdt>
  </w:p>
  <w:p w:rsidR="00262EA3" w:rsidRPr="008227B3" w:rsidRDefault="00EB4D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EB4D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4CE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4CE7">
          <w:t>:4692</w:t>
        </w:r>
      </w:sdtContent>
    </w:sdt>
  </w:p>
  <w:p w:rsidR="00262EA3" w:rsidRDefault="00EB4DD6" w:rsidP="00E03A3D">
    <w:pPr>
      <w:pStyle w:val="Motionr"/>
    </w:pPr>
    <w:sdt>
      <w:sdtPr>
        <w:alias w:val="CC_Noformat_Avtext"/>
        <w:tag w:val="CC_Noformat_Avtext"/>
        <w:id w:val="-2020768203"/>
        <w:lock w:val="sdtContentLocked"/>
        <w:placeholder>
          <w:docPart w:val="19E861090C33430CB6966B8C6FAA6536"/>
        </w:placeholder>
        <w15:appearance w15:val="hidden"/>
        <w:text/>
      </w:sdtPr>
      <w:sdtEndPr/>
      <w:sdtContent>
        <w:r w:rsidR="00014CE7">
          <w:t>av Björn Söder m.fl. (SD)</w:t>
        </w:r>
      </w:sdtContent>
    </w:sdt>
  </w:p>
  <w:sdt>
    <w:sdtPr>
      <w:alias w:val="CC_Noformat_Rubtext"/>
      <w:tag w:val="CC_Noformat_Rubtext"/>
      <w:id w:val="-218060500"/>
      <w:lock w:val="sdtLocked"/>
      <w:text/>
    </w:sdtPr>
    <w:sdtEndPr/>
    <w:sdtContent>
      <w:p w:rsidR="00262EA3" w:rsidRDefault="007E79FF" w:rsidP="00283E0F">
        <w:pPr>
          <w:pStyle w:val="FSHRub2"/>
        </w:pPr>
        <w:r>
          <w:t>med anledning av skr. 2021/22:114 Strategisk exportkontroll 2021 – krigsmateriel och produkter med dubbla användningsområden</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6782719"/>
    <w:multiLevelType w:val="hybridMultilevel"/>
    <w:tmpl w:val="2A067C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E79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CE7"/>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24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CC7"/>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9FF"/>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BA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86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DD6"/>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D84"/>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92BD3D"/>
  <w15:chartTrackingRefBased/>
  <w15:docId w15:val="{7416B1A1-AD49-460F-8F6C-C874A38D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6AC7CEF1DD490C8279BB699F86AE81"/>
        <w:category>
          <w:name w:val="Allmänt"/>
          <w:gallery w:val="placeholder"/>
        </w:category>
        <w:types>
          <w:type w:val="bbPlcHdr"/>
        </w:types>
        <w:behaviors>
          <w:behavior w:val="content"/>
        </w:behaviors>
        <w:guid w:val="{5403A96A-7A1D-41B4-988E-295D91A28160}"/>
      </w:docPartPr>
      <w:docPartBody>
        <w:p w:rsidR="009E0A63" w:rsidRDefault="00FD62AF">
          <w:pPr>
            <w:pStyle w:val="EC6AC7CEF1DD490C8279BB699F86AE81"/>
          </w:pPr>
          <w:r w:rsidRPr="005A0A93">
            <w:rPr>
              <w:rStyle w:val="Platshllartext"/>
            </w:rPr>
            <w:t>Förslag till riksdagsbeslut</w:t>
          </w:r>
        </w:p>
      </w:docPartBody>
    </w:docPart>
    <w:docPart>
      <w:docPartPr>
        <w:name w:val="40754140973A47DC8D1967FBD5C1A16D"/>
        <w:category>
          <w:name w:val="Allmänt"/>
          <w:gallery w:val="placeholder"/>
        </w:category>
        <w:types>
          <w:type w:val="bbPlcHdr"/>
        </w:types>
        <w:behaviors>
          <w:behavior w:val="content"/>
        </w:behaviors>
        <w:guid w:val="{8B0280AC-0BBF-48B0-BB77-015211E50A94}"/>
      </w:docPartPr>
      <w:docPartBody>
        <w:p w:rsidR="009E0A63" w:rsidRDefault="00FD62AF">
          <w:pPr>
            <w:pStyle w:val="40754140973A47DC8D1967FBD5C1A16D"/>
          </w:pPr>
          <w:r w:rsidRPr="005A0A93">
            <w:rPr>
              <w:rStyle w:val="Platshllartext"/>
            </w:rPr>
            <w:t>Motivering</w:t>
          </w:r>
        </w:p>
      </w:docPartBody>
    </w:docPart>
    <w:docPart>
      <w:docPartPr>
        <w:name w:val="C74202345B264BC49D16982B04AA39E5"/>
        <w:category>
          <w:name w:val="Allmänt"/>
          <w:gallery w:val="placeholder"/>
        </w:category>
        <w:types>
          <w:type w:val="bbPlcHdr"/>
        </w:types>
        <w:behaviors>
          <w:behavior w:val="content"/>
        </w:behaviors>
        <w:guid w:val="{76BB5FB3-A8A0-47F8-9BF5-09B4D29E6D3B}"/>
      </w:docPartPr>
      <w:docPartBody>
        <w:p w:rsidR="009E0A63" w:rsidRDefault="00FD62AF">
          <w:pPr>
            <w:pStyle w:val="C74202345B264BC49D16982B04AA39E5"/>
          </w:pPr>
          <w:r>
            <w:rPr>
              <w:rStyle w:val="Platshllartext"/>
            </w:rPr>
            <w:t xml:space="preserve"> </w:t>
          </w:r>
        </w:p>
      </w:docPartBody>
    </w:docPart>
    <w:docPart>
      <w:docPartPr>
        <w:name w:val="0D9FC6B77AA34CCBA6A3200685239F71"/>
        <w:category>
          <w:name w:val="Allmänt"/>
          <w:gallery w:val="placeholder"/>
        </w:category>
        <w:types>
          <w:type w:val="bbPlcHdr"/>
        </w:types>
        <w:behaviors>
          <w:behavior w:val="content"/>
        </w:behaviors>
        <w:guid w:val="{335D6CA2-4022-4D7F-B610-312ACCFD3BD0}"/>
      </w:docPartPr>
      <w:docPartBody>
        <w:p w:rsidR="009E0A63" w:rsidRDefault="00FD62AF">
          <w:pPr>
            <w:pStyle w:val="0D9FC6B77AA34CCBA6A3200685239F71"/>
          </w:pPr>
          <w:r>
            <w:t xml:space="preserve"> </w:t>
          </w:r>
        </w:p>
      </w:docPartBody>
    </w:docPart>
    <w:docPart>
      <w:docPartPr>
        <w:name w:val="19E861090C33430CB6966B8C6FAA6536"/>
        <w:category>
          <w:name w:val="Allmänt"/>
          <w:gallery w:val="placeholder"/>
        </w:category>
        <w:types>
          <w:type w:val="bbPlcHdr"/>
        </w:types>
        <w:behaviors>
          <w:behavior w:val="content"/>
        </w:behaviors>
        <w:guid w:val="{11FB4EA0-276E-4AAD-A263-5990DF1DD0FB}"/>
      </w:docPartPr>
      <w:docPartBody>
        <w:p w:rsidR="009E0A63" w:rsidRDefault="00FD62AF" w:rsidP="00FD62AF">
          <w:pPr>
            <w:pStyle w:val="19E861090C33430CB6966B8C6FAA653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C88787C65B94280A74ABBB516EA1E47"/>
        <w:category>
          <w:name w:val="Allmänt"/>
          <w:gallery w:val="placeholder"/>
        </w:category>
        <w:types>
          <w:type w:val="bbPlcHdr"/>
        </w:types>
        <w:behaviors>
          <w:behavior w:val="content"/>
        </w:behaviors>
        <w:guid w:val="{502CCD58-4888-4D68-BD9D-ECB8DF514EDB}"/>
      </w:docPartPr>
      <w:docPartBody>
        <w:p w:rsidR="00EE0807" w:rsidRDefault="00EE08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2AF"/>
    <w:rsid w:val="009E0A63"/>
    <w:rsid w:val="00EE0807"/>
    <w:rsid w:val="00FD62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62AF"/>
    <w:rPr>
      <w:color w:val="F4B083" w:themeColor="accent2" w:themeTint="99"/>
    </w:rPr>
  </w:style>
  <w:style w:type="paragraph" w:customStyle="1" w:styleId="EC6AC7CEF1DD490C8279BB699F86AE81">
    <w:name w:val="EC6AC7CEF1DD490C8279BB699F86AE81"/>
  </w:style>
  <w:style w:type="paragraph" w:customStyle="1" w:styleId="1A32EADF46774677B68B5862DE2AF541">
    <w:name w:val="1A32EADF46774677B68B5862DE2AF5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EB775806A5499590C4DDE439B59A0F">
    <w:name w:val="9FEB775806A5499590C4DDE439B59A0F"/>
  </w:style>
  <w:style w:type="paragraph" w:customStyle="1" w:styleId="40754140973A47DC8D1967FBD5C1A16D">
    <w:name w:val="40754140973A47DC8D1967FBD5C1A16D"/>
  </w:style>
  <w:style w:type="paragraph" w:customStyle="1" w:styleId="D782DC459BE844C2BBDED402682042FB">
    <w:name w:val="D782DC459BE844C2BBDED402682042FB"/>
  </w:style>
  <w:style w:type="paragraph" w:customStyle="1" w:styleId="4E32DF40864A433096C8F660C29EF677">
    <w:name w:val="4E32DF40864A433096C8F660C29EF677"/>
  </w:style>
  <w:style w:type="paragraph" w:customStyle="1" w:styleId="C74202345B264BC49D16982B04AA39E5">
    <w:name w:val="C74202345B264BC49D16982B04AA39E5"/>
  </w:style>
  <w:style w:type="paragraph" w:customStyle="1" w:styleId="0D9FC6B77AA34CCBA6A3200685239F71">
    <w:name w:val="0D9FC6B77AA34CCBA6A3200685239F71"/>
  </w:style>
  <w:style w:type="paragraph" w:customStyle="1" w:styleId="19E861090C33430CB6966B8C6FAA6536">
    <w:name w:val="19E861090C33430CB6966B8C6FAA6536"/>
    <w:rsid w:val="00FD62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E46ACB-F640-40FF-B663-FC8FAA33A9C4}"/>
</file>

<file path=customXml/itemProps2.xml><?xml version="1.0" encoding="utf-8"?>
<ds:datastoreItem xmlns:ds="http://schemas.openxmlformats.org/officeDocument/2006/customXml" ds:itemID="{5F293290-3629-4826-83AA-6CE6A3C77319}"/>
</file>

<file path=customXml/itemProps3.xml><?xml version="1.0" encoding="utf-8"?>
<ds:datastoreItem xmlns:ds="http://schemas.openxmlformats.org/officeDocument/2006/customXml" ds:itemID="{0552E290-DAF7-4CAE-B820-F1FC725BFA58}"/>
</file>

<file path=docProps/app.xml><?xml version="1.0" encoding="utf-8"?>
<Properties xmlns="http://schemas.openxmlformats.org/officeDocument/2006/extended-properties" xmlns:vt="http://schemas.openxmlformats.org/officeDocument/2006/docPropsVTypes">
  <Template>Normal</Template>
  <TotalTime>10</TotalTime>
  <Pages>3</Pages>
  <Words>818</Words>
  <Characters>5025</Characters>
  <Application>Microsoft Office Word</Application>
  <DocSecurity>0</DocSecurity>
  <Lines>86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skrivelse  2021 22 114  Strategisk exportkontroll 2021   krigsmateriel  och produkter med dubbla användningsområden</vt:lpstr>
      <vt:lpstr>
      </vt:lpstr>
    </vt:vector>
  </TitlesOfParts>
  <Company>Sveriges riksdag</Company>
  <LinksUpToDate>false</LinksUpToDate>
  <CharactersWithSpaces>5821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