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9D75F01D634BDE9278BD80F6717C79"/>
        </w:placeholder>
        <w15:appearance w15:val="hidden"/>
        <w:text/>
      </w:sdtPr>
      <w:sdtEndPr/>
      <w:sdtContent>
        <w:p w:rsidRPr="009B062B" w:rsidR="00AF30DD" w:rsidP="009B062B" w:rsidRDefault="00AF30DD" w14:paraId="0146DB9F" w14:textId="77777777">
          <w:pPr>
            <w:pStyle w:val="RubrikFrslagTIllRiksdagsbeslut"/>
          </w:pPr>
          <w:r w:rsidRPr="009B062B">
            <w:t>Förslag till riksdagsbeslut</w:t>
          </w:r>
        </w:p>
      </w:sdtContent>
    </w:sdt>
    <w:sdt>
      <w:sdtPr>
        <w:alias w:val="Yrkande 1"/>
        <w:tag w:val="b5b01a47-b817-45ec-be86-285c7ecf9960"/>
        <w:id w:val="605701554"/>
        <w:lock w:val="sdtLocked"/>
      </w:sdtPr>
      <w:sdtEndPr/>
      <w:sdtContent>
        <w:p w:rsidR="00FF775A" w:rsidRDefault="008502EF" w14:paraId="0146DBA0" w14:textId="726268C1">
          <w:pPr>
            <w:pStyle w:val="Frslagstext"/>
            <w:numPr>
              <w:ilvl w:val="0"/>
              <w:numId w:val="0"/>
            </w:numPr>
          </w:pPr>
          <w:r>
            <w:t>Riksdagen ställer sig bakom det som anförs i motionen om att likvärdiga villkor och likvärdig tillsyn och uppföljning ska gälla för alla aktörer som verkar inom tandvården, oavsett driftsform,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97E4C0DF504B3B919F2E69665BA67C"/>
        </w:placeholder>
        <w15:appearance w15:val="hidden"/>
        <w:text/>
      </w:sdtPr>
      <w:sdtEndPr/>
      <w:sdtContent>
        <w:p w:rsidRPr="009B062B" w:rsidR="006D79C9" w:rsidP="00333E95" w:rsidRDefault="006D79C9" w14:paraId="0146DBA1" w14:textId="77777777">
          <w:pPr>
            <w:pStyle w:val="Rubrik1"/>
          </w:pPr>
          <w:r>
            <w:t>Motivering</w:t>
          </w:r>
        </w:p>
      </w:sdtContent>
    </w:sdt>
    <w:p w:rsidR="00C040BC" w:rsidP="00C040BC" w:rsidRDefault="00C040BC" w14:paraId="0146DBA2" w14:textId="77777777">
      <w:pPr>
        <w:pStyle w:val="Normalutanindragellerluft"/>
      </w:pPr>
      <w:r>
        <w:t>Riksrevisionen har i en granskningsrapport analyserat om det förekommer systematiskt överutnyttjande av det statliga tandvårdsstödet till följd av överbehandling.</w:t>
      </w:r>
      <w:r w:rsidR="00310E1B">
        <w:rPr>
          <w:rStyle w:val="Fotnotsreferens"/>
        </w:rPr>
        <w:footnoteReference w:id="1"/>
      </w:r>
      <w:r>
        <w:t xml:space="preserve"> Det är mycket bra att granskning och uppföljning sker av all välfärdsverksamhet</w:t>
      </w:r>
      <w:r w:rsidR="00310E1B">
        <w:t xml:space="preserve"> i syfte att säkerställa kvalitet och att skattebetalarnas medel används så effektivt som möjligt. </w:t>
      </w:r>
    </w:p>
    <w:p w:rsidR="00310E1B" w:rsidP="00310E1B" w:rsidRDefault="00755EA6" w14:paraId="0146DBA3" w14:textId="795BF68A">
      <w:r>
        <w:t>Det som är be</w:t>
      </w:r>
      <w:r w:rsidR="00C02C26">
        <w:t xml:space="preserve">klagligt är att </w:t>
      </w:r>
      <w:r w:rsidR="00310E1B">
        <w:t>denna granskningsrapport</w:t>
      </w:r>
      <w:r w:rsidR="00C02C26">
        <w:t xml:space="preserve"> från Riksrevisionen brister i</w:t>
      </w:r>
      <w:r w:rsidR="00600197">
        <w:t xml:space="preserve"> metodik,</w:t>
      </w:r>
      <w:r w:rsidR="00310E1B">
        <w:t xml:space="preserve"> att regeringen med sina ideologiska skygglappar</w:t>
      </w:r>
      <w:r>
        <w:t xml:space="preserve"> fortsätter att </w:t>
      </w:r>
      <w:r w:rsidR="00310E1B">
        <w:t>lägga all tyngdpunkt på att rikta fokus på privata utförare av välfärd i</w:t>
      </w:r>
      <w:r w:rsidR="00600197">
        <w:t xml:space="preserve"> </w:t>
      </w:r>
      <w:r w:rsidR="00310E1B">
        <w:t>stället för att strä</w:t>
      </w:r>
      <w:r w:rsidR="007F7955">
        <w:t xml:space="preserve">va efter likvärdiga villkor, </w:t>
      </w:r>
      <w:r w:rsidR="00310E1B">
        <w:t>tillsyn och uppföljning av all välfärdsverksamhet, oavsett driftsform.</w:t>
      </w:r>
      <w:r w:rsidR="00261F7B">
        <w:t xml:space="preserve"> Detta mönster gäller vare sig det handlar om tandv</w:t>
      </w:r>
      <w:r w:rsidR="00600197">
        <w:t>ård,</w:t>
      </w:r>
      <w:r w:rsidR="00261F7B">
        <w:t xml:space="preserve"> den nyligen tillsatta utredningen om vinster i vården eller ökade tillståndskrav inom socialtjänsten.</w:t>
      </w:r>
    </w:p>
    <w:p w:rsidR="00310E1B" w:rsidP="007F7955" w:rsidRDefault="007F7955" w14:paraId="0146DBA4" w14:textId="77777777">
      <w:pPr>
        <w:pStyle w:val="Rubrik2"/>
      </w:pPr>
      <w:r>
        <w:lastRenderedPageBreak/>
        <w:t>Bakgrund</w:t>
      </w:r>
    </w:p>
    <w:p w:rsidRPr="007F7955" w:rsidR="007F7955" w:rsidP="007F7955" w:rsidRDefault="007F7955" w14:paraId="0146DBA5" w14:textId="5F139BA0">
      <w:pPr>
        <w:pStyle w:val="Normalutanindragellerluft"/>
      </w:pPr>
      <w:r w:rsidRPr="007F7955">
        <w:t xml:space="preserve">Det är ett betydande problem att tandvård för </w:t>
      </w:r>
      <w:r w:rsidR="00600197">
        <w:t>t.ex.</w:t>
      </w:r>
      <w:r>
        <w:t xml:space="preserve"> </w:t>
      </w:r>
      <w:r w:rsidRPr="007F7955">
        <w:t>äldre inte i tillräcklig omfattning bygger på vetenskapligt underlag och beprövad erfarenhet. Det saknas välgrundade och strukturerade kunskapsunderlag och forskning som behandlar äldres munhälsa utifrån den gruppens särskilda behov.</w:t>
      </w:r>
      <w:r>
        <w:rPr>
          <w:rStyle w:val="Fotnotsreferens"/>
        </w:rPr>
        <w:footnoteReference w:id="2"/>
      </w:r>
    </w:p>
    <w:p w:rsidR="00881181" w:rsidP="00881181" w:rsidRDefault="007F7955" w14:paraId="0146DBA6" w14:textId="77777777">
      <w:r w:rsidRPr="007F7955">
        <w:t>Brist på nationella riktlinjer om</w:t>
      </w:r>
      <w:r>
        <w:t xml:space="preserve"> exempelvis</w:t>
      </w:r>
      <w:r w:rsidRPr="007F7955">
        <w:t xml:space="preserve"> äldres munhälsa och tandvård medför oklarhet och otydlighet om vilken behandling som bör genomföras. Därtill leder detta till ökade risker för växande regionala och lokala skillnader i äldres möjligheter att få rätt tandvård i rätt tid</w:t>
      </w:r>
      <w:r>
        <w:t>.</w:t>
      </w:r>
      <w:r>
        <w:rPr>
          <w:rStyle w:val="Fotnotsreferens"/>
        </w:rPr>
        <w:footnoteReference w:id="3"/>
      </w:r>
      <w:r>
        <w:t xml:space="preserve"> Det gör att oegentligheter naturligtvis kan förekomma gällande överbehandling eller underbehandling av patienter.</w:t>
      </w:r>
    </w:p>
    <w:p w:rsidR="006665F3" w:rsidP="006665F3" w:rsidRDefault="007F7955" w14:paraId="0146DBA7" w14:textId="7D48B0A7">
      <w:r>
        <w:t xml:space="preserve">Samtidigt är de flesta </w:t>
      </w:r>
      <w:r w:rsidR="00EB4908">
        <w:t xml:space="preserve">i Sverige mycket nöjda med sin tandvård. Vad gäller tandvården är </w:t>
      </w:r>
      <w:r w:rsidR="006665F3">
        <w:t xml:space="preserve">brukarnöjdheten </w:t>
      </w:r>
      <w:r w:rsidR="00EB4908">
        <w:t xml:space="preserve">som </w:t>
      </w:r>
      <w:r w:rsidR="00600197">
        <w:t>allra högst när det gäller</w:t>
      </w:r>
      <w:r w:rsidRPr="007F7955">
        <w:t xml:space="preserve"> de</w:t>
      </w:r>
      <w:r>
        <w:t xml:space="preserve"> verksamheter</w:t>
      </w:r>
      <w:r w:rsidR="00600197">
        <w:t xml:space="preserve"> som Svenskt K</w:t>
      </w:r>
      <w:r w:rsidRPr="007F7955">
        <w:t>va</w:t>
      </w:r>
      <w:r w:rsidR="006665F3">
        <w:t>litetsindex följer upp</w:t>
      </w:r>
      <w:r>
        <w:t>.</w:t>
      </w:r>
      <w:r>
        <w:rPr>
          <w:rStyle w:val="Fotnotsreferens"/>
        </w:rPr>
        <w:footnoteReference w:id="4"/>
      </w:r>
      <w:r>
        <w:t xml:space="preserve"> </w:t>
      </w:r>
      <w:r w:rsidR="006665F3">
        <w:t xml:space="preserve">Patienternas upplevda kvalitet </w:t>
      </w:r>
      <w:r w:rsidR="00600197">
        <w:t>när det gäller</w:t>
      </w:r>
      <w:r w:rsidR="006665F3">
        <w:t xml:space="preserve"> privat tandvård har aldrig varit så hög som nu. Däremot får Folktandvården ett något lägre betyg. Det är dock fortfarande högt jämfört med andra branscher. </w:t>
      </w:r>
    </w:p>
    <w:p w:rsidR="007F7955" w:rsidP="006665F3" w:rsidRDefault="006665F3" w14:paraId="0146DBA8" w14:textId="77777777">
      <w:r>
        <w:t xml:space="preserve">Den privata tandvården får ett väldigt gott betyg främst tack vare kundernas nöjdhet gällande service, tillgänglighet, engagemang och lyhördhet. När det gäller resultat, personalens kompetens och teknisk utrustning får såväl Folktandvården som privat tandvård höga omdömen. </w:t>
      </w:r>
    </w:p>
    <w:p w:rsidR="006665F3" w:rsidP="006665F3" w:rsidRDefault="006665F3" w14:paraId="0146DBA9" w14:textId="733AC5BD">
      <w:r>
        <w:lastRenderedPageBreak/>
        <w:t xml:space="preserve">Alliansregeringens </w:t>
      </w:r>
      <w:r w:rsidR="00600197">
        <w:t>tandvårdsreform</w:t>
      </w:r>
      <w:r w:rsidRPr="006665F3">
        <w:t xml:space="preserve"> 2008 och införande</w:t>
      </w:r>
      <w:r w:rsidR="00600197">
        <w:t>t</w:t>
      </w:r>
      <w:r w:rsidRPr="006665F3">
        <w:t xml:space="preserve"> av särskilt tandvårdsbidrag och stöd för tandvård vid långvarig sjukdom eller funktionsnedsättning </w:t>
      </w:r>
      <w:r>
        <w:t xml:space="preserve">2013 </w:t>
      </w:r>
      <w:r w:rsidRPr="006665F3">
        <w:t>innebar betydande förstärkningar av statens tandvårdsstöd. Redan det första året anslogs närm</w:t>
      </w:r>
      <w:r w:rsidR="00600197">
        <w:t>are 6</w:t>
      </w:r>
      <w:r w:rsidRPr="006665F3">
        <w:t xml:space="preserve"> miljarder kronor för tandvårdsreformen.</w:t>
      </w:r>
      <w:r>
        <w:rPr>
          <w:rStyle w:val="Fotnotsreferens"/>
        </w:rPr>
        <w:footnoteReference w:id="5"/>
      </w:r>
      <w:r>
        <w:t xml:space="preserve"> Denna r</w:t>
      </w:r>
      <w:r w:rsidR="000075DA">
        <w:t>eform vill vi värna</w:t>
      </w:r>
      <w:r>
        <w:t>.</w:t>
      </w:r>
    </w:p>
    <w:p w:rsidR="007F7955" w:rsidP="006665F3" w:rsidRDefault="006665F3" w14:paraId="0146DBAA" w14:textId="77777777">
      <w:pPr>
        <w:pStyle w:val="Rubrik2"/>
      </w:pPr>
      <w:r>
        <w:t>Nuvarande granskningssystem</w:t>
      </w:r>
    </w:p>
    <w:p w:rsidR="006665F3" w:rsidP="006665F3" w:rsidRDefault="00760418" w14:paraId="0146DBAB" w14:textId="77777777">
      <w:pPr>
        <w:pStyle w:val="Normalutanindragellerluft"/>
      </w:pPr>
      <w:r>
        <w:t xml:space="preserve">Det är Försäkringskassan som betalar ut ersättning till </w:t>
      </w:r>
      <w:r w:rsidR="00332262">
        <w:t xml:space="preserve">utförare av tandvård och som sköter administrationen av det statliga tandvårdsstödet. Denna handläggning är i huvudsak automatiserad via ett elektroniskt system. Utförare av tandvård rapporterar in utförd vård till det elektroniska systemet och får på så sätt ersättning. Detta system möjliggör automatiska kontroller av uppgifterna som har rapporterats in. </w:t>
      </w:r>
    </w:p>
    <w:p w:rsidR="00332262" w:rsidP="00332262" w:rsidRDefault="00332262" w14:paraId="0146DBAC" w14:textId="2E55D13D">
      <w:r>
        <w:t>Detta e</w:t>
      </w:r>
      <w:r w:rsidR="00600197">
        <w:t>lektroniska system medför bl.a.</w:t>
      </w:r>
      <w:r>
        <w:t xml:space="preserve"> att om något inte stämm</w:t>
      </w:r>
      <w:r w:rsidR="00600197">
        <w:t>er kan den enskilda</w:t>
      </w:r>
      <w:r>
        <w:t xml:space="preserve"> utföraren av tandvård </w:t>
      </w:r>
      <w:r w:rsidR="00EB4908">
        <w:t xml:space="preserve">inte </w:t>
      </w:r>
      <w:r>
        <w:t>skicka in</w:t>
      </w:r>
      <w:r w:rsidR="00EB4908">
        <w:t xml:space="preserve"> sitt underlag</w:t>
      </w:r>
      <w:r>
        <w:t xml:space="preserve"> och därmed inte heller få ersättning. Så långt är det inga konstigheter. Automatiska kontroller kan emellertid inte </w:t>
      </w:r>
      <w:r w:rsidR="00EB4908">
        <w:t xml:space="preserve">helt </w:t>
      </w:r>
      <w:r>
        <w:t>förhindra felaktiga tillämpningar av regelverket. Det krävs</w:t>
      </w:r>
      <w:r w:rsidR="00EB4908">
        <w:t xml:space="preserve"> därmed </w:t>
      </w:r>
      <w:r>
        <w:t>även manuella kontroller och</w:t>
      </w:r>
      <w:r w:rsidR="00EB4908">
        <w:t xml:space="preserve"> att</w:t>
      </w:r>
      <w:r>
        <w:t xml:space="preserve"> uppföljning utförs i efterhand.</w:t>
      </w:r>
    </w:p>
    <w:p w:rsidR="007731C3" w:rsidP="007731C3" w:rsidRDefault="007731C3" w14:paraId="0146DBAD" w14:textId="77777777">
      <w:pPr>
        <w:pStyle w:val="Rubrik2"/>
      </w:pPr>
      <w:r>
        <w:t>Riksrevisionens rapport – metodval och slutsatser</w:t>
      </w:r>
    </w:p>
    <w:p w:rsidRPr="007731C3" w:rsidR="007731C3" w:rsidP="007731C3" w:rsidRDefault="00EB4908" w14:paraId="0146DBAE" w14:textId="6E924EA6">
      <w:pPr>
        <w:pStyle w:val="Normalutanindragellerluft"/>
      </w:pPr>
      <w:r>
        <w:t xml:space="preserve">Riksrevisionen har i denna rapport valt metoden att genomföra ett fältexperiment. </w:t>
      </w:r>
      <w:r w:rsidR="00216038">
        <w:t>Detta innebar att 735 tandläkarmottagningar valdes ut</w:t>
      </w:r>
      <w:r w:rsidR="00600197">
        <w:t>,</w:t>
      </w:r>
      <w:r w:rsidR="00216038">
        <w:t xml:space="preserve"> såväl privata utförare av tandvård som folktandvårdsmottagningar. Dessa mottagningar utgjorde ungefär 15 procent av samtliga tandläkarmottagningar i </w:t>
      </w:r>
      <w:r w:rsidR="00216038">
        <w:lastRenderedPageBreak/>
        <w:t xml:space="preserve">landet. Urvalet valdes även </w:t>
      </w:r>
      <w:r w:rsidR="00E8564C">
        <w:t>ur perspektivet</w:t>
      </w:r>
      <w:r w:rsidR="00216038">
        <w:t xml:space="preserve"> att </w:t>
      </w:r>
      <w:r w:rsidR="00E8564C">
        <w:t>kunna av</w:t>
      </w:r>
      <w:r w:rsidR="00216038">
        <w:t>spegla</w:t>
      </w:r>
      <w:r w:rsidR="00600197">
        <w:t xml:space="preserve"> fördelningen mellan privata mottagningar</w:t>
      </w:r>
      <w:r w:rsidR="00261F7B">
        <w:t xml:space="preserve"> och folktandvårds</w:t>
      </w:r>
      <w:r w:rsidR="00600197">
        <w:t xml:space="preserve">mottagningar, </w:t>
      </w:r>
      <w:r w:rsidR="001B6043">
        <w:t>d</w:t>
      </w:r>
      <w:r w:rsidR="00600197">
        <w:t>vs. cirka åtta av tio</w:t>
      </w:r>
      <w:r w:rsidR="00261F7B">
        <w:t xml:space="preserve"> är privata utförare. Så långt är det inget problem med Riksrevisionens upplägg av granskningen.</w:t>
      </w:r>
      <w:r w:rsidR="00755EA6">
        <w:t xml:space="preserve"> Därtill påpekar Riksrevisionen att bedrägeri och renodlat fusk ligger utanför ramen för denna granskning.</w:t>
      </w:r>
    </w:p>
    <w:p w:rsidR="007F7955" w:rsidP="00881181" w:rsidRDefault="00C17CD3" w14:paraId="0146DBAF" w14:textId="058AD8AA">
      <w:r>
        <w:t>Ett allvarligt problem</w:t>
      </w:r>
      <w:r w:rsidR="00261F7B">
        <w:t xml:space="preserve"> är emellertid </w:t>
      </w:r>
      <w:r>
        <w:t>att den avgörande metoden som Riksrevisionen använt för att göra sina iakttagelser och dra sina slutsatser bygger på antagandet att tandkron</w:t>
      </w:r>
      <w:r w:rsidR="00600197">
        <w:t>e</w:t>
      </w:r>
      <w:r>
        <w:t>åtgärderna 800 respektive 801 är utbytbara gentemot varandra. Tandvårds- och läkemedelsförm</w:t>
      </w:r>
      <w:r w:rsidR="00600197">
        <w:t>ånsverket</w:t>
      </w:r>
      <w:r>
        <w:t xml:space="preserve"> </w:t>
      </w:r>
      <w:r w:rsidR="00600197">
        <w:t>(TLV)</w:t>
      </w:r>
      <w:r>
        <w:t xml:space="preserve"> påpekar dock att så inte alls är fallet. TLV betonar att de inte alls är utbytbara med varandra. Åtgärd 800 ska ske om patienten endast får en tandkrona i en käke. Om patienten i</w:t>
      </w:r>
      <w:r w:rsidR="00600197">
        <w:t xml:space="preserve"> </w:t>
      </w:r>
      <w:r>
        <w:t>stället ska få flera tandkronor i samma käke vid samma behandlingstillfälle kan endast tandkron</w:t>
      </w:r>
      <w:r w:rsidR="00600197">
        <w:t>e</w:t>
      </w:r>
      <w:r>
        <w:t>åtgärd 801 tillämpas.</w:t>
      </w:r>
    </w:p>
    <w:p w:rsidR="00C17CD3" w:rsidP="00881181" w:rsidRDefault="00C17CD3" w14:paraId="0146DBB0" w14:textId="76F954AA">
      <w:r>
        <w:t>Riksrevisionen däremot hävdar att man kan visa på ett överutnyttjande av tandvårdsstödet</w:t>
      </w:r>
      <w:r w:rsidR="00774E9F">
        <w:t>,</w:t>
      </w:r>
      <w:r>
        <w:t xml:space="preserve"> genom att revisionen via förhandsinformation till hälften av tandläkarmottagningarna i fältexperimentet</w:t>
      </w:r>
      <w:r w:rsidR="00774E9F">
        <w:t xml:space="preserve"> gett dessa mottagningar information om att deras behandlingar gällande en viss åtgärd, i detta fall åtgärd 801, skulle komma att följas upp</w:t>
      </w:r>
      <w:r w:rsidR="00755EA6">
        <w:t xml:space="preserve"> och kontrolleras i efterhand. </w:t>
      </w:r>
      <w:r w:rsidR="00774E9F">
        <w:t xml:space="preserve">Riksrevisionen </w:t>
      </w:r>
      <w:r w:rsidR="00755EA6">
        <w:t xml:space="preserve">anser </w:t>
      </w:r>
      <w:r w:rsidR="00774E9F">
        <w:t>att om denna förhandsinformation leder till en förändring av behandlingsmönster i form av en minskning av den åtgärd som kontroller</w:t>
      </w:r>
      <w:r w:rsidR="00755EA6">
        <w:t>as så är det ett starkt tecken</w:t>
      </w:r>
      <w:r w:rsidR="00774E9F">
        <w:t xml:space="preserve"> på att överbehandling förekommer. </w:t>
      </w:r>
      <w:r w:rsidR="00755EA6">
        <w:t xml:space="preserve">Men eftersom de utvalda undersökta behandlingarna inte är utbytbara håller inte logiken samman. </w:t>
      </w:r>
      <w:r w:rsidR="00774E9F">
        <w:t>Därtill riktar sig kritiken mot att Riksrevisionen i sin granskning utgått från ett regelverk som upphävdes redan 2008.</w:t>
      </w:r>
    </w:p>
    <w:p w:rsidR="00774E9F" w:rsidP="00774E9F" w:rsidRDefault="00774E9F" w14:paraId="0146DBB1" w14:textId="77777777">
      <w:pPr>
        <w:pStyle w:val="Rubrik2"/>
      </w:pPr>
      <w:r>
        <w:lastRenderedPageBreak/>
        <w:t>Regeringens bedömning och åtgärder</w:t>
      </w:r>
    </w:p>
    <w:p w:rsidR="00774E9F" w:rsidP="00774E9F" w:rsidRDefault="00755EA6" w14:paraId="0146DBB2" w14:textId="15BE5A3F">
      <w:pPr>
        <w:pStyle w:val="Normalutanindragellerluft"/>
      </w:pPr>
      <w:r>
        <w:t>Det är bra att även regeringen noterar de tydliga bristerna i Riksrevisionens granskningsrapport. Det som samtidigt är tydligt är att regeringen ändå inte kan låta bli</w:t>
      </w:r>
      <w:r w:rsidR="00252279">
        <w:t xml:space="preserve"> i sin skrivelse</w:t>
      </w:r>
      <w:r>
        <w:t xml:space="preserve"> att låta ideologi gå före fakta och analys. </w:t>
      </w:r>
      <w:r w:rsidR="00613B37">
        <w:t>Den privata tandvården i Sverige har den högsta nöjdheten bland brukarna av</w:t>
      </w:r>
      <w:r w:rsidR="00600197">
        <w:t xml:space="preserve"> alla verksamheter som Svenskt K</w:t>
      </w:r>
      <w:r w:rsidR="00613B37">
        <w:t>valitetsindex utvärderar.</w:t>
      </w:r>
      <w:r w:rsidR="00252279">
        <w:rPr>
          <w:rStyle w:val="Fotnotsreferens"/>
        </w:rPr>
        <w:footnoteReference w:id="6"/>
      </w:r>
      <w:r w:rsidR="00613B37">
        <w:t xml:space="preserve"> </w:t>
      </w:r>
    </w:p>
    <w:p w:rsidR="006131B7" w:rsidP="00252279" w:rsidRDefault="00252279" w14:paraId="0146DBB3" w14:textId="70BA22C3">
      <w:r>
        <w:t xml:space="preserve">Därtill har Försäkringskassan som administrerar dessa system och </w:t>
      </w:r>
      <w:r w:rsidR="006131B7">
        <w:t>även utför regelbundna</w:t>
      </w:r>
      <w:r>
        <w:t xml:space="preserve"> manuella efterhandskontroller dragit slutsatsen att det generellt sett inte </w:t>
      </w:r>
      <w:r w:rsidR="006131B7">
        <w:t xml:space="preserve">går att fastslå </w:t>
      </w:r>
      <w:r>
        <w:t xml:space="preserve">några tydliga signaler eller mönster </w:t>
      </w:r>
      <w:r w:rsidR="00600197">
        <w:t xml:space="preserve">som tyder </w:t>
      </w:r>
      <w:r>
        <w:t>på att</w:t>
      </w:r>
      <w:r w:rsidR="006131B7">
        <w:t xml:space="preserve"> det statliga</w:t>
      </w:r>
      <w:r>
        <w:t xml:space="preserve"> tandvårdsstödet överutnyttjas.</w:t>
      </w:r>
      <w:r>
        <w:rPr>
          <w:rStyle w:val="Fotnotsreferens"/>
        </w:rPr>
        <w:footnoteReference w:id="7"/>
      </w:r>
      <w:r>
        <w:t xml:space="preserve"> </w:t>
      </w:r>
    </w:p>
    <w:p w:rsidRPr="00252279" w:rsidR="00252279" w:rsidP="00252279" w:rsidRDefault="00DA58B9" w14:paraId="0146DBB4" w14:textId="52D0542B">
      <w:r>
        <w:t>Försäkringskass</w:t>
      </w:r>
      <w:r w:rsidR="00600197">
        <w:t>an genomförde exempelvis</w:t>
      </w:r>
      <w:r>
        <w:t xml:space="preserve"> 141 kontrollutredningar </w:t>
      </w:r>
      <w:r w:rsidR="00600197">
        <w:t xml:space="preserve">2015, </w:t>
      </w:r>
      <w:r>
        <w:t>och i ett antal fall slogs det fast att regelfela</w:t>
      </w:r>
      <w:r w:rsidR="00C52E8C">
        <w:t>ktigheter ägt rum som föranledde</w:t>
      </w:r>
      <w:r>
        <w:t xml:space="preserve"> återkrav på utbetald ersättning.</w:t>
      </w:r>
      <w:r w:rsidR="006131B7">
        <w:t xml:space="preserve"> I 5 fall bedömdes felaktigheterna vara så omfattande och graverande att grovt bedrägeri kunde misstänkas. Detta ledde till polisanmälan av tandläkarmottagningen. Av 5,3 miljarder krono</w:t>
      </w:r>
      <w:r w:rsidR="00600197">
        <w:t>r i utbetald ersättning under</w:t>
      </w:r>
      <w:r w:rsidR="006131B7">
        <w:t xml:space="preserve"> 2015 vidtogs återkrav motsvarande 13,6 miljoner kronor. </w:t>
      </w:r>
    </w:p>
    <w:p w:rsidR="007F7955" w:rsidP="00881181" w:rsidRDefault="00600197" w14:paraId="0146DBB5" w14:textId="63B48DBE">
      <w:r>
        <w:t>Trots att</w:t>
      </w:r>
      <w:r w:rsidR="006131B7">
        <w:t xml:space="preserve"> Riksrevisionen slå</w:t>
      </w:r>
      <w:r>
        <w:t>r</w:t>
      </w:r>
      <w:r w:rsidR="006131B7">
        <w:t xml:space="preserve"> fast att deras granskning inte omfattar bedrägerier och renodlat fusk och att regeringens egen myndighet Försäkringskassan inte anser att det går att dra slutsatser om ett generellt mönster av överutnyttjande av det statliga tandvårdsstödet skriver regeringen i sin skrivelse att det finns indikationer på att det</w:t>
      </w:r>
      <w:r w:rsidR="00003529">
        <w:t xml:space="preserve"> statliga systemet missbrukas, d</w:t>
      </w:r>
      <w:r w:rsidR="006131B7">
        <w:t>els av vå</w:t>
      </w:r>
      <w:r w:rsidR="00003529">
        <w:t>rdgivare i ekonomisk vinning,</w:t>
      </w:r>
      <w:r w:rsidR="006131B7">
        <w:t xml:space="preserve"> dels av aktörer som i vissa fall bedöms ha kopplingar till organiserad brottslighet.</w:t>
      </w:r>
    </w:p>
    <w:p w:rsidR="006131B7" w:rsidP="00881181" w:rsidRDefault="006131B7" w14:paraId="0146DBB6" w14:textId="1877BA4B">
      <w:r>
        <w:t>Det är en självklarhet att allt fusk och bedrägerier med skattemedel ska beivras och brottslingar lagföras.</w:t>
      </w:r>
      <w:r w:rsidR="001F587D">
        <w:t xml:space="preserve"> Anslagna gemensamma resurser avsedda </w:t>
      </w:r>
      <w:r w:rsidR="001F587D">
        <w:lastRenderedPageBreak/>
        <w:t>att användas i välfärden ska alltid följas upp noggrant, systematiskt och regelbundet. Därifrån är</w:t>
      </w:r>
      <w:r w:rsidR="00003529">
        <w:t xml:space="preserve"> emellertid steget långt till</w:t>
      </w:r>
      <w:r w:rsidR="001F587D">
        <w:t xml:space="preserve"> att svepande tala om indikationer om att tandvårdsstöden missbrukas av vissa privata vårdgivare.</w:t>
      </w:r>
      <w:r w:rsidR="00961B03">
        <w:t xml:space="preserve"> Riksrevisionens granskningsrapport handlar om att upptäcka </w:t>
      </w:r>
      <w:r w:rsidR="009F2286">
        <w:t>överutnyttjande. Detta</w:t>
      </w:r>
      <w:r w:rsidR="00961B03">
        <w:t xml:space="preserve"> ska inte, enligt granskningsrapporten, sammanblandas med bedrägerier och renodlat fusk som ligger utanför ramen för rapportens granskning.</w:t>
      </w:r>
    </w:p>
    <w:p w:rsidR="008B075C" w:rsidP="00881181" w:rsidRDefault="001F587D" w14:paraId="0146DBB7" w14:textId="2120A01F">
      <w:r>
        <w:t>Alliansens partier delar regeringens bedömning att Försäkring</w:t>
      </w:r>
      <w:r w:rsidR="00003529">
        <w:t>skassan bör ges</w:t>
      </w:r>
      <w:r>
        <w:t xml:space="preserve"> förstärkta kontroll- och sanktionsmöjligheter. Det är bra att det nu utreds förutsättningar </w:t>
      </w:r>
      <w:r w:rsidR="00003529">
        <w:t>för att</w:t>
      </w:r>
      <w:r>
        <w:t xml:space="preserve"> ge Försäkringskassan utökad</w:t>
      </w:r>
      <w:r w:rsidR="008B075C">
        <w:t>e</w:t>
      </w:r>
      <w:r>
        <w:t xml:space="preserve"> möjlighet</w:t>
      </w:r>
      <w:r w:rsidR="008B075C">
        <w:t>er</w:t>
      </w:r>
      <w:r w:rsidR="00751040">
        <w:t xml:space="preserve"> att</w:t>
      </w:r>
      <w:bookmarkStart w:name="_GoBack" w:id="1"/>
      <w:bookmarkEnd w:id="1"/>
      <w:r>
        <w:t xml:space="preserve"> avansluta utförare av tandvård som missköter sig från ersättningssystemet. </w:t>
      </w:r>
    </w:p>
    <w:p w:rsidR="001F587D" w:rsidP="00881181" w:rsidRDefault="001F587D" w14:paraId="0146DBB8" w14:textId="56A95BD8">
      <w:r>
        <w:t>Det vore emellertid ännu bättre om regeringen samtidigt slog fast den tydliga principen att all välfärdsverksamhet ska ske på likvärdiga villkor</w:t>
      </w:r>
      <w:r w:rsidR="008B075C">
        <w:t xml:space="preserve">, </w:t>
      </w:r>
      <w:r w:rsidR="00003529">
        <w:t>o</w:t>
      </w:r>
      <w:r w:rsidR="008B075C">
        <w:t>avsett regi</w:t>
      </w:r>
      <w:r>
        <w:t>. Därtill att tillsyn</w:t>
      </w:r>
      <w:r w:rsidR="008B075C">
        <w:t>, kontroll, uppföljning och utvärdering ska gälla lika för alla utförare av tandvård oavsett driftsform. Att göra generella antaganden om ensidigt omfattande fusk bland privata utförare av tandvård utan stöd av fakta och analys är inte seriöst. Tandvården i Sverige håller hög kvalitet</w:t>
      </w:r>
      <w:r w:rsidR="00003529">
        <w:t>,</w:t>
      </w:r>
      <w:r w:rsidR="008B075C">
        <w:t xml:space="preserve"> och högst kvalitet, enligt patienterna själva, håller den privata tandvården.</w:t>
      </w:r>
    </w:p>
    <w:p w:rsidRPr="00881181" w:rsidR="007F7955" w:rsidP="00881181" w:rsidRDefault="007F7955" w14:paraId="0146DBB9" w14:textId="77777777"/>
    <w:sdt>
      <w:sdtPr>
        <w:alias w:val="CC_Underskrifter"/>
        <w:tag w:val="CC_Underskrifter"/>
        <w:id w:val="583496634"/>
        <w:lock w:val="sdtContentLocked"/>
        <w:placeholder>
          <w:docPart w:val="945CD4386B3842F0B8640906F01BE053"/>
        </w:placeholder>
        <w15:appearance w15:val="hidden"/>
      </w:sdtPr>
      <w:sdtEndPr/>
      <w:sdtContent>
        <w:p w:rsidR="004801AC" w:rsidP="0068096E" w:rsidRDefault="00751040" w14:paraId="0146DB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F81FE9" w:rsidRDefault="00F81FE9" w14:paraId="0146DBC4" w14:textId="77777777"/>
    <w:sectPr w:rsidR="00F81F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6DBC6" w14:textId="77777777" w:rsidR="00273D2F" w:rsidRDefault="00273D2F" w:rsidP="000C1CAD">
      <w:pPr>
        <w:spacing w:line="240" w:lineRule="auto"/>
      </w:pPr>
      <w:r>
        <w:separator/>
      </w:r>
    </w:p>
  </w:endnote>
  <w:endnote w:type="continuationSeparator" w:id="0">
    <w:p w14:paraId="0146DBC7" w14:textId="77777777" w:rsidR="00273D2F" w:rsidRDefault="00273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6DBC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6DBCD" w14:textId="6BD54F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104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6DBC4" w14:textId="77777777" w:rsidR="00273D2F" w:rsidRDefault="00273D2F" w:rsidP="000C1CAD">
      <w:pPr>
        <w:spacing w:line="240" w:lineRule="auto"/>
      </w:pPr>
      <w:r>
        <w:separator/>
      </w:r>
    </w:p>
  </w:footnote>
  <w:footnote w:type="continuationSeparator" w:id="0">
    <w:p w14:paraId="0146DBC5" w14:textId="77777777" w:rsidR="00273D2F" w:rsidRDefault="00273D2F" w:rsidP="000C1CAD">
      <w:pPr>
        <w:spacing w:line="240" w:lineRule="auto"/>
      </w:pPr>
      <w:r>
        <w:continuationSeparator/>
      </w:r>
    </w:p>
  </w:footnote>
  <w:footnote w:id="1">
    <w:p w14:paraId="0146DBD8" w14:textId="3152F57D" w:rsidR="00310E1B" w:rsidRDefault="00310E1B">
      <w:pPr>
        <w:pStyle w:val="Fotnotstext"/>
      </w:pPr>
      <w:r>
        <w:rPr>
          <w:rStyle w:val="Fotnotsreferens"/>
        </w:rPr>
        <w:footnoteRef/>
      </w:r>
      <w:r>
        <w:t xml:space="preserve"> Riksr</w:t>
      </w:r>
      <w:r w:rsidR="00600197">
        <w:t>evisionens granskningsrapport RiR 2017:19</w:t>
      </w:r>
      <w:r>
        <w:t xml:space="preserve"> Överutnyttjande av tandvårdsstödet till följd av överbehandling.</w:t>
      </w:r>
    </w:p>
  </w:footnote>
  <w:footnote w:id="2">
    <w:p w14:paraId="0146DBD9" w14:textId="47B4DC99" w:rsidR="007F7955" w:rsidRDefault="007F7955">
      <w:pPr>
        <w:pStyle w:val="Fotnotstext"/>
      </w:pPr>
      <w:r>
        <w:rPr>
          <w:rStyle w:val="Fotnotsreferens"/>
        </w:rPr>
        <w:footnoteRef/>
      </w:r>
      <w:r>
        <w:t xml:space="preserve"> </w:t>
      </w:r>
      <w:r w:rsidRPr="007F7955">
        <w:t>Källor: Socialstyrelsen, 20</w:t>
      </w:r>
      <w:r w:rsidR="00600197">
        <w:t>14 samt Tandlösa tandvårdsstöd</w:t>
      </w:r>
      <w:r w:rsidRPr="007F7955">
        <w:t xml:space="preserve"> – En analys av hur tandvårdsstöd fungerar för den äldre befolkningen, Rapport 2015:3 Myndigheten för vård- och omsorgsanalys.</w:t>
      </w:r>
    </w:p>
  </w:footnote>
  <w:footnote w:id="3">
    <w:p w14:paraId="0146DBDA" w14:textId="60B61782" w:rsidR="007F7955" w:rsidRDefault="007F7955">
      <w:pPr>
        <w:pStyle w:val="Fotnotstext"/>
      </w:pPr>
      <w:r>
        <w:rPr>
          <w:rStyle w:val="Fotnotsreferens"/>
        </w:rPr>
        <w:footnoteRef/>
      </w:r>
      <w:r>
        <w:t xml:space="preserve"> </w:t>
      </w:r>
      <w:r w:rsidR="00600197">
        <w:t>Källa: Tandlösa tandvårdsstöd</w:t>
      </w:r>
      <w:r w:rsidRPr="007F7955">
        <w:t xml:space="preserve"> – En analys av hur tandvårdsstöd fungerar för den äldre befolkningen, Rapport 2015:3 Myndigheten för vård- och omsorgsanalys.</w:t>
      </w:r>
    </w:p>
  </w:footnote>
  <w:footnote w:id="4">
    <w:p w14:paraId="0146DBDB" w14:textId="6E422619" w:rsidR="007F7955" w:rsidRDefault="007F7955">
      <w:pPr>
        <w:pStyle w:val="Fotnotstext"/>
      </w:pPr>
      <w:r>
        <w:rPr>
          <w:rStyle w:val="Fotnotsreferens"/>
        </w:rPr>
        <w:footnoteRef/>
      </w:r>
      <w:r>
        <w:t xml:space="preserve"> </w:t>
      </w:r>
      <w:r w:rsidRPr="007F7955">
        <w:t xml:space="preserve">Källa: Svenskt </w:t>
      </w:r>
      <w:r w:rsidR="00600197">
        <w:t>K</w:t>
      </w:r>
      <w:r w:rsidRPr="007F7955">
        <w:t>valitetsindex 2017.</w:t>
      </w:r>
    </w:p>
  </w:footnote>
  <w:footnote w:id="5">
    <w:p w14:paraId="0146DBDC" w14:textId="2C2BE063" w:rsidR="006665F3" w:rsidRDefault="006665F3">
      <w:pPr>
        <w:pStyle w:val="Fotnotstext"/>
      </w:pPr>
      <w:r>
        <w:rPr>
          <w:rStyle w:val="Fotnotsreferens"/>
        </w:rPr>
        <w:footnoteRef/>
      </w:r>
      <w:r>
        <w:t xml:space="preserve"> </w:t>
      </w:r>
      <w:r w:rsidRPr="006665F3">
        <w:t>Källa</w:t>
      </w:r>
      <w:r w:rsidR="00600197">
        <w:t>: Ett tandvårdsstöd för alla – F</w:t>
      </w:r>
      <w:r w:rsidRPr="006665F3">
        <w:t>ler och starkare patienter, SOU 2015:76.</w:t>
      </w:r>
    </w:p>
  </w:footnote>
  <w:footnote w:id="6">
    <w:p w14:paraId="0146DBDD" w14:textId="619C90CD" w:rsidR="00252279" w:rsidRDefault="00252279">
      <w:pPr>
        <w:pStyle w:val="Fotnotstext"/>
      </w:pPr>
      <w:r>
        <w:rPr>
          <w:rStyle w:val="Fotnotsreferens"/>
        </w:rPr>
        <w:footnoteRef/>
      </w:r>
      <w:r>
        <w:t xml:space="preserve"> </w:t>
      </w:r>
      <w:r w:rsidR="00003529">
        <w:t>Källa: Svenskt K</w:t>
      </w:r>
      <w:r w:rsidRPr="007F7955">
        <w:t>valitetsindex</w:t>
      </w:r>
      <w:r w:rsidR="00003529">
        <w:t>,</w:t>
      </w:r>
      <w:r w:rsidRPr="007F7955">
        <w:t xml:space="preserve"> 2017.</w:t>
      </w:r>
    </w:p>
  </w:footnote>
  <w:footnote w:id="7">
    <w:p w14:paraId="0146DBDE" w14:textId="77777777" w:rsidR="00252279" w:rsidRDefault="00252279">
      <w:pPr>
        <w:pStyle w:val="Fotnotstext"/>
      </w:pPr>
      <w:r>
        <w:rPr>
          <w:rStyle w:val="Fotnotsreferens"/>
        </w:rPr>
        <w:footnoteRef/>
      </w:r>
      <w:r>
        <w:t xml:space="preserve"> Källa: Försäkringskassan, 2016.</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46DB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46DBD7" wp14:anchorId="0146D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1040" w14:paraId="0146DBDF" w14:textId="77777777">
                          <w:pPr>
                            <w:jc w:val="right"/>
                          </w:pPr>
                          <w:sdt>
                            <w:sdtPr>
                              <w:alias w:val="CC_Noformat_Partikod"/>
                              <w:tag w:val="CC_Noformat_Partikod"/>
                              <w:id w:val="-53464382"/>
                              <w:placeholder>
                                <w:docPart w:val="2D02A151891E4F99928A7E6428239B18"/>
                              </w:placeholder>
                              <w:text/>
                            </w:sdtPr>
                            <w:sdtEndPr/>
                            <w:sdtContent>
                              <w:r w:rsidR="009D1C83">
                                <w:t>M</w:t>
                              </w:r>
                            </w:sdtContent>
                          </w:sdt>
                          <w:sdt>
                            <w:sdtPr>
                              <w:alias w:val="CC_Noformat_Partinummer"/>
                              <w:tag w:val="CC_Noformat_Partinummer"/>
                              <w:id w:val="-1709555926"/>
                              <w:placeholder>
                                <w:docPart w:val="2D364252CEF1471B897C1247E7C87C08"/>
                              </w:placeholder>
                              <w:text/>
                            </w:sdtPr>
                            <w:sdtEndPr/>
                            <w:sdtContent>
                              <w:r w:rsidR="00A66A47">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46DB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6043" w14:paraId="0146DBDF" w14:textId="77777777">
                    <w:pPr>
                      <w:jc w:val="right"/>
                    </w:pPr>
                    <w:sdt>
                      <w:sdtPr>
                        <w:alias w:val="CC_Noformat_Partikod"/>
                        <w:tag w:val="CC_Noformat_Partikod"/>
                        <w:id w:val="-53464382"/>
                        <w:placeholder>
                          <w:docPart w:val="2D02A151891E4F99928A7E6428239B18"/>
                        </w:placeholder>
                        <w:text/>
                      </w:sdtPr>
                      <w:sdtEndPr/>
                      <w:sdtContent>
                        <w:r w:rsidR="009D1C83">
                          <w:t>M</w:t>
                        </w:r>
                      </w:sdtContent>
                    </w:sdt>
                    <w:sdt>
                      <w:sdtPr>
                        <w:alias w:val="CC_Noformat_Partinummer"/>
                        <w:tag w:val="CC_Noformat_Partinummer"/>
                        <w:id w:val="-1709555926"/>
                        <w:placeholder>
                          <w:docPart w:val="2D364252CEF1471B897C1247E7C87C08"/>
                        </w:placeholder>
                        <w:text/>
                      </w:sdtPr>
                      <w:sdtEndPr/>
                      <w:sdtContent>
                        <w:r w:rsidR="00A66A47">
                          <w:t>156</w:t>
                        </w:r>
                      </w:sdtContent>
                    </w:sdt>
                  </w:p>
                </w:txbxContent>
              </v:textbox>
              <w10:wrap anchorx="page"/>
            </v:shape>
          </w:pict>
        </mc:Fallback>
      </mc:AlternateContent>
    </w:r>
  </w:p>
  <w:p w:rsidRPr="00293C4F" w:rsidR="004F35FE" w:rsidP="00776B74" w:rsidRDefault="004F35FE" w14:paraId="0146DB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1040" w14:paraId="0146DBCA" w14:textId="77777777">
    <w:pPr>
      <w:jc w:val="right"/>
    </w:pPr>
    <w:sdt>
      <w:sdtPr>
        <w:alias w:val="CC_Noformat_Partikod"/>
        <w:tag w:val="CC_Noformat_Partikod"/>
        <w:id w:val="559911109"/>
        <w:placeholder>
          <w:docPart w:val="2D364252CEF1471B897C1247E7C87C08"/>
        </w:placeholder>
        <w:text/>
      </w:sdtPr>
      <w:sdtEndPr/>
      <w:sdtContent>
        <w:r w:rsidR="009D1C83">
          <w:t>M</w:t>
        </w:r>
      </w:sdtContent>
    </w:sdt>
    <w:sdt>
      <w:sdtPr>
        <w:alias w:val="CC_Noformat_Partinummer"/>
        <w:tag w:val="CC_Noformat_Partinummer"/>
        <w:id w:val="1197820850"/>
        <w:text/>
      </w:sdtPr>
      <w:sdtEndPr/>
      <w:sdtContent>
        <w:r w:rsidR="00A66A47">
          <w:t>156</w:t>
        </w:r>
      </w:sdtContent>
    </w:sdt>
  </w:p>
  <w:p w:rsidR="004F35FE" w:rsidP="00776B74" w:rsidRDefault="004F35FE" w14:paraId="0146DB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1040" w14:paraId="0146DBCE" w14:textId="77777777">
    <w:pPr>
      <w:jc w:val="right"/>
    </w:pPr>
    <w:sdt>
      <w:sdtPr>
        <w:alias w:val="CC_Noformat_Partikod"/>
        <w:tag w:val="CC_Noformat_Partikod"/>
        <w:id w:val="1471015553"/>
        <w:text/>
      </w:sdtPr>
      <w:sdtEndPr/>
      <w:sdtContent>
        <w:r w:rsidR="009D1C83">
          <w:t>M</w:t>
        </w:r>
      </w:sdtContent>
    </w:sdt>
    <w:sdt>
      <w:sdtPr>
        <w:alias w:val="CC_Noformat_Partinummer"/>
        <w:tag w:val="CC_Noformat_Partinummer"/>
        <w:id w:val="-2014525982"/>
        <w:text/>
      </w:sdtPr>
      <w:sdtEndPr/>
      <w:sdtContent>
        <w:r w:rsidR="00A66A47">
          <w:t>156</w:t>
        </w:r>
      </w:sdtContent>
    </w:sdt>
  </w:p>
  <w:p w:rsidR="004F35FE" w:rsidP="00A314CF" w:rsidRDefault="00751040" w14:paraId="0146DB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51040" w14:paraId="0146DB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1040" w14:paraId="0146DB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:3956</w:t>
        </w:r>
      </w:sdtContent>
    </w:sdt>
  </w:p>
  <w:p w:rsidR="004F35FE" w:rsidP="00E03A3D" w:rsidRDefault="00751040" w14:paraId="0146DBD2" w14:textId="77777777">
    <w:pPr>
      <w:pStyle w:val="Motionr"/>
    </w:pPr>
    <w:sdt>
      <w:sdtPr>
        <w:alias w:val="CC_Noformat_Avtext"/>
        <w:tag w:val="CC_Noformat_Avtext"/>
        <w:id w:val="-2020768203"/>
        <w:lock w:val="sdtContentLocked"/>
        <w15:appearance w15:val="hidden"/>
        <w:text/>
      </w:sdtPr>
      <w:sdtEndPr/>
      <w:sdtContent>
        <w:r>
          <w:t>av Emma Henriksson m.fl. (KD, M, C, L)</w:t>
        </w:r>
      </w:sdtContent>
    </w:sdt>
  </w:p>
  <w:sdt>
    <w:sdtPr>
      <w:alias w:val="CC_Noformat_Rubtext"/>
      <w:tag w:val="CC_Noformat_Rubtext"/>
      <w:id w:val="-218060500"/>
      <w:lock w:val="sdtLocked"/>
      <w15:appearance w15:val="hidden"/>
      <w:text/>
    </w:sdtPr>
    <w:sdtEndPr/>
    <w:sdtContent>
      <w:p w:rsidR="004F35FE" w:rsidP="00283E0F" w:rsidRDefault="008502EF" w14:paraId="0146DBD3" w14:textId="1E81BE05">
        <w:pPr>
          <w:pStyle w:val="FSHRub2"/>
        </w:pPr>
        <w:r>
          <w:t>med anledning av skr. 2017/18:65 Riksrevisionens rapport om överutnyttjande av tandvårdsstödet till följd av överbehandling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146DB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83"/>
    <w:rsid w:val="000000E0"/>
    <w:rsid w:val="00000761"/>
    <w:rsid w:val="000014AF"/>
    <w:rsid w:val="000030B6"/>
    <w:rsid w:val="00003529"/>
    <w:rsid w:val="00003CCB"/>
    <w:rsid w:val="00004250"/>
    <w:rsid w:val="00006BF0"/>
    <w:rsid w:val="0000743A"/>
    <w:rsid w:val="000075D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628"/>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2C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81E"/>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302"/>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043"/>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87D"/>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03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279"/>
    <w:rsid w:val="002539E9"/>
    <w:rsid w:val="002543B3"/>
    <w:rsid w:val="0025501B"/>
    <w:rsid w:val="002551EA"/>
    <w:rsid w:val="00256E82"/>
    <w:rsid w:val="00257E6C"/>
    <w:rsid w:val="00257F10"/>
    <w:rsid w:val="00260671"/>
    <w:rsid w:val="00260A22"/>
    <w:rsid w:val="00260A58"/>
    <w:rsid w:val="0026112F"/>
    <w:rsid w:val="00261F7B"/>
    <w:rsid w:val="002629DF"/>
    <w:rsid w:val="002633CE"/>
    <w:rsid w:val="00263A75"/>
    <w:rsid w:val="00263B31"/>
    <w:rsid w:val="00263CFF"/>
    <w:rsid w:val="002643C2"/>
    <w:rsid w:val="0026451C"/>
    <w:rsid w:val="00266609"/>
    <w:rsid w:val="00270A2E"/>
    <w:rsid w:val="00270B86"/>
    <w:rsid w:val="00273D2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E1B"/>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262"/>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E41"/>
    <w:rsid w:val="003B7796"/>
    <w:rsid w:val="003C0D8C"/>
    <w:rsid w:val="003C10FB"/>
    <w:rsid w:val="003C1239"/>
    <w:rsid w:val="003C1A2D"/>
    <w:rsid w:val="003C3343"/>
    <w:rsid w:val="003C479E"/>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229"/>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A4A"/>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2BC"/>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C96"/>
    <w:rsid w:val="005F50A8"/>
    <w:rsid w:val="005F59DC"/>
    <w:rsid w:val="005F5ACA"/>
    <w:rsid w:val="005F5BC1"/>
    <w:rsid w:val="005F6CCB"/>
    <w:rsid w:val="00600197"/>
    <w:rsid w:val="0060272E"/>
    <w:rsid w:val="00602D39"/>
    <w:rsid w:val="006039EC"/>
    <w:rsid w:val="006064BC"/>
    <w:rsid w:val="00606834"/>
    <w:rsid w:val="00611260"/>
    <w:rsid w:val="0061176B"/>
    <w:rsid w:val="006119A5"/>
    <w:rsid w:val="00612D6C"/>
    <w:rsid w:val="006131B7"/>
    <w:rsid w:val="00613B37"/>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5F3"/>
    <w:rsid w:val="00667F61"/>
    <w:rsid w:val="006702F1"/>
    <w:rsid w:val="006711A6"/>
    <w:rsid w:val="00671AA7"/>
    <w:rsid w:val="006720A5"/>
    <w:rsid w:val="00672B87"/>
    <w:rsid w:val="00673460"/>
    <w:rsid w:val="00673E89"/>
    <w:rsid w:val="00675AFF"/>
    <w:rsid w:val="00676000"/>
    <w:rsid w:val="006779BB"/>
    <w:rsid w:val="00677FDB"/>
    <w:rsid w:val="006806B7"/>
    <w:rsid w:val="0068096E"/>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1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040"/>
    <w:rsid w:val="00751817"/>
    <w:rsid w:val="00751DF5"/>
    <w:rsid w:val="00751E99"/>
    <w:rsid w:val="00754668"/>
    <w:rsid w:val="007556B6"/>
    <w:rsid w:val="007558B3"/>
    <w:rsid w:val="00755D11"/>
    <w:rsid w:val="00755EA6"/>
    <w:rsid w:val="00757633"/>
    <w:rsid w:val="00760418"/>
    <w:rsid w:val="007604D8"/>
    <w:rsid w:val="0076159E"/>
    <w:rsid w:val="00761CC9"/>
    <w:rsid w:val="007656BA"/>
    <w:rsid w:val="007660A9"/>
    <w:rsid w:val="0076741A"/>
    <w:rsid w:val="007676AE"/>
    <w:rsid w:val="007679AA"/>
    <w:rsid w:val="00767F7C"/>
    <w:rsid w:val="007716C7"/>
    <w:rsid w:val="00771909"/>
    <w:rsid w:val="0077318D"/>
    <w:rsid w:val="007731C3"/>
    <w:rsid w:val="00774468"/>
    <w:rsid w:val="00774D00"/>
    <w:rsid w:val="00774E9F"/>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955"/>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2EF"/>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75C"/>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B03"/>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C83"/>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286"/>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7A8"/>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08A"/>
    <w:rsid w:val="00A6234D"/>
    <w:rsid w:val="00A62AAE"/>
    <w:rsid w:val="00A639C6"/>
    <w:rsid w:val="00A6692D"/>
    <w:rsid w:val="00A66A47"/>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81F"/>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C44"/>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591"/>
    <w:rsid w:val="00B30BC9"/>
    <w:rsid w:val="00B30ED2"/>
    <w:rsid w:val="00B3163A"/>
    <w:rsid w:val="00B328E0"/>
    <w:rsid w:val="00B35091"/>
    <w:rsid w:val="00B366BC"/>
    <w:rsid w:val="00B37A37"/>
    <w:rsid w:val="00B4002E"/>
    <w:rsid w:val="00B40182"/>
    <w:rsid w:val="00B40200"/>
    <w:rsid w:val="00B404F6"/>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74E"/>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916"/>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C26"/>
    <w:rsid w:val="00C040BC"/>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CD3"/>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2E8C"/>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87A"/>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8B9"/>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64C"/>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4908"/>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A3B"/>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FE9"/>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472"/>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75A"/>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46DB9E"/>
  <w15:chartTrackingRefBased/>
  <w15:docId w15:val="{8D024A77-BFCC-4861-924E-88431469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10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9D75F01D634BDE9278BD80F6717C79"/>
        <w:category>
          <w:name w:val="Allmänt"/>
          <w:gallery w:val="placeholder"/>
        </w:category>
        <w:types>
          <w:type w:val="bbPlcHdr"/>
        </w:types>
        <w:behaviors>
          <w:behavior w:val="content"/>
        </w:behaviors>
        <w:guid w:val="{B09AE14E-0F5F-4304-AADD-39CCD2898A37}"/>
      </w:docPartPr>
      <w:docPartBody>
        <w:p w:rsidR="00D768F9" w:rsidRDefault="00D768F9">
          <w:pPr>
            <w:pStyle w:val="379D75F01D634BDE9278BD80F6717C79"/>
          </w:pPr>
          <w:r w:rsidRPr="005A0A93">
            <w:rPr>
              <w:rStyle w:val="Platshllartext"/>
            </w:rPr>
            <w:t>Förslag till riksdagsbeslut</w:t>
          </w:r>
        </w:p>
      </w:docPartBody>
    </w:docPart>
    <w:docPart>
      <w:docPartPr>
        <w:name w:val="2B97E4C0DF504B3B919F2E69665BA67C"/>
        <w:category>
          <w:name w:val="Allmänt"/>
          <w:gallery w:val="placeholder"/>
        </w:category>
        <w:types>
          <w:type w:val="bbPlcHdr"/>
        </w:types>
        <w:behaviors>
          <w:behavior w:val="content"/>
        </w:behaviors>
        <w:guid w:val="{A4D345B0-9D70-43E9-8C01-C7E8FD4FF9FC}"/>
      </w:docPartPr>
      <w:docPartBody>
        <w:p w:rsidR="00D768F9" w:rsidRDefault="00D768F9">
          <w:pPr>
            <w:pStyle w:val="2B97E4C0DF504B3B919F2E69665BA67C"/>
          </w:pPr>
          <w:r w:rsidRPr="005A0A93">
            <w:rPr>
              <w:rStyle w:val="Platshllartext"/>
            </w:rPr>
            <w:t>Motivering</w:t>
          </w:r>
        </w:p>
      </w:docPartBody>
    </w:docPart>
    <w:docPart>
      <w:docPartPr>
        <w:name w:val="945CD4386B3842F0B8640906F01BE053"/>
        <w:category>
          <w:name w:val="Allmänt"/>
          <w:gallery w:val="placeholder"/>
        </w:category>
        <w:types>
          <w:type w:val="bbPlcHdr"/>
        </w:types>
        <w:behaviors>
          <w:behavior w:val="content"/>
        </w:behaviors>
        <w:guid w:val="{C7D3FB0E-8588-41E4-A7F8-5C9D42FB034C}"/>
      </w:docPartPr>
      <w:docPartBody>
        <w:p w:rsidR="00D768F9" w:rsidRDefault="00D768F9">
          <w:pPr>
            <w:pStyle w:val="945CD4386B3842F0B8640906F01BE053"/>
          </w:pPr>
          <w:r w:rsidRPr="00490DAC">
            <w:rPr>
              <w:rStyle w:val="Platshllartext"/>
            </w:rPr>
            <w:t>Skriv ej här, motionärer infogas via panel!</w:t>
          </w:r>
        </w:p>
      </w:docPartBody>
    </w:docPart>
    <w:docPart>
      <w:docPartPr>
        <w:name w:val="2D02A151891E4F99928A7E6428239B18"/>
        <w:category>
          <w:name w:val="Allmänt"/>
          <w:gallery w:val="placeholder"/>
        </w:category>
        <w:types>
          <w:type w:val="bbPlcHdr"/>
        </w:types>
        <w:behaviors>
          <w:behavior w:val="content"/>
        </w:behaviors>
        <w:guid w:val="{038B6546-4009-4CD8-9268-02D5E47F183A}"/>
      </w:docPartPr>
      <w:docPartBody>
        <w:p w:rsidR="00D768F9" w:rsidRDefault="00D768F9">
          <w:pPr>
            <w:pStyle w:val="2D02A151891E4F99928A7E6428239B18"/>
          </w:pPr>
          <w:r>
            <w:rPr>
              <w:rStyle w:val="Platshllartext"/>
            </w:rPr>
            <w:t xml:space="preserve"> </w:t>
          </w:r>
        </w:p>
      </w:docPartBody>
    </w:docPart>
    <w:docPart>
      <w:docPartPr>
        <w:name w:val="2D364252CEF1471B897C1247E7C87C08"/>
        <w:category>
          <w:name w:val="Allmänt"/>
          <w:gallery w:val="placeholder"/>
        </w:category>
        <w:types>
          <w:type w:val="bbPlcHdr"/>
        </w:types>
        <w:behaviors>
          <w:behavior w:val="content"/>
        </w:behaviors>
        <w:guid w:val="{08CEB4E1-0CE4-4A48-9093-0316E15574B4}"/>
      </w:docPartPr>
      <w:docPartBody>
        <w:p w:rsidR="00D768F9" w:rsidRDefault="00D768F9">
          <w:pPr>
            <w:pStyle w:val="2D364252CEF1471B897C1247E7C87C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F9"/>
    <w:rsid w:val="00226F02"/>
    <w:rsid w:val="002B7A2E"/>
    <w:rsid w:val="009A3AC6"/>
    <w:rsid w:val="00AA4740"/>
    <w:rsid w:val="00D76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9D75F01D634BDE9278BD80F6717C79">
    <w:name w:val="379D75F01D634BDE9278BD80F6717C79"/>
  </w:style>
  <w:style w:type="paragraph" w:customStyle="1" w:styleId="036952705DCD447EB3FC78AF6AF7B75B">
    <w:name w:val="036952705DCD447EB3FC78AF6AF7B75B"/>
  </w:style>
  <w:style w:type="paragraph" w:customStyle="1" w:styleId="8942ED7C0FB44B978B077274C4794137">
    <w:name w:val="8942ED7C0FB44B978B077274C4794137"/>
  </w:style>
  <w:style w:type="paragraph" w:customStyle="1" w:styleId="2B97E4C0DF504B3B919F2E69665BA67C">
    <w:name w:val="2B97E4C0DF504B3B919F2E69665BA67C"/>
  </w:style>
  <w:style w:type="paragraph" w:customStyle="1" w:styleId="945CD4386B3842F0B8640906F01BE053">
    <w:name w:val="945CD4386B3842F0B8640906F01BE053"/>
  </w:style>
  <w:style w:type="paragraph" w:customStyle="1" w:styleId="2D02A151891E4F99928A7E6428239B18">
    <w:name w:val="2D02A151891E4F99928A7E6428239B18"/>
  </w:style>
  <w:style w:type="paragraph" w:customStyle="1" w:styleId="2D364252CEF1471B897C1247E7C87C08">
    <w:name w:val="2D364252CEF1471B897C1247E7C8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73EBB-516B-44D3-BBE8-9B0C9137B819}"/>
</file>

<file path=customXml/itemProps2.xml><?xml version="1.0" encoding="utf-8"?>
<ds:datastoreItem xmlns:ds="http://schemas.openxmlformats.org/officeDocument/2006/customXml" ds:itemID="{C80C9969-958E-4A87-82D1-8ACC4DA51FA2}"/>
</file>

<file path=customXml/itemProps3.xml><?xml version="1.0" encoding="utf-8"?>
<ds:datastoreItem xmlns:ds="http://schemas.openxmlformats.org/officeDocument/2006/customXml" ds:itemID="{740703AE-FDF5-4060-A0A0-9DF46FE07453}"/>
</file>

<file path=docProps/app.xml><?xml version="1.0" encoding="utf-8"?>
<Properties xmlns="http://schemas.openxmlformats.org/officeDocument/2006/extended-properties" xmlns:vt="http://schemas.openxmlformats.org/officeDocument/2006/docPropsVTypes">
  <Template>Normal</Template>
  <TotalTime>42</TotalTime>
  <Pages>4</Pages>
  <Words>1223</Words>
  <Characters>7671</Characters>
  <Application>Microsoft Office Word</Application>
  <DocSecurity>0</DocSecurity>
  <Lines>123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 med anledning av regeringens skrivelse 2017 18 65 Riksrevisionens rapport om överutnyttjande av tandvårdsstödet till följd av överbehandling</vt:lpstr>
      <vt:lpstr>
      </vt:lpstr>
    </vt:vector>
  </TitlesOfParts>
  <Company>Sveriges riksdag</Company>
  <LinksUpToDate>false</LinksUpToDate>
  <CharactersWithSpaces>8860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