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31E5BA0"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5826E7">
              <w:rPr>
                <w:b/>
                <w:sz w:val="22"/>
                <w:szCs w:val="22"/>
              </w:rPr>
              <w:t>43</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3C3D10A8" w:rsidR="00177FF8" w:rsidRPr="00B40F4D" w:rsidRDefault="00626575" w:rsidP="00FB0559">
            <w:pPr>
              <w:rPr>
                <w:sz w:val="22"/>
                <w:szCs w:val="22"/>
              </w:rPr>
            </w:pPr>
            <w:r w:rsidRPr="00B40F4D">
              <w:rPr>
                <w:sz w:val="22"/>
                <w:szCs w:val="22"/>
              </w:rPr>
              <w:t>20</w:t>
            </w:r>
            <w:r w:rsidR="00CB71B9">
              <w:rPr>
                <w:sz w:val="22"/>
                <w:szCs w:val="22"/>
              </w:rPr>
              <w:t>2</w:t>
            </w:r>
            <w:r w:rsidR="00A25410">
              <w:rPr>
                <w:sz w:val="22"/>
                <w:szCs w:val="22"/>
              </w:rPr>
              <w:t>5</w:t>
            </w:r>
            <w:r w:rsidR="008C2D5B" w:rsidRPr="00B40F4D">
              <w:rPr>
                <w:sz w:val="22"/>
                <w:szCs w:val="22"/>
              </w:rPr>
              <w:t>-</w:t>
            </w:r>
            <w:r w:rsidR="00A25410">
              <w:rPr>
                <w:sz w:val="22"/>
                <w:szCs w:val="22"/>
              </w:rPr>
              <w:t>0</w:t>
            </w:r>
            <w:r w:rsidR="00D83818">
              <w:rPr>
                <w:sz w:val="22"/>
                <w:szCs w:val="22"/>
              </w:rPr>
              <w:t>6</w:t>
            </w:r>
            <w:r w:rsidR="00C26F83">
              <w:rPr>
                <w:sz w:val="22"/>
                <w:szCs w:val="22"/>
              </w:rPr>
              <w:t>-</w:t>
            </w:r>
            <w:r w:rsidR="005826E7">
              <w:rPr>
                <w:sz w:val="22"/>
                <w:szCs w:val="22"/>
              </w:rPr>
              <w:t>17</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699F425" w:rsidR="00177FF8" w:rsidRPr="00B40F4D" w:rsidRDefault="0003552F" w:rsidP="00231475">
            <w:pPr>
              <w:rPr>
                <w:sz w:val="22"/>
                <w:szCs w:val="22"/>
              </w:rPr>
            </w:pPr>
            <w:r w:rsidRPr="009334A9">
              <w:rPr>
                <w:sz w:val="22"/>
                <w:szCs w:val="22"/>
              </w:rPr>
              <w:t>1</w:t>
            </w:r>
            <w:r w:rsidR="009334A9">
              <w:rPr>
                <w:sz w:val="22"/>
                <w:szCs w:val="22"/>
              </w:rPr>
              <w:t>1</w:t>
            </w:r>
            <w:r w:rsidR="00B54A57" w:rsidRPr="009334A9">
              <w:rPr>
                <w:sz w:val="22"/>
                <w:szCs w:val="22"/>
              </w:rPr>
              <w:t>.</w:t>
            </w:r>
            <w:r w:rsidR="006C66B9" w:rsidRPr="009334A9">
              <w:rPr>
                <w:sz w:val="22"/>
                <w:szCs w:val="22"/>
              </w:rPr>
              <w:t>0</w:t>
            </w:r>
            <w:r w:rsidR="00B5691D" w:rsidRPr="009334A9">
              <w:rPr>
                <w:sz w:val="22"/>
                <w:szCs w:val="22"/>
              </w:rPr>
              <w:t>0</w:t>
            </w:r>
            <w:r w:rsidR="00762508" w:rsidRPr="009334A9">
              <w:rPr>
                <w:sz w:val="22"/>
                <w:szCs w:val="22"/>
              </w:rPr>
              <w:t xml:space="preserve"> </w:t>
            </w:r>
            <w:r w:rsidR="00DA2753" w:rsidRPr="009334A9">
              <w:rPr>
                <w:sz w:val="22"/>
                <w:szCs w:val="22"/>
              </w:rPr>
              <w:t>–</w:t>
            </w:r>
            <w:r w:rsidR="00DA2753" w:rsidRPr="00B40F4D">
              <w:rPr>
                <w:sz w:val="22"/>
                <w:szCs w:val="22"/>
              </w:rPr>
              <w:t xml:space="preserve"> </w:t>
            </w:r>
            <w:r w:rsidR="00BA1AE1">
              <w:rPr>
                <w:sz w:val="22"/>
                <w:szCs w:val="22"/>
              </w:rPr>
              <w:t>12.20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4A7C15"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25AE0" w:rsidRPr="004A7C15" w14:paraId="1ED62210" w14:textId="77777777" w:rsidTr="00165402">
        <w:tc>
          <w:tcPr>
            <w:tcW w:w="567" w:type="dxa"/>
          </w:tcPr>
          <w:p w14:paraId="75B7F14D" w14:textId="47A69D14" w:rsidR="00125AE0" w:rsidRDefault="00125AE0" w:rsidP="00C5706E">
            <w:pPr>
              <w:tabs>
                <w:tab w:val="left" w:pos="1701"/>
              </w:tabs>
              <w:rPr>
                <w:b/>
                <w:snapToGrid w:val="0"/>
                <w:sz w:val="22"/>
                <w:szCs w:val="22"/>
              </w:rPr>
            </w:pPr>
            <w:r>
              <w:rPr>
                <w:b/>
                <w:snapToGrid w:val="0"/>
                <w:sz w:val="22"/>
                <w:szCs w:val="22"/>
              </w:rPr>
              <w:t xml:space="preserve">§ </w:t>
            </w:r>
            <w:r w:rsidR="00CB00A2">
              <w:rPr>
                <w:b/>
                <w:snapToGrid w:val="0"/>
                <w:sz w:val="22"/>
                <w:szCs w:val="22"/>
              </w:rPr>
              <w:t>1</w:t>
            </w:r>
          </w:p>
        </w:tc>
        <w:tc>
          <w:tcPr>
            <w:tcW w:w="6946" w:type="dxa"/>
            <w:gridSpan w:val="2"/>
          </w:tcPr>
          <w:p w14:paraId="17E5814D" w14:textId="77777777" w:rsidR="00125AE0" w:rsidRPr="001F6BC3" w:rsidRDefault="00125AE0" w:rsidP="00125AE0">
            <w:pPr>
              <w:tabs>
                <w:tab w:val="left" w:pos="1701"/>
              </w:tabs>
              <w:rPr>
                <w:b/>
                <w:snapToGrid w:val="0"/>
                <w:sz w:val="22"/>
                <w:szCs w:val="22"/>
              </w:rPr>
            </w:pPr>
            <w:r w:rsidRPr="001F6BC3">
              <w:rPr>
                <w:b/>
                <w:snapToGrid w:val="0"/>
                <w:sz w:val="22"/>
                <w:szCs w:val="22"/>
              </w:rPr>
              <w:t>Jordbruks- och fiskeråd den 23–24 juni 2025</w:t>
            </w:r>
          </w:p>
          <w:p w14:paraId="5A9E375F" w14:textId="77777777" w:rsidR="00125AE0" w:rsidRDefault="00125AE0" w:rsidP="00125AE0">
            <w:pPr>
              <w:tabs>
                <w:tab w:val="left" w:pos="1701"/>
              </w:tabs>
              <w:rPr>
                <w:bCs/>
                <w:sz w:val="22"/>
                <w:szCs w:val="22"/>
              </w:rPr>
            </w:pPr>
          </w:p>
          <w:p w14:paraId="02BF0D89" w14:textId="77777777" w:rsidR="00125AE0" w:rsidRDefault="00125AE0" w:rsidP="00125AE0">
            <w:pPr>
              <w:tabs>
                <w:tab w:val="left" w:pos="1701"/>
              </w:tabs>
              <w:rPr>
                <w:sz w:val="22"/>
                <w:szCs w:val="22"/>
              </w:rPr>
            </w:pPr>
            <w:r>
              <w:rPr>
                <w:color w:val="000000"/>
                <w:sz w:val="22"/>
                <w:szCs w:val="22"/>
              </w:rPr>
              <w:t>Statssekreterare Daniel Liljeberg</w:t>
            </w:r>
            <w:r w:rsidRPr="00C62E5A">
              <w:rPr>
                <w:bCs/>
                <w:sz w:val="22"/>
                <w:szCs w:val="22"/>
              </w:rPr>
              <w:t>, biträdd av medarbetare vid</w:t>
            </w:r>
            <w:r w:rsidRPr="00C62E5A">
              <w:rPr>
                <w:bCs/>
                <w:sz w:val="22"/>
                <w:szCs w:val="22"/>
              </w:rPr>
              <w:br/>
              <w:t>Landsbygds- och infrastrukturdepartementet, l</w:t>
            </w:r>
            <w:r w:rsidRPr="00C62E5A">
              <w:rPr>
                <w:sz w:val="22"/>
                <w:szCs w:val="22"/>
              </w:rPr>
              <w:t xml:space="preserve">ämnade information inför Jordbruks- och fiskerådet den </w:t>
            </w:r>
            <w:r>
              <w:rPr>
                <w:sz w:val="22"/>
                <w:szCs w:val="22"/>
              </w:rPr>
              <w:t>23–24 juni</w:t>
            </w:r>
            <w:r w:rsidRPr="00C62E5A">
              <w:rPr>
                <w:sz w:val="22"/>
                <w:szCs w:val="22"/>
              </w:rPr>
              <w:t xml:space="preserve"> 2025.</w:t>
            </w:r>
          </w:p>
          <w:p w14:paraId="2CB109EA" w14:textId="77777777" w:rsidR="00125AE0" w:rsidRPr="001F6BC3" w:rsidRDefault="00125AE0" w:rsidP="001F6BC3">
            <w:pPr>
              <w:tabs>
                <w:tab w:val="left" w:pos="1701"/>
              </w:tabs>
              <w:rPr>
                <w:b/>
                <w:snapToGrid w:val="0"/>
                <w:sz w:val="22"/>
                <w:szCs w:val="22"/>
              </w:rPr>
            </w:pPr>
          </w:p>
        </w:tc>
      </w:tr>
      <w:tr w:rsidR="00CB00A2" w:rsidRPr="004A7C15" w14:paraId="714C1003" w14:textId="77777777" w:rsidTr="00165402">
        <w:tc>
          <w:tcPr>
            <w:tcW w:w="567" w:type="dxa"/>
          </w:tcPr>
          <w:p w14:paraId="2AE0433E" w14:textId="3C8AFF90" w:rsidR="00CB00A2" w:rsidRDefault="00CB00A2" w:rsidP="00C5706E">
            <w:pPr>
              <w:tabs>
                <w:tab w:val="left" w:pos="1701"/>
              </w:tabs>
              <w:rPr>
                <w:b/>
                <w:snapToGrid w:val="0"/>
                <w:sz w:val="22"/>
                <w:szCs w:val="22"/>
              </w:rPr>
            </w:pPr>
            <w:r>
              <w:rPr>
                <w:b/>
                <w:snapToGrid w:val="0"/>
                <w:sz w:val="22"/>
                <w:szCs w:val="22"/>
              </w:rPr>
              <w:t>§ 2</w:t>
            </w:r>
          </w:p>
        </w:tc>
        <w:tc>
          <w:tcPr>
            <w:tcW w:w="6946" w:type="dxa"/>
            <w:gridSpan w:val="2"/>
          </w:tcPr>
          <w:p w14:paraId="53A5F09F" w14:textId="77777777" w:rsidR="001C7A2E" w:rsidRPr="00BF4A10" w:rsidRDefault="001C7A2E" w:rsidP="001C7A2E">
            <w:pPr>
              <w:rPr>
                <w:snapToGrid w:val="0"/>
                <w:sz w:val="22"/>
                <w:szCs w:val="22"/>
              </w:rPr>
            </w:pPr>
            <w:r w:rsidRPr="00441AD2">
              <w:rPr>
                <w:b/>
                <w:snapToGrid w:val="0"/>
                <w:sz w:val="22"/>
                <w:szCs w:val="22"/>
              </w:rPr>
              <w:t xml:space="preserve">Förslag till Europaparlamentets och rådets förordning om ändring av förordning (EU) 2021/2115 vad gäller systemet med grundvillkor, interventionstyper i form av direktstöd, interventionstyper i vissa sektorer och för landsbygdsutveckling och årliga prestationsrapporter samt av förordning (EU) 2021/2116 vad gäller dataförvaltning och </w:t>
            </w:r>
            <w:proofErr w:type="spellStart"/>
            <w:r w:rsidRPr="00441AD2">
              <w:rPr>
                <w:b/>
                <w:snapToGrid w:val="0"/>
                <w:sz w:val="22"/>
                <w:szCs w:val="22"/>
              </w:rPr>
              <w:t>interoperabilitet</w:t>
            </w:r>
            <w:proofErr w:type="spellEnd"/>
            <w:r w:rsidRPr="00441AD2">
              <w:rPr>
                <w:b/>
                <w:snapToGrid w:val="0"/>
                <w:sz w:val="22"/>
                <w:szCs w:val="22"/>
              </w:rPr>
              <w:t>, innehållande av utbetalningar, årligt prestationsavslut och kontroller och sanktioner</w:t>
            </w:r>
            <w:r w:rsidRPr="00BF4A10">
              <w:rPr>
                <w:b/>
                <w:sz w:val="22"/>
                <w:szCs w:val="22"/>
              </w:rPr>
              <w:br/>
            </w:r>
          </w:p>
          <w:p w14:paraId="200CE3AC" w14:textId="77777777" w:rsidR="001C7A2E" w:rsidRPr="00441AD2" w:rsidRDefault="001C7A2E" w:rsidP="001C7A2E">
            <w:pPr>
              <w:rPr>
                <w:sz w:val="22"/>
                <w:szCs w:val="22"/>
              </w:rPr>
            </w:pPr>
            <w:r w:rsidRPr="00441AD2">
              <w:rPr>
                <w:sz w:val="22"/>
                <w:szCs w:val="22"/>
              </w:rPr>
              <w:t>Utskottet överlade med statssekreterare Daniel Liljeberg, biträdd av medarbetare från Landsbygds- och infrastrukturdepartementet.</w:t>
            </w:r>
          </w:p>
          <w:p w14:paraId="29870425" w14:textId="77777777" w:rsidR="001C7A2E" w:rsidRPr="00441AD2" w:rsidRDefault="001C7A2E" w:rsidP="001C7A2E">
            <w:pPr>
              <w:rPr>
                <w:sz w:val="22"/>
                <w:szCs w:val="22"/>
              </w:rPr>
            </w:pPr>
            <w:r w:rsidRPr="00441AD2">
              <w:rPr>
                <w:sz w:val="22"/>
                <w:szCs w:val="22"/>
              </w:rPr>
              <w:t xml:space="preserve">  </w:t>
            </w:r>
          </w:p>
          <w:p w14:paraId="3BB6BDEF" w14:textId="77777777" w:rsidR="001C7A2E" w:rsidRPr="00441AD2" w:rsidRDefault="001C7A2E" w:rsidP="001C7A2E">
            <w:pPr>
              <w:widowControl/>
              <w:tabs>
                <w:tab w:val="left" w:pos="284"/>
              </w:tabs>
              <w:rPr>
                <w:sz w:val="22"/>
                <w:szCs w:val="22"/>
              </w:rPr>
            </w:pPr>
            <w:r w:rsidRPr="00441AD2">
              <w:rPr>
                <w:sz w:val="22"/>
                <w:szCs w:val="22"/>
              </w:rPr>
              <w:t xml:space="preserve">Underlaget utgjordes av kommissionens förslag </w:t>
            </w:r>
            <w:proofErr w:type="gramStart"/>
            <w:r w:rsidRPr="00441AD2">
              <w:rPr>
                <w:sz w:val="22"/>
                <w:szCs w:val="22"/>
              </w:rPr>
              <w:t>COM(</w:t>
            </w:r>
            <w:proofErr w:type="gramEnd"/>
            <w:r w:rsidRPr="00441AD2">
              <w:rPr>
                <w:sz w:val="22"/>
                <w:szCs w:val="22"/>
              </w:rPr>
              <w:t xml:space="preserve">2025) 236,  Regeringskansliets överläggningspromemoria (dnr </w:t>
            </w:r>
            <w:bookmarkStart w:id="0" w:name="_Hlk64985663"/>
            <w:r w:rsidRPr="00BF4A10">
              <w:rPr>
                <w:sz w:val="22"/>
                <w:szCs w:val="22"/>
              </w:rPr>
              <w:t>1790-2024/</w:t>
            </w:r>
            <w:r w:rsidRPr="00265750">
              <w:rPr>
                <w:sz w:val="22"/>
                <w:szCs w:val="22"/>
              </w:rPr>
              <w:t>2</w:t>
            </w:r>
            <w:bookmarkEnd w:id="0"/>
            <w:r w:rsidRPr="00265750">
              <w:rPr>
                <w:sz w:val="22"/>
                <w:szCs w:val="22"/>
              </w:rPr>
              <w:t>5</w:t>
            </w:r>
            <w:r w:rsidRPr="00441AD2">
              <w:rPr>
                <w:sz w:val="22"/>
                <w:szCs w:val="22"/>
              </w:rPr>
              <w:t>) och regeringens (Landsbygds- och infrastrukturdepartementet) kommenterade dagordning.</w:t>
            </w:r>
          </w:p>
          <w:p w14:paraId="6CA14008" w14:textId="77777777" w:rsidR="001C7A2E" w:rsidRPr="00441AD2" w:rsidRDefault="001C7A2E" w:rsidP="001C7A2E">
            <w:pPr>
              <w:widowControl/>
              <w:autoSpaceDE w:val="0"/>
              <w:autoSpaceDN w:val="0"/>
              <w:adjustRightInd w:val="0"/>
              <w:rPr>
                <w:sz w:val="22"/>
                <w:szCs w:val="22"/>
              </w:rPr>
            </w:pPr>
          </w:p>
          <w:p w14:paraId="01225451" w14:textId="77777777" w:rsidR="001C7A2E" w:rsidRPr="00441AD2" w:rsidRDefault="001C7A2E" w:rsidP="001C7A2E">
            <w:pPr>
              <w:widowControl/>
              <w:autoSpaceDE w:val="0"/>
              <w:autoSpaceDN w:val="0"/>
              <w:adjustRightInd w:val="0"/>
              <w:rPr>
                <w:sz w:val="22"/>
                <w:szCs w:val="22"/>
              </w:rPr>
            </w:pPr>
            <w:r w:rsidRPr="00441AD2">
              <w:rPr>
                <w:sz w:val="22"/>
                <w:szCs w:val="22"/>
              </w:rPr>
              <w:t>Statssekreterare Daniel Liljeberg redogjorde för regeringens ståndpunkt (bilaga 2).</w:t>
            </w:r>
            <w:r w:rsidRPr="00441AD2">
              <w:rPr>
                <w:sz w:val="22"/>
                <w:szCs w:val="22"/>
              </w:rPr>
              <w:br/>
            </w:r>
          </w:p>
          <w:p w14:paraId="1D096000" w14:textId="77777777" w:rsidR="001C7A2E" w:rsidRPr="00441AD2" w:rsidRDefault="001C7A2E" w:rsidP="001C7A2E">
            <w:pPr>
              <w:autoSpaceDE w:val="0"/>
              <w:autoSpaceDN w:val="0"/>
              <w:rPr>
                <w:sz w:val="22"/>
                <w:szCs w:val="22"/>
              </w:rPr>
            </w:pPr>
            <w:r w:rsidRPr="00441AD2">
              <w:rPr>
                <w:sz w:val="22"/>
                <w:szCs w:val="22"/>
              </w:rPr>
              <w:t>Ordförande konstaterade att det fanns stöd för regeringens ståndpunkt.</w:t>
            </w:r>
          </w:p>
          <w:p w14:paraId="0BB498CD" w14:textId="77777777" w:rsidR="001C7A2E" w:rsidRPr="00441AD2" w:rsidRDefault="001C7A2E" w:rsidP="001C7A2E">
            <w:pPr>
              <w:widowControl/>
              <w:autoSpaceDE w:val="0"/>
              <w:autoSpaceDN w:val="0"/>
              <w:adjustRightInd w:val="0"/>
              <w:rPr>
                <w:sz w:val="22"/>
                <w:szCs w:val="22"/>
              </w:rPr>
            </w:pPr>
          </w:p>
          <w:p w14:paraId="2A56A350" w14:textId="77777777" w:rsidR="001C7A2E" w:rsidRPr="00441AD2" w:rsidRDefault="001C7A2E" w:rsidP="001C7A2E">
            <w:r w:rsidRPr="00441AD2">
              <w:rPr>
                <w:sz w:val="22"/>
                <w:szCs w:val="22"/>
              </w:rPr>
              <w:t>S-, V- och MP-ledamöterna anmälde de avvikande ståndpunkter som framgår av bilaga 3.</w:t>
            </w:r>
          </w:p>
          <w:p w14:paraId="58C4040C" w14:textId="77777777" w:rsidR="001C7A2E" w:rsidRPr="000E4AFC" w:rsidRDefault="001C7A2E" w:rsidP="001C7A2E">
            <w:pPr>
              <w:autoSpaceDE w:val="0"/>
              <w:autoSpaceDN w:val="0"/>
              <w:rPr>
                <w:sz w:val="22"/>
                <w:szCs w:val="22"/>
              </w:rPr>
            </w:pPr>
          </w:p>
          <w:p w14:paraId="72DC2998" w14:textId="77777777" w:rsidR="001C7A2E" w:rsidRPr="00441AD2" w:rsidRDefault="001C7A2E" w:rsidP="001C7A2E">
            <w:pPr>
              <w:rPr>
                <w:sz w:val="22"/>
                <w:szCs w:val="22"/>
              </w:rPr>
            </w:pPr>
            <w:r w:rsidRPr="00441AD2">
              <w:rPr>
                <w:sz w:val="22"/>
                <w:szCs w:val="22"/>
              </w:rPr>
              <w:t>Denna paragraf förklarades omedelbart justerad.</w:t>
            </w:r>
          </w:p>
          <w:p w14:paraId="78806914" w14:textId="77777777" w:rsidR="00CB00A2" w:rsidRPr="001F6BC3" w:rsidRDefault="00CB00A2" w:rsidP="00125AE0">
            <w:pPr>
              <w:tabs>
                <w:tab w:val="left" w:pos="1701"/>
              </w:tabs>
              <w:rPr>
                <w:b/>
                <w:snapToGrid w:val="0"/>
                <w:sz w:val="22"/>
                <w:szCs w:val="22"/>
              </w:rPr>
            </w:pPr>
          </w:p>
        </w:tc>
      </w:tr>
      <w:tr w:rsidR="00987069" w:rsidRPr="004A7C15" w14:paraId="376DFF00" w14:textId="77777777" w:rsidTr="00165402">
        <w:tc>
          <w:tcPr>
            <w:tcW w:w="567" w:type="dxa"/>
          </w:tcPr>
          <w:p w14:paraId="46A66E6E" w14:textId="3B151B36" w:rsidR="00987069" w:rsidRPr="004A7C15" w:rsidRDefault="00B16183" w:rsidP="00C5706E">
            <w:pPr>
              <w:tabs>
                <w:tab w:val="left" w:pos="1701"/>
              </w:tabs>
              <w:rPr>
                <w:b/>
                <w:snapToGrid w:val="0"/>
                <w:sz w:val="22"/>
                <w:szCs w:val="22"/>
              </w:rPr>
            </w:pPr>
            <w:r w:rsidRPr="004A7C15">
              <w:rPr>
                <w:b/>
                <w:snapToGrid w:val="0"/>
                <w:sz w:val="22"/>
                <w:szCs w:val="22"/>
              </w:rPr>
              <w:t>§ 3</w:t>
            </w:r>
          </w:p>
        </w:tc>
        <w:tc>
          <w:tcPr>
            <w:tcW w:w="6946" w:type="dxa"/>
            <w:gridSpan w:val="2"/>
          </w:tcPr>
          <w:p w14:paraId="49878828" w14:textId="77777777" w:rsidR="009334A9" w:rsidRDefault="00B33AFA" w:rsidP="009334A9">
            <w:pPr>
              <w:tabs>
                <w:tab w:val="left" w:pos="1701"/>
              </w:tabs>
              <w:rPr>
                <w:b/>
                <w:snapToGrid w:val="0"/>
                <w:sz w:val="22"/>
                <w:szCs w:val="22"/>
              </w:rPr>
            </w:pPr>
            <w:r w:rsidRPr="001F6BC3">
              <w:rPr>
                <w:b/>
                <w:snapToGrid w:val="0"/>
                <w:sz w:val="22"/>
                <w:szCs w:val="22"/>
              </w:rPr>
              <w:t>Justering av protokoll</w:t>
            </w:r>
            <w:r w:rsidR="002B61A5">
              <w:rPr>
                <w:b/>
                <w:snapToGrid w:val="0"/>
                <w:sz w:val="22"/>
                <w:szCs w:val="22"/>
              </w:rPr>
              <w:br/>
            </w:r>
            <w:r w:rsidR="002B61A5">
              <w:rPr>
                <w:b/>
                <w:snapToGrid w:val="0"/>
                <w:sz w:val="22"/>
                <w:szCs w:val="22"/>
              </w:rPr>
              <w:br/>
            </w:r>
            <w:r w:rsidR="002B61A5" w:rsidRPr="00441AD2">
              <w:rPr>
                <w:sz w:val="22"/>
                <w:szCs w:val="22"/>
              </w:rPr>
              <w:t xml:space="preserve">Utskottet justerade protokoll 2024/25:41 och </w:t>
            </w:r>
            <w:bookmarkStart w:id="1" w:name="_Hlk200618021"/>
            <w:r w:rsidR="002B61A5" w:rsidRPr="00441AD2">
              <w:rPr>
                <w:sz w:val="22"/>
                <w:szCs w:val="22"/>
              </w:rPr>
              <w:t>2024/25:42</w:t>
            </w:r>
            <w:bookmarkEnd w:id="1"/>
            <w:r w:rsidR="002B61A5" w:rsidRPr="00441AD2">
              <w:rPr>
                <w:sz w:val="22"/>
                <w:szCs w:val="22"/>
              </w:rPr>
              <w:t>.</w:t>
            </w:r>
            <w:r w:rsidR="002B61A5">
              <w:rPr>
                <w:b/>
                <w:snapToGrid w:val="0"/>
                <w:sz w:val="22"/>
                <w:szCs w:val="22"/>
              </w:rPr>
              <w:t xml:space="preserve"> </w:t>
            </w:r>
          </w:p>
          <w:p w14:paraId="79E73F22" w14:textId="7507DBC8" w:rsidR="002B61A5" w:rsidRPr="004A7C15" w:rsidRDefault="002B61A5" w:rsidP="009334A9">
            <w:pPr>
              <w:tabs>
                <w:tab w:val="left" w:pos="1701"/>
              </w:tabs>
              <w:rPr>
                <w:bCs/>
                <w:sz w:val="22"/>
                <w:szCs w:val="22"/>
              </w:rPr>
            </w:pPr>
          </w:p>
        </w:tc>
      </w:tr>
      <w:tr w:rsidR="002B61A5" w:rsidRPr="004A7C15" w14:paraId="306999EC" w14:textId="77777777" w:rsidTr="00165402">
        <w:tc>
          <w:tcPr>
            <w:tcW w:w="567" w:type="dxa"/>
          </w:tcPr>
          <w:p w14:paraId="5B78A3AB" w14:textId="47020963" w:rsidR="002B61A5" w:rsidRPr="004A7C15" w:rsidRDefault="002B61A5" w:rsidP="00C5706E">
            <w:pPr>
              <w:tabs>
                <w:tab w:val="left" w:pos="1701"/>
              </w:tabs>
              <w:rPr>
                <w:b/>
                <w:snapToGrid w:val="0"/>
                <w:sz w:val="22"/>
                <w:szCs w:val="22"/>
              </w:rPr>
            </w:pPr>
            <w:r>
              <w:rPr>
                <w:b/>
                <w:snapToGrid w:val="0"/>
                <w:sz w:val="22"/>
                <w:szCs w:val="22"/>
              </w:rPr>
              <w:t>§ 4</w:t>
            </w:r>
          </w:p>
        </w:tc>
        <w:tc>
          <w:tcPr>
            <w:tcW w:w="6946" w:type="dxa"/>
            <w:gridSpan w:val="2"/>
          </w:tcPr>
          <w:p w14:paraId="31F09C99" w14:textId="7A4D05E7" w:rsidR="002B61A5" w:rsidRPr="001F6BC3" w:rsidRDefault="002B61A5" w:rsidP="009334A9">
            <w:pPr>
              <w:tabs>
                <w:tab w:val="left" w:pos="1701"/>
              </w:tabs>
              <w:rPr>
                <w:b/>
                <w:snapToGrid w:val="0"/>
                <w:sz w:val="22"/>
                <w:szCs w:val="22"/>
              </w:rPr>
            </w:pPr>
            <w:r w:rsidRPr="001F6BC3">
              <w:rPr>
                <w:b/>
                <w:snapToGrid w:val="0"/>
                <w:sz w:val="22"/>
                <w:szCs w:val="22"/>
              </w:rPr>
              <w:t>Verkställbara tvångsmedel mot fartyg inom EU:s utsläppshandelssystem (MJU3)</w:t>
            </w:r>
          </w:p>
          <w:p w14:paraId="77E87A95" w14:textId="77777777" w:rsidR="002B61A5" w:rsidRDefault="002B61A5" w:rsidP="009334A9">
            <w:pPr>
              <w:tabs>
                <w:tab w:val="left" w:pos="1701"/>
              </w:tabs>
              <w:rPr>
                <w:bCs/>
                <w:sz w:val="22"/>
                <w:szCs w:val="22"/>
              </w:rPr>
            </w:pPr>
          </w:p>
          <w:p w14:paraId="0DD0D860" w14:textId="28571B9B" w:rsidR="002B61A5" w:rsidRPr="00441AD2" w:rsidRDefault="002B61A5" w:rsidP="009334A9">
            <w:pPr>
              <w:tabs>
                <w:tab w:val="left" w:pos="1701"/>
              </w:tabs>
              <w:rPr>
                <w:sz w:val="22"/>
                <w:szCs w:val="22"/>
              </w:rPr>
            </w:pPr>
            <w:r w:rsidRPr="00441AD2">
              <w:rPr>
                <w:sz w:val="22"/>
                <w:szCs w:val="22"/>
              </w:rPr>
              <w:t>Utskottet inledde beredningen av proposition 2024/25:</w:t>
            </w:r>
            <w:r w:rsidR="00C156F8" w:rsidRPr="00441AD2">
              <w:rPr>
                <w:sz w:val="22"/>
                <w:szCs w:val="22"/>
              </w:rPr>
              <w:t>174</w:t>
            </w:r>
            <w:r w:rsidR="00985920" w:rsidRPr="00441AD2">
              <w:rPr>
                <w:sz w:val="22"/>
                <w:szCs w:val="22"/>
              </w:rPr>
              <w:t xml:space="preserve">. </w:t>
            </w:r>
            <w:r w:rsidRPr="00441AD2">
              <w:rPr>
                <w:sz w:val="22"/>
                <w:szCs w:val="22"/>
              </w:rPr>
              <w:br/>
            </w:r>
            <w:r w:rsidRPr="00441AD2">
              <w:rPr>
                <w:sz w:val="22"/>
                <w:szCs w:val="22"/>
              </w:rPr>
              <w:br/>
              <w:t>Ärendet bordlades.</w:t>
            </w:r>
          </w:p>
          <w:p w14:paraId="3E2BC677" w14:textId="7491860F" w:rsidR="00BF0413" w:rsidRPr="004A7C15" w:rsidRDefault="00BF0413" w:rsidP="009334A9">
            <w:pPr>
              <w:tabs>
                <w:tab w:val="left" w:pos="1701"/>
              </w:tabs>
              <w:rPr>
                <w:b/>
                <w:snapToGrid w:val="0"/>
                <w:sz w:val="22"/>
                <w:szCs w:val="22"/>
              </w:rPr>
            </w:pPr>
          </w:p>
        </w:tc>
      </w:tr>
      <w:tr w:rsidR="00BF0413" w:rsidRPr="004A7C15" w14:paraId="3D9B1F19" w14:textId="77777777" w:rsidTr="00165402">
        <w:tc>
          <w:tcPr>
            <w:tcW w:w="567" w:type="dxa"/>
          </w:tcPr>
          <w:p w14:paraId="39FF3A8D" w14:textId="20299AF7" w:rsidR="00BF0413" w:rsidRDefault="00BF0413" w:rsidP="00C5706E">
            <w:pPr>
              <w:tabs>
                <w:tab w:val="left" w:pos="1701"/>
              </w:tabs>
              <w:rPr>
                <w:b/>
                <w:snapToGrid w:val="0"/>
                <w:sz w:val="22"/>
                <w:szCs w:val="22"/>
              </w:rPr>
            </w:pPr>
            <w:r>
              <w:rPr>
                <w:b/>
                <w:snapToGrid w:val="0"/>
                <w:sz w:val="22"/>
                <w:szCs w:val="22"/>
              </w:rPr>
              <w:t>§ 5</w:t>
            </w:r>
          </w:p>
        </w:tc>
        <w:tc>
          <w:tcPr>
            <w:tcW w:w="6946" w:type="dxa"/>
            <w:gridSpan w:val="2"/>
          </w:tcPr>
          <w:p w14:paraId="0304E0CC" w14:textId="7C760F15" w:rsidR="00BF0413" w:rsidRDefault="00BF0413" w:rsidP="00BF0413">
            <w:pPr>
              <w:widowControl/>
              <w:spacing w:after="200" w:line="280" w:lineRule="exact"/>
              <w:rPr>
                <w:b/>
                <w:snapToGrid w:val="0"/>
                <w:sz w:val="22"/>
                <w:szCs w:val="22"/>
              </w:rPr>
            </w:pPr>
            <w:r w:rsidRPr="00BF0413">
              <w:rPr>
                <w:b/>
                <w:snapToGrid w:val="0"/>
                <w:sz w:val="22"/>
                <w:szCs w:val="22"/>
              </w:rPr>
              <w:t>Inkomna EU-dokument</w:t>
            </w:r>
          </w:p>
          <w:p w14:paraId="0F760499" w14:textId="5D0BAA76" w:rsidR="00BF0413" w:rsidRPr="00422DC2" w:rsidRDefault="00BF0413" w:rsidP="00422DC2">
            <w:pPr>
              <w:widowControl/>
              <w:spacing w:after="200" w:line="280" w:lineRule="exact"/>
              <w:rPr>
                <w:snapToGrid w:val="0"/>
                <w:sz w:val="22"/>
                <w:szCs w:val="22"/>
              </w:rPr>
            </w:pPr>
            <w:r w:rsidRPr="00441AD2">
              <w:rPr>
                <w:sz w:val="22"/>
                <w:szCs w:val="22"/>
              </w:rPr>
              <w:t xml:space="preserve">En sammanställning över EU-dokument som inkommit under perioden          </w:t>
            </w:r>
            <w:r w:rsidR="00192F8D" w:rsidRPr="00441AD2">
              <w:rPr>
                <w:sz w:val="22"/>
                <w:szCs w:val="22"/>
              </w:rPr>
              <w:t>21 maj</w:t>
            </w:r>
            <w:r w:rsidRPr="00441AD2">
              <w:rPr>
                <w:sz w:val="22"/>
                <w:szCs w:val="22"/>
              </w:rPr>
              <w:t xml:space="preserve"> – </w:t>
            </w:r>
            <w:r w:rsidR="00192F8D" w:rsidRPr="00441AD2">
              <w:rPr>
                <w:sz w:val="22"/>
                <w:szCs w:val="22"/>
              </w:rPr>
              <w:t xml:space="preserve">12 juni </w:t>
            </w:r>
            <w:r w:rsidRPr="00441AD2">
              <w:rPr>
                <w:sz w:val="22"/>
                <w:szCs w:val="22"/>
              </w:rPr>
              <w:t>2025 anmäldes.</w:t>
            </w:r>
            <w:r w:rsidRPr="005D70C0">
              <w:rPr>
                <w:snapToGrid w:val="0"/>
                <w:sz w:val="22"/>
                <w:szCs w:val="22"/>
              </w:rPr>
              <w:t xml:space="preserve"> </w:t>
            </w:r>
          </w:p>
        </w:tc>
      </w:tr>
      <w:tr w:rsidR="001F6BC3" w:rsidRPr="004A7C15" w14:paraId="59473B4A" w14:textId="77777777" w:rsidTr="00165402">
        <w:tc>
          <w:tcPr>
            <w:tcW w:w="567" w:type="dxa"/>
          </w:tcPr>
          <w:p w14:paraId="5F88D588" w14:textId="51581544" w:rsidR="001F6BC3" w:rsidRPr="0038368D" w:rsidRDefault="001F6BC3" w:rsidP="00201DCD">
            <w:pPr>
              <w:tabs>
                <w:tab w:val="left" w:pos="1701"/>
              </w:tabs>
              <w:rPr>
                <w:b/>
                <w:snapToGrid w:val="0"/>
                <w:sz w:val="22"/>
                <w:szCs w:val="22"/>
              </w:rPr>
            </w:pPr>
            <w:r w:rsidRPr="0038368D">
              <w:rPr>
                <w:b/>
                <w:snapToGrid w:val="0"/>
                <w:sz w:val="22"/>
                <w:szCs w:val="22"/>
              </w:rPr>
              <w:lastRenderedPageBreak/>
              <w:t>§ 6</w:t>
            </w:r>
          </w:p>
        </w:tc>
        <w:tc>
          <w:tcPr>
            <w:tcW w:w="6946" w:type="dxa"/>
            <w:gridSpan w:val="2"/>
          </w:tcPr>
          <w:p w14:paraId="6F43E984" w14:textId="77777777" w:rsidR="001F6BC3" w:rsidRPr="0038368D" w:rsidRDefault="001F6BC3" w:rsidP="00201DCD">
            <w:pPr>
              <w:rPr>
                <w:b/>
                <w:snapToGrid w:val="0"/>
                <w:sz w:val="22"/>
                <w:szCs w:val="22"/>
              </w:rPr>
            </w:pPr>
            <w:r w:rsidRPr="0038368D">
              <w:rPr>
                <w:b/>
                <w:snapToGrid w:val="0"/>
                <w:sz w:val="22"/>
                <w:szCs w:val="22"/>
              </w:rPr>
              <w:t>Fråga om utskottsinitiativ om förslag till förbud mot utsläpp av metylenklorid</w:t>
            </w:r>
          </w:p>
          <w:p w14:paraId="2944B1D1" w14:textId="5C6F4E34" w:rsidR="001F6BC3" w:rsidRPr="0038368D" w:rsidRDefault="001F6BC3" w:rsidP="00201DCD">
            <w:pPr>
              <w:rPr>
                <w:b/>
                <w:szCs w:val="23"/>
              </w:rPr>
            </w:pPr>
          </w:p>
          <w:p w14:paraId="1CC43986" w14:textId="4F54A052" w:rsidR="001F6BC3" w:rsidRPr="0038368D" w:rsidRDefault="001F6BC3" w:rsidP="001F6BC3">
            <w:pPr>
              <w:rPr>
                <w:sz w:val="22"/>
                <w:szCs w:val="22"/>
              </w:rPr>
            </w:pPr>
            <w:r w:rsidRPr="0038368D">
              <w:rPr>
                <w:sz w:val="22"/>
                <w:szCs w:val="22"/>
              </w:rPr>
              <w:t xml:space="preserve">Utskottet fortsatte behandlingen av frågan om ett initiativ om förslag till förbud mot utsläpp av </w:t>
            </w:r>
            <w:proofErr w:type="spellStart"/>
            <w:r w:rsidRPr="0038368D">
              <w:rPr>
                <w:sz w:val="22"/>
                <w:szCs w:val="22"/>
              </w:rPr>
              <w:t>metylenklorid.</w:t>
            </w:r>
            <w:proofErr w:type="spellEnd"/>
            <w:r w:rsidRPr="0038368D">
              <w:rPr>
                <w:sz w:val="22"/>
                <w:szCs w:val="22"/>
              </w:rPr>
              <w:t xml:space="preserve"> </w:t>
            </w:r>
          </w:p>
          <w:p w14:paraId="3517FA95" w14:textId="0946DAFC" w:rsidR="001F6BC3" w:rsidRPr="007144F5" w:rsidRDefault="00546770" w:rsidP="001F6BC3">
            <w:pPr>
              <w:rPr>
                <w:sz w:val="22"/>
                <w:szCs w:val="22"/>
              </w:rPr>
            </w:pPr>
            <w:r w:rsidRPr="0038368D">
              <w:rPr>
                <w:sz w:val="22"/>
                <w:szCs w:val="22"/>
              </w:rPr>
              <w:br/>
            </w:r>
            <w:r w:rsidR="001F6BC3" w:rsidRPr="0038368D">
              <w:rPr>
                <w:sz w:val="22"/>
                <w:szCs w:val="22"/>
              </w:rPr>
              <w:t>Utskottet beslutade att inte ta något initiativ.</w:t>
            </w:r>
            <w:r w:rsidR="001F6BC3" w:rsidRPr="007144F5">
              <w:rPr>
                <w:sz w:val="22"/>
                <w:szCs w:val="22"/>
              </w:rPr>
              <w:t xml:space="preserve">  </w:t>
            </w:r>
          </w:p>
          <w:p w14:paraId="1F74A769" w14:textId="1B626836" w:rsidR="001F6BC3" w:rsidRPr="004A7C15" w:rsidRDefault="001F6BC3" w:rsidP="00201DCD">
            <w:pPr>
              <w:rPr>
                <w:rFonts w:eastAsiaTheme="minorHAnsi"/>
                <w:b/>
                <w:bCs/>
                <w:color w:val="000000"/>
                <w:sz w:val="22"/>
                <w:szCs w:val="22"/>
                <w:lang w:eastAsia="en-US"/>
              </w:rPr>
            </w:pPr>
          </w:p>
        </w:tc>
      </w:tr>
      <w:tr w:rsidR="00407924" w:rsidRPr="004A7C15" w14:paraId="0CB9B9A8" w14:textId="77777777" w:rsidTr="00165402">
        <w:tc>
          <w:tcPr>
            <w:tcW w:w="567" w:type="dxa"/>
          </w:tcPr>
          <w:p w14:paraId="077A243B" w14:textId="52509188" w:rsidR="00407924" w:rsidRDefault="00407924" w:rsidP="00201DCD">
            <w:pPr>
              <w:tabs>
                <w:tab w:val="left" w:pos="1701"/>
              </w:tabs>
              <w:rPr>
                <w:b/>
                <w:snapToGrid w:val="0"/>
                <w:sz w:val="22"/>
                <w:szCs w:val="22"/>
              </w:rPr>
            </w:pPr>
            <w:r>
              <w:rPr>
                <w:b/>
                <w:snapToGrid w:val="0"/>
                <w:sz w:val="22"/>
                <w:szCs w:val="22"/>
              </w:rPr>
              <w:t>§ 7</w:t>
            </w:r>
          </w:p>
        </w:tc>
        <w:tc>
          <w:tcPr>
            <w:tcW w:w="6946" w:type="dxa"/>
            <w:gridSpan w:val="2"/>
          </w:tcPr>
          <w:p w14:paraId="0D422E17" w14:textId="0A1D86FA" w:rsidR="00407924" w:rsidRDefault="00407924" w:rsidP="00201DCD">
            <w:pPr>
              <w:rPr>
                <w:b/>
                <w:snapToGrid w:val="0"/>
                <w:sz w:val="22"/>
                <w:szCs w:val="22"/>
              </w:rPr>
            </w:pPr>
            <w:r w:rsidRPr="0038368D">
              <w:rPr>
                <w:b/>
                <w:snapToGrid w:val="0"/>
                <w:sz w:val="22"/>
                <w:szCs w:val="22"/>
              </w:rPr>
              <w:t>Information till utskottet</w:t>
            </w:r>
            <w:r w:rsidRPr="0038368D">
              <w:rPr>
                <w:b/>
                <w:snapToGrid w:val="0"/>
                <w:sz w:val="22"/>
                <w:szCs w:val="22"/>
              </w:rPr>
              <w:br/>
            </w:r>
            <w:r w:rsidRPr="0038368D">
              <w:rPr>
                <w:b/>
                <w:snapToGrid w:val="0"/>
                <w:sz w:val="22"/>
                <w:szCs w:val="22"/>
              </w:rPr>
              <w:br/>
            </w:r>
            <w:proofErr w:type="spellStart"/>
            <w:r w:rsidRPr="0038368D">
              <w:rPr>
                <w:sz w:val="22"/>
                <w:szCs w:val="22"/>
              </w:rPr>
              <w:t>Utskottet</w:t>
            </w:r>
            <w:proofErr w:type="spellEnd"/>
            <w:r w:rsidRPr="0038368D">
              <w:rPr>
                <w:sz w:val="22"/>
                <w:szCs w:val="22"/>
              </w:rPr>
              <w:t xml:space="preserve"> beslutade att låta presidiet ta fram </w:t>
            </w:r>
            <w:r w:rsidR="0038368D" w:rsidRPr="0038368D">
              <w:rPr>
                <w:sz w:val="22"/>
                <w:szCs w:val="22"/>
              </w:rPr>
              <w:t xml:space="preserve">förslag på </w:t>
            </w:r>
            <w:r w:rsidRPr="0038368D">
              <w:rPr>
                <w:sz w:val="22"/>
                <w:szCs w:val="22"/>
              </w:rPr>
              <w:t xml:space="preserve">relevanta aktörer </w:t>
            </w:r>
            <w:r w:rsidR="007144F5" w:rsidRPr="0038368D">
              <w:rPr>
                <w:sz w:val="22"/>
                <w:szCs w:val="22"/>
              </w:rPr>
              <w:t>att</w:t>
            </w:r>
            <w:r w:rsidRPr="0038368D">
              <w:rPr>
                <w:sz w:val="22"/>
                <w:szCs w:val="22"/>
              </w:rPr>
              <w:t xml:space="preserve"> kalla till </w:t>
            </w:r>
            <w:r w:rsidR="0038368D" w:rsidRPr="0038368D">
              <w:rPr>
                <w:sz w:val="22"/>
                <w:szCs w:val="22"/>
              </w:rPr>
              <w:t xml:space="preserve">ett </w:t>
            </w:r>
            <w:r w:rsidRPr="0038368D">
              <w:rPr>
                <w:sz w:val="22"/>
                <w:szCs w:val="22"/>
              </w:rPr>
              <w:t xml:space="preserve">sammanträde under hösten 2025 </w:t>
            </w:r>
            <w:r w:rsidR="0038368D">
              <w:rPr>
                <w:sz w:val="22"/>
                <w:szCs w:val="22"/>
              </w:rPr>
              <w:t xml:space="preserve">för att informera om arbetet med reglering och användning av </w:t>
            </w:r>
            <w:proofErr w:type="spellStart"/>
            <w:r w:rsidRPr="0038368D">
              <w:rPr>
                <w:sz w:val="22"/>
                <w:szCs w:val="22"/>
              </w:rPr>
              <w:t>metylenklorid.</w:t>
            </w:r>
            <w:proofErr w:type="spellEnd"/>
            <w:r>
              <w:rPr>
                <w:b/>
                <w:snapToGrid w:val="0"/>
                <w:sz w:val="22"/>
                <w:szCs w:val="22"/>
              </w:rPr>
              <w:t xml:space="preserve"> </w:t>
            </w:r>
          </w:p>
          <w:p w14:paraId="73CCA3ED" w14:textId="0F7EC46C" w:rsidR="00407924" w:rsidRPr="001F6BC3" w:rsidRDefault="00407924" w:rsidP="00201DCD">
            <w:pPr>
              <w:rPr>
                <w:b/>
                <w:snapToGrid w:val="0"/>
                <w:sz w:val="22"/>
                <w:szCs w:val="22"/>
              </w:rPr>
            </w:pPr>
          </w:p>
        </w:tc>
      </w:tr>
      <w:tr w:rsidR="00CF35F8" w:rsidRPr="004A7C15" w14:paraId="03A9173A" w14:textId="77777777" w:rsidTr="00165402">
        <w:tc>
          <w:tcPr>
            <w:tcW w:w="567" w:type="dxa"/>
          </w:tcPr>
          <w:p w14:paraId="44B35FAF" w14:textId="04277411" w:rsidR="00CF35F8" w:rsidRDefault="00CF35F8" w:rsidP="00201DCD">
            <w:pPr>
              <w:tabs>
                <w:tab w:val="left" w:pos="1701"/>
              </w:tabs>
              <w:rPr>
                <w:b/>
                <w:snapToGrid w:val="0"/>
                <w:sz w:val="22"/>
                <w:szCs w:val="22"/>
              </w:rPr>
            </w:pPr>
            <w:r>
              <w:rPr>
                <w:b/>
                <w:snapToGrid w:val="0"/>
                <w:sz w:val="22"/>
                <w:szCs w:val="22"/>
              </w:rPr>
              <w:t xml:space="preserve">§ </w:t>
            </w:r>
            <w:r w:rsidR="0028160D">
              <w:rPr>
                <w:b/>
                <w:snapToGrid w:val="0"/>
                <w:sz w:val="22"/>
                <w:szCs w:val="22"/>
              </w:rPr>
              <w:t>8</w:t>
            </w:r>
          </w:p>
        </w:tc>
        <w:tc>
          <w:tcPr>
            <w:tcW w:w="6946" w:type="dxa"/>
            <w:gridSpan w:val="2"/>
          </w:tcPr>
          <w:p w14:paraId="5D5A92A6" w14:textId="77777777" w:rsidR="00CF35F8" w:rsidRPr="00CF35F8" w:rsidRDefault="00CF35F8" w:rsidP="00CF35F8">
            <w:pPr>
              <w:widowControl/>
              <w:spacing w:after="200" w:line="280" w:lineRule="exact"/>
              <w:rPr>
                <w:b/>
                <w:snapToGrid w:val="0"/>
                <w:sz w:val="22"/>
                <w:szCs w:val="22"/>
              </w:rPr>
            </w:pPr>
            <w:r w:rsidRPr="00CF35F8">
              <w:rPr>
                <w:b/>
                <w:snapToGrid w:val="0"/>
                <w:sz w:val="22"/>
                <w:szCs w:val="22"/>
              </w:rPr>
              <w:t>Bemyndigande att justera protokoll under längre uppehåll</w:t>
            </w:r>
          </w:p>
          <w:p w14:paraId="306A937E" w14:textId="3E6BAF26" w:rsidR="00CF35F8" w:rsidRPr="001F6BC3" w:rsidRDefault="00CF35F8" w:rsidP="00201DCD">
            <w:pPr>
              <w:rPr>
                <w:b/>
                <w:snapToGrid w:val="0"/>
                <w:sz w:val="22"/>
                <w:szCs w:val="22"/>
              </w:rPr>
            </w:pPr>
            <w:r w:rsidRPr="00292D97">
              <w:rPr>
                <w:sz w:val="22"/>
                <w:szCs w:val="22"/>
              </w:rPr>
              <w:t xml:space="preserve">Utskottet beslutade att </w:t>
            </w:r>
            <w:r w:rsidR="00335D8C" w:rsidRPr="00292D97">
              <w:rPr>
                <w:sz w:val="22"/>
                <w:szCs w:val="22"/>
              </w:rPr>
              <w:t xml:space="preserve">vice ordförande </w:t>
            </w:r>
            <w:r w:rsidRPr="00292D97">
              <w:rPr>
                <w:sz w:val="22"/>
                <w:szCs w:val="22"/>
              </w:rPr>
              <w:t>får justera utskottets protokoll från dagens sammanträde inför ett längre uppehåll i utskottets arbete.</w:t>
            </w:r>
            <w:r w:rsidRPr="00645759">
              <w:rPr>
                <w:snapToGrid w:val="0"/>
                <w:sz w:val="22"/>
                <w:szCs w:val="22"/>
              </w:rPr>
              <w:t xml:space="preserve"> </w:t>
            </w:r>
            <w:r>
              <w:rPr>
                <w:snapToGrid w:val="0"/>
                <w:sz w:val="22"/>
                <w:szCs w:val="22"/>
              </w:rPr>
              <w:br/>
            </w:r>
          </w:p>
        </w:tc>
      </w:tr>
      <w:tr w:rsidR="00CF35F8" w:rsidRPr="004A7C15" w14:paraId="00952C9D" w14:textId="77777777" w:rsidTr="00165402">
        <w:tc>
          <w:tcPr>
            <w:tcW w:w="567" w:type="dxa"/>
          </w:tcPr>
          <w:p w14:paraId="7C573CEE" w14:textId="59794CB7" w:rsidR="00CF35F8" w:rsidRDefault="00CF35F8" w:rsidP="00201DCD">
            <w:pPr>
              <w:tabs>
                <w:tab w:val="left" w:pos="1701"/>
              </w:tabs>
              <w:rPr>
                <w:b/>
                <w:snapToGrid w:val="0"/>
                <w:sz w:val="22"/>
                <w:szCs w:val="22"/>
              </w:rPr>
            </w:pPr>
            <w:r>
              <w:rPr>
                <w:b/>
                <w:snapToGrid w:val="0"/>
                <w:sz w:val="22"/>
                <w:szCs w:val="22"/>
              </w:rPr>
              <w:t xml:space="preserve">§ </w:t>
            </w:r>
            <w:r w:rsidR="0028160D">
              <w:rPr>
                <w:b/>
                <w:snapToGrid w:val="0"/>
                <w:sz w:val="22"/>
                <w:szCs w:val="22"/>
              </w:rPr>
              <w:t>9</w:t>
            </w:r>
          </w:p>
        </w:tc>
        <w:tc>
          <w:tcPr>
            <w:tcW w:w="6946" w:type="dxa"/>
            <w:gridSpan w:val="2"/>
          </w:tcPr>
          <w:p w14:paraId="22521B1A" w14:textId="77777777" w:rsidR="00CF35F8" w:rsidRPr="00CF35F8" w:rsidRDefault="00CF35F8" w:rsidP="00CF35F8">
            <w:pPr>
              <w:widowControl/>
              <w:spacing w:after="200" w:line="280" w:lineRule="exact"/>
              <w:rPr>
                <w:b/>
                <w:snapToGrid w:val="0"/>
                <w:sz w:val="22"/>
                <w:szCs w:val="22"/>
              </w:rPr>
            </w:pPr>
            <w:r w:rsidRPr="00CF35F8">
              <w:rPr>
                <w:b/>
                <w:snapToGrid w:val="0"/>
                <w:sz w:val="22"/>
                <w:szCs w:val="22"/>
              </w:rPr>
              <w:t>Bemyndigande att efterhöra regeringens bedömning i subsidiaritetsärenden</w:t>
            </w:r>
          </w:p>
          <w:p w14:paraId="39C974DE" w14:textId="4EBE2154" w:rsidR="00CF35F8" w:rsidRPr="00D61B87" w:rsidRDefault="00CF35F8" w:rsidP="00CF35F8">
            <w:pPr>
              <w:widowControl/>
              <w:spacing w:after="200" w:line="280" w:lineRule="exact"/>
              <w:rPr>
                <w:b/>
                <w:sz w:val="23"/>
                <w:szCs w:val="23"/>
              </w:rPr>
            </w:pPr>
            <w:r w:rsidRPr="00292D97">
              <w:rPr>
                <w:sz w:val="22"/>
                <w:szCs w:val="22"/>
              </w:rPr>
              <w:t>Utskottet beslutade att ordföranden i förekommande fall under sommaruppehållet 2025, får efterhöra regeringens bedömning av tillämpningen av subsidiaritetsprincipen enligt 10 kap. 10 § riksdagsordningen.</w:t>
            </w:r>
          </w:p>
        </w:tc>
      </w:tr>
      <w:tr w:rsidR="00CF35F8" w:rsidRPr="004A7C15" w14:paraId="6374BC08" w14:textId="77777777" w:rsidTr="00165402">
        <w:tc>
          <w:tcPr>
            <w:tcW w:w="567" w:type="dxa"/>
          </w:tcPr>
          <w:p w14:paraId="27E7EC6C" w14:textId="13D56D42" w:rsidR="00CF35F8" w:rsidRDefault="00CF35F8" w:rsidP="00201DCD">
            <w:pPr>
              <w:tabs>
                <w:tab w:val="left" w:pos="1701"/>
              </w:tabs>
              <w:rPr>
                <w:b/>
                <w:snapToGrid w:val="0"/>
                <w:sz w:val="22"/>
                <w:szCs w:val="22"/>
              </w:rPr>
            </w:pPr>
            <w:r>
              <w:rPr>
                <w:b/>
                <w:snapToGrid w:val="0"/>
                <w:sz w:val="22"/>
                <w:szCs w:val="22"/>
              </w:rPr>
              <w:t xml:space="preserve">§ </w:t>
            </w:r>
            <w:r w:rsidR="0028160D">
              <w:rPr>
                <w:b/>
                <w:snapToGrid w:val="0"/>
                <w:sz w:val="22"/>
                <w:szCs w:val="22"/>
              </w:rPr>
              <w:t>10</w:t>
            </w:r>
          </w:p>
        </w:tc>
        <w:tc>
          <w:tcPr>
            <w:tcW w:w="6946" w:type="dxa"/>
            <w:gridSpan w:val="2"/>
          </w:tcPr>
          <w:p w14:paraId="6E695054" w14:textId="77777777" w:rsidR="00CF35F8" w:rsidRPr="00CF35F8" w:rsidRDefault="00CF35F8" w:rsidP="00CF35F8">
            <w:pPr>
              <w:widowControl/>
              <w:spacing w:after="200" w:line="280" w:lineRule="exact"/>
              <w:rPr>
                <w:b/>
                <w:snapToGrid w:val="0"/>
                <w:sz w:val="22"/>
                <w:szCs w:val="22"/>
              </w:rPr>
            </w:pPr>
            <w:r w:rsidRPr="00CF35F8">
              <w:rPr>
                <w:b/>
                <w:snapToGrid w:val="0"/>
                <w:sz w:val="22"/>
                <w:szCs w:val="22"/>
              </w:rPr>
              <w:t xml:space="preserve">Bemyndigande att besluta om utskottsledamöters deltagande i konferenser m.m. </w:t>
            </w:r>
          </w:p>
          <w:p w14:paraId="0765B245" w14:textId="12FDD72B" w:rsidR="00CF35F8" w:rsidRPr="00D61B87" w:rsidRDefault="00CF35F8" w:rsidP="00CF35F8">
            <w:pPr>
              <w:widowControl/>
              <w:spacing w:after="200" w:line="280" w:lineRule="exact"/>
              <w:rPr>
                <w:b/>
                <w:sz w:val="23"/>
                <w:szCs w:val="23"/>
              </w:rPr>
            </w:pPr>
            <w:r w:rsidRPr="00292D97">
              <w:rPr>
                <w:sz w:val="22"/>
                <w:szCs w:val="22"/>
              </w:rPr>
              <w:t>Utskottet beslutade att ordföranden får besluta i frågor om utskottsledamöters deltagande vid möten, seminarier och konferenser om utskottens beslut inte kan avvaktas.</w:t>
            </w:r>
            <w:r>
              <w:rPr>
                <w:b/>
                <w:snapToGrid w:val="0"/>
                <w:sz w:val="22"/>
                <w:szCs w:val="22"/>
              </w:rPr>
              <w:t xml:space="preserve"> </w:t>
            </w:r>
          </w:p>
        </w:tc>
      </w:tr>
      <w:tr w:rsidR="00CF35F8" w:rsidRPr="004A7C15" w14:paraId="3495829F" w14:textId="77777777" w:rsidTr="00165402">
        <w:tc>
          <w:tcPr>
            <w:tcW w:w="567" w:type="dxa"/>
          </w:tcPr>
          <w:p w14:paraId="06A6AF9E" w14:textId="5C078B81" w:rsidR="00CF35F8" w:rsidRDefault="00CF35F8" w:rsidP="00201DCD">
            <w:pPr>
              <w:tabs>
                <w:tab w:val="left" w:pos="1701"/>
              </w:tabs>
              <w:rPr>
                <w:b/>
                <w:snapToGrid w:val="0"/>
                <w:sz w:val="22"/>
                <w:szCs w:val="22"/>
              </w:rPr>
            </w:pPr>
            <w:r>
              <w:rPr>
                <w:b/>
                <w:snapToGrid w:val="0"/>
                <w:sz w:val="22"/>
                <w:szCs w:val="22"/>
              </w:rPr>
              <w:t xml:space="preserve">§ </w:t>
            </w:r>
            <w:r w:rsidR="0028160D">
              <w:rPr>
                <w:b/>
                <w:snapToGrid w:val="0"/>
                <w:sz w:val="22"/>
                <w:szCs w:val="22"/>
              </w:rPr>
              <w:t>11</w:t>
            </w:r>
          </w:p>
        </w:tc>
        <w:tc>
          <w:tcPr>
            <w:tcW w:w="6946" w:type="dxa"/>
            <w:gridSpan w:val="2"/>
          </w:tcPr>
          <w:p w14:paraId="0AB51ABD" w14:textId="77777777" w:rsidR="0038368D" w:rsidRPr="004A7C15" w:rsidRDefault="0038368D" w:rsidP="0038368D">
            <w:pPr>
              <w:rPr>
                <w:rFonts w:eastAsiaTheme="minorHAnsi"/>
                <w:bCs/>
                <w:color w:val="000000"/>
                <w:sz w:val="22"/>
                <w:szCs w:val="22"/>
                <w:lang w:eastAsia="en-US"/>
              </w:rPr>
            </w:pPr>
            <w:r w:rsidRPr="004A7C15">
              <w:rPr>
                <w:b/>
                <w:bCs/>
                <w:color w:val="000000"/>
                <w:sz w:val="22"/>
                <w:szCs w:val="22"/>
              </w:rPr>
              <w:t>Nästa sammanträde</w:t>
            </w:r>
          </w:p>
          <w:p w14:paraId="60CF8A91" w14:textId="77777777" w:rsidR="0038368D" w:rsidRPr="004A7C15" w:rsidRDefault="0038368D" w:rsidP="0038368D">
            <w:pPr>
              <w:rPr>
                <w:rFonts w:eastAsiaTheme="minorHAnsi"/>
                <w:bCs/>
                <w:color w:val="000000"/>
                <w:sz w:val="22"/>
                <w:szCs w:val="22"/>
                <w:lang w:eastAsia="en-US"/>
              </w:rPr>
            </w:pPr>
          </w:p>
          <w:p w14:paraId="6097B60E" w14:textId="77777777" w:rsidR="00696524" w:rsidRDefault="0038368D" w:rsidP="00216128">
            <w:pPr>
              <w:rPr>
                <w:snapToGrid w:val="0"/>
                <w:sz w:val="22"/>
                <w:szCs w:val="22"/>
              </w:rPr>
            </w:pPr>
            <w:r w:rsidRPr="004A7C15">
              <w:rPr>
                <w:snapToGrid w:val="0"/>
                <w:sz w:val="22"/>
                <w:szCs w:val="22"/>
              </w:rPr>
              <w:t xml:space="preserve">Nästa sammanträde äger rum </w:t>
            </w:r>
            <w:r>
              <w:rPr>
                <w:snapToGrid w:val="0"/>
                <w:sz w:val="22"/>
                <w:szCs w:val="22"/>
              </w:rPr>
              <w:t>ons</w:t>
            </w:r>
            <w:r w:rsidRPr="004A7C15">
              <w:rPr>
                <w:snapToGrid w:val="0"/>
                <w:sz w:val="22"/>
                <w:szCs w:val="22"/>
              </w:rPr>
              <w:t xml:space="preserve">dagen den </w:t>
            </w:r>
            <w:r>
              <w:rPr>
                <w:snapToGrid w:val="0"/>
                <w:sz w:val="22"/>
                <w:szCs w:val="22"/>
              </w:rPr>
              <w:t>27 augusti</w:t>
            </w:r>
            <w:r w:rsidRPr="004A7C15">
              <w:rPr>
                <w:snapToGrid w:val="0"/>
                <w:sz w:val="22"/>
                <w:szCs w:val="22"/>
              </w:rPr>
              <w:t xml:space="preserve"> 2025 kl. </w:t>
            </w:r>
            <w:r>
              <w:rPr>
                <w:snapToGrid w:val="0"/>
                <w:sz w:val="22"/>
                <w:szCs w:val="22"/>
              </w:rPr>
              <w:t>09</w:t>
            </w:r>
            <w:r w:rsidRPr="004A7C15">
              <w:rPr>
                <w:snapToGrid w:val="0"/>
                <w:sz w:val="22"/>
                <w:szCs w:val="22"/>
              </w:rPr>
              <w:t xml:space="preserve">.00. </w:t>
            </w:r>
          </w:p>
          <w:p w14:paraId="43ABE5A3" w14:textId="08D4A3AC" w:rsidR="00216128" w:rsidRPr="0038368D" w:rsidRDefault="00216128" w:rsidP="00216128">
            <w:pPr>
              <w:rPr>
                <w:snapToGrid w:val="0"/>
                <w:sz w:val="22"/>
                <w:szCs w:val="22"/>
              </w:rPr>
            </w:pPr>
          </w:p>
        </w:tc>
      </w:tr>
      <w:tr w:rsidR="00D5250E" w:rsidRPr="004A7C15" w14:paraId="179CF623" w14:textId="77777777" w:rsidTr="002241EF">
        <w:trPr>
          <w:gridAfter w:val="1"/>
          <w:wAfter w:w="357" w:type="dxa"/>
        </w:trPr>
        <w:tc>
          <w:tcPr>
            <w:tcW w:w="7156" w:type="dxa"/>
            <w:gridSpan w:val="2"/>
          </w:tcPr>
          <w:p w14:paraId="06B8F376" w14:textId="77777777" w:rsidR="00D5250E" w:rsidRPr="004A7C15" w:rsidRDefault="00D5250E" w:rsidP="00D5250E">
            <w:pPr>
              <w:tabs>
                <w:tab w:val="left" w:pos="1701"/>
              </w:tabs>
              <w:rPr>
                <w:sz w:val="22"/>
                <w:szCs w:val="22"/>
              </w:rPr>
            </w:pPr>
          </w:p>
          <w:p w14:paraId="0060A65A" w14:textId="77777777" w:rsidR="00D5250E" w:rsidRPr="004A7C15" w:rsidRDefault="00D5250E" w:rsidP="00D5250E">
            <w:pPr>
              <w:tabs>
                <w:tab w:val="left" w:pos="1701"/>
              </w:tabs>
              <w:rPr>
                <w:sz w:val="22"/>
                <w:szCs w:val="22"/>
              </w:rPr>
            </w:pPr>
            <w:r w:rsidRPr="004A7C15">
              <w:rPr>
                <w:sz w:val="22"/>
                <w:szCs w:val="22"/>
              </w:rPr>
              <w:t>Vid protokollet</w:t>
            </w:r>
          </w:p>
          <w:p w14:paraId="16DA6BD1" w14:textId="77777777" w:rsidR="00D5250E" w:rsidRPr="004A7C15" w:rsidRDefault="00D5250E" w:rsidP="00D5250E">
            <w:pPr>
              <w:tabs>
                <w:tab w:val="left" w:pos="1701"/>
              </w:tabs>
              <w:rPr>
                <w:sz w:val="22"/>
                <w:szCs w:val="22"/>
              </w:rPr>
            </w:pPr>
          </w:p>
          <w:p w14:paraId="5466EF57" w14:textId="78C79EBA" w:rsidR="00FB0559" w:rsidRPr="004A7C15" w:rsidRDefault="00FB0559" w:rsidP="00D5250E">
            <w:pPr>
              <w:tabs>
                <w:tab w:val="left" w:pos="1701"/>
              </w:tabs>
              <w:rPr>
                <w:sz w:val="22"/>
                <w:szCs w:val="22"/>
              </w:rPr>
            </w:pPr>
          </w:p>
          <w:p w14:paraId="4231F254" w14:textId="7991CE62" w:rsidR="009334A9" w:rsidRDefault="00277260" w:rsidP="00D5250E">
            <w:pPr>
              <w:tabs>
                <w:tab w:val="left" w:pos="1701"/>
              </w:tabs>
              <w:rPr>
                <w:sz w:val="22"/>
                <w:szCs w:val="22"/>
              </w:rPr>
            </w:pPr>
            <w:r>
              <w:rPr>
                <w:sz w:val="22"/>
                <w:szCs w:val="22"/>
              </w:rPr>
              <w:t xml:space="preserve"> </w:t>
            </w:r>
          </w:p>
          <w:p w14:paraId="12BD49E5" w14:textId="77777777" w:rsidR="00BF0413" w:rsidRPr="004A7C15" w:rsidRDefault="00BF0413" w:rsidP="00D5250E">
            <w:pPr>
              <w:tabs>
                <w:tab w:val="left" w:pos="1701"/>
              </w:tabs>
              <w:rPr>
                <w:sz w:val="22"/>
                <w:szCs w:val="22"/>
              </w:rPr>
            </w:pPr>
          </w:p>
          <w:p w14:paraId="4135DE1A" w14:textId="03BF1AB9" w:rsidR="00A10EBF" w:rsidRPr="004A7C15" w:rsidRDefault="00D5250E" w:rsidP="00157E3A">
            <w:pPr>
              <w:tabs>
                <w:tab w:val="left" w:pos="1701"/>
              </w:tabs>
              <w:rPr>
                <w:sz w:val="22"/>
                <w:szCs w:val="22"/>
              </w:rPr>
            </w:pPr>
            <w:r w:rsidRPr="004A7C15">
              <w:rPr>
                <w:sz w:val="22"/>
                <w:szCs w:val="22"/>
              </w:rPr>
              <w:t>Justeras den</w:t>
            </w:r>
            <w:r w:rsidR="00D60FBE" w:rsidRPr="004A7C15">
              <w:rPr>
                <w:sz w:val="22"/>
                <w:szCs w:val="22"/>
              </w:rPr>
              <w:t xml:space="preserve"> </w:t>
            </w:r>
            <w:r w:rsidR="00166E19">
              <w:rPr>
                <w:sz w:val="22"/>
                <w:szCs w:val="22"/>
              </w:rPr>
              <w:t>1</w:t>
            </w:r>
            <w:r w:rsidR="006A70D7">
              <w:rPr>
                <w:sz w:val="22"/>
                <w:szCs w:val="22"/>
              </w:rPr>
              <w:t>7</w:t>
            </w:r>
            <w:r w:rsidR="009B45EF">
              <w:rPr>
                <w:sz w:val="22"/>
                <w:szCs w:val="22"/>
              </w:rPr>
              <w:t xml:space="preserve"> juni</w:t>
            </w:r>
            <w:r w:rsidR="008D7C53" w:rsidRPr="004A7C15">
              <w:rPr>
                <w:sz w:val="22"/>
                <w:szCs w:val="22"/>
              </w:rPr>
              <w:t xml:space="preserve"> </w:t>
            </w:r>
            <w:r w:rsidR="00CB71B9" w:rsidRPr="004A7C15">
              <w:rPr>
                <w:sz w:val="22"/>
                <w:szCs w:val="22"/>
              </w:rPr>
              <w:t>202</w:t>
            </w:r>
            <w:r w:rsidR="00A25410" w:rsidRPr="004A7C15">
              <w:rPr>
                <w:sz w:val="22"/>
                <w:szCs w:val="22"/>
              </w:rPr>
              <w:t>5</w:t>
            </w:r>
          </w:p>
          <w:p w14:paraId="042630D0" w14:textId="77777777" w:rsidR="00987069" w:rsidRPr="004A7C15" w:rsidRDefault="00987069" w:rsidP="00157E3A">
            <w:pPr>
              <w:tabs>
                <w:tab w:val="left" w:pos="1701"/>
              </w:tabs>
              <w:rPr>
                <w:sz w:val="22"/>
                <w:szCs w:val="22"/>
              </w:rPr>
            </w:pPr>
          </w:p>
          <w:p w14:paraId="3E257F98" w14:textId="77777777" w:rsidR="00987069" w:rsidRPr="004A7C15" w:rsidRDefault="00987069" w:rsidP="00157E3A">
            <w:pPr>
              <w:tabs>
                <w:tab w:val="left" w:pos="1701"/>
              </w:tabs>
              <w:rPr>
                <w:sz w:val="22"/>
                <w:szCs w:val="22"/>
              </w:rPr>
            </w:pPr>
          </w:p>
          <w:p w14:paraId="3D553404" w14:textId="77777777" w:rsidR="00987069" w:rsidRPr="004A7C15" w:rsidRDefault="00987069" w:rsidP="00157E3A">
            <w:pPr>
              <w:tabs>
                <w:tab w:val="left" w:pos="1701"/>
              </w:tabs>
              <w:rPr>
                <w:sz w:val="22"/>
                <w:szCs w:val="22"/>
              </w:rPr>
            </w:pPr>
          </w:p>
          <w:p w14:paraId="67BEA3C0" w14:textId="2B025F53" w:rsidR="008D7C53" w:rsidRPr="004A7C15" w:rsidRDefault="001D38D2" w:rsidP="00157E3A">
            <w:pPr>
              <w:tabs>
                <w:tab w:val="left" w:pos="1701"/>
              </w:tabs>
              <w:rPr>
                <w:sz w:val="22"/>
                <w:szCs w:val="22"/>
              </w:rPr>
            </w:pPr>
            <w:r>
              <w:rPr>
                <w:sz w:val="22"/>
                <w:szCs w:val="22"/>
              </w:rPr>
              <w:t>Kjell-Arne Ottosson</w:t>
            </w:r>
          </w:p>
        </w:tc>
      </w:tr>
    </w:tbl>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1F95A14F"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0B0319">
              <w:rPr>
                <w:sz w:val="22"/>
                <w:szCs w:val="22"/>
              </w:rPr>
              <w:t>43</w:t>
            </w:r>
          </w:p>
        </w:tc>
      </w:tr>
      <w:tr w:rsidR="00136BAF" w:rsidRPr="00B40F4D"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B44DE99" w:rsidR="00136BAF" w:rsidRPr="00B40F4D"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28160D">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9A7AFF3"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8160D">
              <w:rPr>
                <w:sz w:val="22"/>
                <w:szCs w:val="22"/>
              </w:rPr>
              <w:t>§ 3–4</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43ED9DBF"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F801AD6"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2443FE2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8368D">
              <w:rPr>
                <w:sz w:val="22"/>
                <w:szCs w:val="22"/>
              </w:rPr>
              <w:t xml:space="preserve">§ </w:t>
            </w:r>
            <w:r w:rsidR="00696524" w:rsidRPr="0038368D">
              <w:rPr>
                <w:sz w:val="22"/>
                <w:szCs w:val="22"/>
              </w:rPr>
              <w:t>7–1</w:t>
            </w:r>
            <w:r w:rsidR="0038368D" w:rsidRPr="0038368D">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C1C7F41"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115C6B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DC9918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6B53D70D"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038274C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28160D"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C4ABB33"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B74E7E4"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8E0225D"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0A6DF5CD"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3EC77B91"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9FC8485"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EF10372"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1993001C"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377B787D"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5DC5221"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774B8DC"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F1E22B9"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37780019"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16CA2409"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0477767" w:rsidR="00136BAF" w:rsidRPr="006A6B9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3E4A1E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2270C3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11A8955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63D531D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00BCAC33"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55239D1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F0C814E"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0B756D9E"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04E5739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6126C4B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524E5F75"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4DC979AF"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32FAFF6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18F94E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2755966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3B0FF1F"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454DFB3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2258E7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2C50859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1978686E"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838062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BABB2F1"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55D7B9A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2820B3C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3B4B0A7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CB1177" w:rsidR="00136BAF" w:rsidRPr="00B40F4D" w:rsidRDefault="00461BF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4FC9D5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4FFA4BF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099D208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48DD7483"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7850E15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A2D11F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5041AFE1"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6BF48E1D"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2CB9409"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1E23C1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E17C24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3052076"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1FFCD08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06FB244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F275A79"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085979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6BAFA8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40D92E73"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6BAC110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3C6CF4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015DF6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E2AC91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66D7D65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431569A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D0B232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228B1A3"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4A716E6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01464B95"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2783AD59"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7F4F42E9"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5E3382A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CA5CA7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00CE384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019DFC36"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1EC6DF01"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928CCC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A1720B5"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025272B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24E1650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E65F4A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2D442B3C"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308924E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300675F5"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5EDAD56"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38680CA7"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B3B60E9"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21FFF2A"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5D4C75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3A1FA1E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0ABA35E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0018265"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608CC4E0"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1FE705C6"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6A92310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F367F0" w:rsidRDefault="003E370A" w:rsidP="002B7AED">
            <w:pPr>
              <w:tabs>
                <w:tab w:val="left" w:pos="2268"/>
                <w:tab w:val="left" w:pos="2977"/>
                <w:tab w:val="left" w:pos="4536"/>
              </w:tabs>
              <w:spacing w:line="256" w:lineRule="auto"/>
              <w:rPr>
                <w:sz w:val="22"/>
                <w:szCs w:val="22"/>
                <w:lang w:eastAsia="en-US"/>
              </w:rPr>
            </w:pPr>
            <w:r>
              <w:rPr>
                <w:sz w:val="22"/>
                <w:szCs w:val="22"/>
                <w:lang w:eastAsia="en-US"/>
              </w:rPr>
              <w:t>Sten Bergheden</w:t>
            </w:r>
            <w:r w:rsidR="00BE4890" w:rsidRPr="005C4C18">
              <w:rPr>
                <w:sz w:val="22"/>
                <w:szCs w:val="22"/>
                <w:lang w:eastAsia="en-US"/>
              </w:rPr>
              <w:t xml:space="preserve"> </w:t>
            </w:r>
            <w:r w:rsidR="00136BAF"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24B3244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4F4158F"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13699E51"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CD54F7F"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057059F4"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0783A29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52EC09FB"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3CBE1562"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2E08EBBD"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423788C8" w:rsidR="00136BA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6000684B"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4447C5EA"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400A335F"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27B1FF3B"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678741C3"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6A49EA" w:rsidRDefault="00B33DC4" w:rsidP="002B7AED">
            <w:pPr>
              <w:tabs>
                <w:tab w:val="left" w:pos="2268"/>
                <w:tab w:val="left" w:pos="2977"/>
                <w:tab w:val="left" w:pos="4536"/>
              </w:tabs>
              <w:spacing w:line="256" w:lineRule="auto"/>
              <w:rPr>
                <w:sz w:val="22"/>
                <w:szCs w:val="22"/>
                <w:lang w:val="en-US" w:eastAsia="en-US"/>
              </w:rPr>
            </w:pPr>
            <w:r>
              <w:rPr>
                <w:sz w:val="22"/>
                <w:szCs w:val="22"/>
                <w:lang w:val="en-US" w:eastAsia="en-US"/>
              </w:rPr>
              <w:t>Roland Utbult</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0AADFA5D"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108072C9"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3CFA59CD"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22761DB2"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4AF2BF43" w:rsidR="006A49EA"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5C4C18" w:rsidRDefault="00752EBB" w:rsidP="002B7AED">
            <w:pPr>
              <w:tabs>
                <w:tab w:val="left" w:pos="2268"/>
                <w:tab w:val="left" w:pos="2977"/>
                <w:tab w:val="left" w:pos="4536"/>
              </w:tabs>
              <w:spacing w:line="256" w:lineRule="auto"/>
              <w:rPr>
                <w:sz w:val="22"/>
                <w:szCs w:val="22"/>
                <w:lang w:eastAsia="en-US"/>
              </w:rPr>
            </w:pPr>
            <w:r>
              <w:rPr>
                <w:sz w:val="22"/>
                <w:szCs w:val="22"/>
                <w:lang w:eastAsia="en-US"/>
              </w:rPr>
              <w:t>Katarina Luhr</w:t>
            </w:r>
            <w:r w:rsidR="00621937">
              <w:rPr>
                <w:sz w:val="22"/>
                <w:szCs w:val="22"/>
                <w:lang w:eastAsia="en-US"/>
              </w:rPr>
              <w:t xml:space="preserve"> </w:t>
            </w:r>
            <w:r w:rsidR="006A49EA"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4F6A7197" w:rsidR="0066010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A3A464E" w:rsidR="0066010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5374532C" w:rsidR="0066010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285DF62E" w:rsidR="0066010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5DA05CFB" w:rsidR="0066010F" w:rsidRPr="00B40F4D" w:rsidRDefault="002816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A473EE"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EE72C85" w:rsidR="00D5772E" w:rsidRPr="00C27A17" w:rsidRDefault="001701BF" w:rsidP="002B7AED">
            <w:pPr>
              <w:tabs>
                <w:tab w:val="left" w:pos="2268"/>
                <w:tab w:val="left" w:pos="2977"/>
                <w:tab w:val="left" w:pos="4536"/>
              </w:tabs>
              <w:spacing w:line="256" w:lineRule="auto"/>
              <w:rPr>
                <w:i/>
                <w:iCs/>
                <w:sz w:val="18"/>
                <w:szCs w:val="18"/>
                <w:lang w:val="en-GB" w:eastAsia="en-US"/>
              </w:rPr>
            </w:pPr>
            <w:r w:rsidRPr="00C27A17">
              <w:rPr>
                <w:sz w:val="22"/>
                <w:szCs w:val="22"/>
                <w:lang w:val="en-GB" w:eastAsia="en-US"/>
              </w:rPr>
              <w:t xml:space="preserve">Björn Petersson (S) </w:t>
            </w:r>
            <w:proofErr w:type="spellStart"/>
            <w:r w:rsidRPr="00C27A17">
              <w:rPr>
                <w:i/>
                <w:iCs/>
                <w:sz w:val="18"/>
                <w:szCs w:val="18"/>
                <w:lang w:val="en-GB" w:eastAsia="en-US"/>
              </w:rPr>
              <w:t>t.o.m</w:t>
            </w:r>
            <w:proofErr w:type="spellEnd"/>
            <w:r w:rsidRPr="00C27A17">
              <w:rPr>
                <w:i/>
                <w:iCs/>
                <w:sz w:val="18"/>
                <w:szCs w:val="18"/>
                <w:lang w:val="en-GB" w:eastAsia="en-US"/>
              </w:rPr>
              <w:t>. 250</w:t>
            </w:r>
            <w:r w:rsidR="00C27A17" w:rsidRPr="00C27A17">
              <w:rPr>
                <w:i/>
                <w:iCs/>
                <w:sz w:val="18"/>
                <w:szCs w:val="18"/>
                <w:lang w:val="en-GB" w:eastAsia="en-US"/>
              </w:rPr>
              <w:t>6</w:t>
            </w:r>
            <w:r w:rsidR="00513BEE">
              <w:rPr>
                <w:i/>
                <w:iCs/>
                <w:sz w:val="18"/>
                <w:szCs w:val="18"/>
                <w:lang w:val="en-GB" w:eastAsia="en-US"/>
              </w:rPr>
              <w:t>29</w:t>
            </w:r>
          </w:p>
        </w:tc>
        <w:tc>
          <w:tcPr>
            <w:tcW w:w="425" w:type="dxa"/>
            <w:tcBorders>
              <w:top w:val="single" w:sz="6" w:space="0" w:color="auto"/>
              <w:left w:val="single" w:sz="6" w:space="0" w:color="auto"/>
              <w:bottom w:val="single" w:sz="6" w:space="0" w:color="auto"/>
              <w:right w:val="single" w:sz="6" w:space="0" w:color="auto"/>
            </w:tcBorders>
          </w:tcPr>
          <w:p w14:paraId="43D844C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C27A17"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B40F4D"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D054757" w14:textId="77777777" w:rsidR="00FB07D3" w:rsidRDefault="00FB07D3"/>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5119DB">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38F6EAB7"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F21040">
              <w:rPr>
                <w:sz w:val="22"/>
                <w:szCs w:val="22"/>
              </w:rPr>
              <w:t>43</w:t>
            </w:r>
          </w:p>
        </w:tc>
      </w:tr>
    </w:tbl>
    <w:p w14:paraId="19EEDF1A" w14:textId="7BF1A79B" w:rsidR="00987069" w:rsidRDefault="00987069" w:rsidP="00987069">
      <w:pPr>
        <w:widowControl/>
        <w:rPr>
          <w:sz w:val="22"/>
          <w:szCs w:val="22"/>
        </w:rPr>
      </w:pPr>
    </w:p>
    <w:p w14:paraId="1AF907BA" w14:textId="77777777" w:rsidR="0032382C" w:rsidRPr="00527E05" w:rsidRDefault="0032382C" w:rsidP="0032382C">
      <w:pPr>
        <w:rPr>
          <w:b/>
          <w:snapToGrid w:val="0"/>
          <w:sz w:val="22"/>
          <w:szCs w:val="22"/>
        </w:rPr>
      </w:pPr>
      <w:bookmarkStart w:id="2" w:name="_Hlk184296237"/>
      <w:r w:rsidRPr="0010456C">
        <w:rPr>
          <w:b/>
          <w:sz w:val="22"/>
          <w:szCs w:val="22"/>
        </w:rPr>
        <w:t xml:space="preserve">Överläggning den </w:t>
      </w:r>
      <w:r>
        <w:rPr>
          <w:b/>
          <w:sz w:val="22"/>
          <w:szCs w:val="22"/>
        </w:rPr>
        <w:t>17 juni</w:t>
      </w:r>
      <w:r w:rsidRPr="0010456C">
        <w:rPr>
          <w:b/>
          <w:sz w:val="22"/>
          <w:szCs w:val="22"/>
        </w:rPr>
        <w:t xml:space="preserve"> 2025 om </w:t>
      </w:r>
      <w:r>
        <w:rPr>
          <w:b/>
          <w:sz w:val="22"/>
          <w:szCs w:val="22"/>
        </w:rPr>
        <w:t>kommissionens f</w:t>
      </w:r>
      <w:r w:rsidRPr="00BF4A10">
        <w:rPr>
          <w:b/>
          <w:sz w:val="22"/>
          <w:szCs w:val="22"/>
        </w:rPr>
        <w:t xml:space="preserve">örslag till Europaparlamentets och rådets förordning om ändring av förordning (EU) 2021/2115 vad gäller systemet med grundvillkor, interventionstyper i form av direktstöd, interventionstyper i vissa sektorer och för landsbygdsutveckling och årliga prestationsrapporter samt av förordning (EU) 2021/2116 vad gäller dataförvaltning och </w:t>
      </w:r>
      <w:proofErr w:type="spellStart"/>
      <w:r w:rsidRPr="00BF4A10">
        <w:rPr>
          <w:b/>
          <w:sz w:val="22"/>
          <w:szCs w:val="22"/>
        </w:rPr>
        <w:t>interoperabilitet</w:t>
      </w:r>
      <w:proofErr w:type="spellEnd"/>
      <w:r w:rsidRPr="00BF4A10">
        <w:rPr>
          <w:b/>
          <w:sz w:val="22"/>
          <w:szCs w:val="22"/>
        </w:rPr>
        <w:t>, innehållande av utbetalningar, årligt prestationsavslut och kontroller och sanktioner</w:t>
      </w:r>
      <w:r w:rsidRPr="00BF4A10">
        <w:rPr>
          <w:b/>
          <w:sz w:val="22"/>
          <w:szCs w:val="22"/>
        </w:rPr>
        <w:br/>
      </w:r>
      <w:r>
        <w:rPr>
          <w:b/>
          <w:sz w:val="22"/>
          <w:szCs w:val="22"/>
        </w:rPr>
        <w:br/>
      </w:r>
      <w:r w:rsidRPr="00527E05">
        <w:rPr>
          <w:b/>
          <w:bCs/>
          <w:sz w:val="22"/>
          <w:szCs w:val="22"/>
        </w:rPr>
        <w:t>Preliminär svensk ståndpunkt:</w:t>
      </w:r>
    </w:p>
    <w:bookmarkEnd w:id="2"/>
    <w:p w14:paraId="5EAA3DF7"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 xml:space="preserve">Regeringen välkomnar att kommissionen lämnar förslag som innebär förenkling för både jordbrukare och myndigheter och som i stor utsträckning går i linje med målsättningarna för den svenska livsmedelsstrategin. Förslaget ger även förutsättningar för att stärka djurvälfärden. Regeringens övergripande inställning är att företagens regelbörda ska minska betydligt och anser därför att det behövs ytterligare förenklingar och förändringar om politiken ska bli såväl enklare som nå en högre måluppfyllelse. </w:t>
      </w:r>
    </w:p>
    <w:p w14:paraId="44180CF0" w14:textId="77777777" w:rsidR="0032382C" w:rsidRPr="00BF4A10" w:rsidRDefault="0032382C" w:rsidP="0032382C">
      <w:pPr>
        <w:widowControl/>
        <w:autoSpaceDE w:val="0"/>
        <w:autoSpaceDN w:val="0"/>
        <w:adjustRightInd w:val="0"/>
        <w:rPr>
          <w:color w:val="000000"/>
          <w:sz w:val="22"/>
          <w:szCs w:val="22"/>
        </w:rPr>
      </w:pPr>
    </w:p>
    <w:p w14:paraId="69B535B7"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Nationella krav som går utöver nivån i </w:t>
      </w:r>
      <w:proofErr w:type="spellStart"/>
      <w:r w:rsidRPr="00BF4A10">
        <w:rPr>
          <w:i/>
          <w:iCs/>
          <w:color w:val="000000"/>
          <w:sz w:val="22"/>
          <w:szCs w:val="22"/>
        </w:rPr>
        <w:t>EU-regelverk</w:t>
      </w:r>
      <w:proofErr w:type="spellEnd"/>
      <w:r w:rsidRPr="00BF4A10">
        <w:rPr>
          <w:i/>
          <w:iCs/>
          <w:color w:val="000000"/>
          <w:sz w:val="22"/>
          <w:szCs w:val="22"/>
        </w:rPr>
        <w:t xml:space="preserve"> </w:t>
      </w:r>
    </w:p>
    <w:p w14:paraId="67DAA836"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 xml:space="preserve">Regeringen anser att när det gäller stöd som relaterar till djurvälfärd bör det vara möjligt att ersätta för lagkrav och praxis för en nivå som överstiger den generella EU-nivån och välkomnar förslaget om att det ska vara tillåtet att betala för djurskyddsregler som går utöver nivån i </w:t>
      </w:r>
      <w:proofErr w:type="spellStart"/>
      <w:r w:rsidRPr="00BF4A10">
        <w:rPr>
          <w:color w:val="000000"/>
          <w:sz w:val="22"/>
          <w:szCs w:val="22"/>
        </w:rPr>
        <w:t>EU-regelverk</w:t>
      </w:r>
      <w:proofErr w:type="spellEnd"/>
      <w:r w:rsidRPr="00BF4A10">
        <w:rPr>
          <w:color w:val="000000"/>
          <w:sz w:val="22"/>
          <w:szCs w:val="22"/>
        </w:rPr>
        <w:t>.</w:t>
      </w:r>
    </w:p>
    <w:p w14:paraId="4A740DB0"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613DEC42"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Systemet för grundvillkor och undantag för ekologiska lantbrukare </w:t>
      </w:r>
    </w:p>
    <w:p w14:paraId="1F9D7938" w14:textId="77777777" w:rsidR="0032382C" w:rsidRDefault="0032382C" w:rsidP="0032382C">
      <w:pPr>
        <w:rPr>
          <w:color w:val="000000"/>
          <w:sz w:val="22"/>
          <w:szCs w:val="22"/>
        </w:rPr>
      </w:pPr>
      <w:r w:rsidRPr="00BF4A10">
        <w:rPr>
          <w:color w:val="000000"/>
          <w:sz w:val="22"/>
          <w:szCs w:val="22"/>
        </w:rPr>
        <w:t xml:space="preserve">Regeringen välkomnar förenklingar av grundvillkoren och kan ställa sig bakom de förenklingar som föreslås men hade gärna sett ytterligare förenklingar, särskilt ett borttagande av GAEC 7 (växtföljdskrav). Regeringen anser att ytterligare förenklingar av grundvillkoren bör genomföras i kommande reform av GJP. </w:t>
      </w:r>
    </w:p>
    <w:p w14:paraId="774019A1" w14:textId="77777777" w:rsidR="0032382C" w:rsidRDefault="0032382C" w:rsidP="0032382C">
      <w:pPr>
        <w:rPr>
          <w:color w:val="000000"/>
          <w:sz w:val="22"/>
          <w:szCs w:val="22"/>
        </w:rPr>
      </w:pPr>
    </w:p>
    <w:p w14:paraId="71242FD8"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Stöd till mindre jordbruk </w:t>
      </w:r>
    </w:p>
    <w:p w14:paraId="144C6323"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Regeringen bedömer att en utvidgning av stödet till små jordbruk skulle kunna innebära en förenkling men att det är viktigt att väga förenkling mot ändamålsenlighet. Detsamma gäller investeringsstödet för små jordbrukare där förenklat förfarande måste vägas mot träffsäkerheten i stöden.</w:t>
      </w:r>
    </w:p>
    <w:p w14:paraId="5183FE52"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4FC06A01"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Stöd per djur </w:t>
      </w:r>
    </w:p>
    <w:p w14:paraId="23AF7684"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Regeringen är positiv till den föreslagna möjligheten att, utöver per hektar, betala ut ersättningar för ekologisk produktion och klimatet baserat på djurenhet. Regeringen anser samtidigt att möjligheten att använda djurenhet som grund för ersättningar också ska vara tillåtet för ersättningar som möter andra behov inom miljöområdet än klimat eftersom det skulle kunna förenkla vissa betesbaserade stöd.</w:t>
      </w:r>
    </w:p>
    <w:p w14:paraId="1D626ABD"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63A5A4C2"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Risk- och krishantering </w:t>
      </w:r>
    </w:p>
    <w:p w14:paraId="64AE86FB"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Regeringen anser att förslaget om att rikta användningen av medel från jordbruksreserven till </w:t>
      </w:r>
      <w:proofErr w:type="spellStart"/>
      <w:r w:rsidRPr="00BF4A10">
        <w:rPr>
          <w:color w:val="000000"/>
          <w:sz w:val="22"/>
          <w:szCs w:val="22"/>
        </w:rPr>
        <w:t>marknadskriser</w:t>
      </w:r>
      <w:proofErr w:type="spellEnd"/>
      <w:r w:rsidRPr="00BF4A10">
        <w:rPr>
          <w:color w:val="000000"/>
          <w:sz w:val="22"/>
          <w:szCs w:val="22"/>
        </w:rPr>
        <w:t xml:space="preserve"> och samtidigt öppna för medlemsstater att omfördela medel från inkomststödet till utbrott av djursjukdomar och extremväder är rimligt. Jordbruksreserven har idag i stor utsträckning gått till klimatrelaterade väderhändelser och utbrott av sjukdomar och det belopp som är avsatt till jordbruksreserven täcker inte de kostnader som följer av dessa kriser. </w:t>
      </w:r>
    </w:p>
    <w:p w14:paraId="167D4997"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Regeringen förordar samtidigt förebyggande åtgärder snarare än krisstöd i efterhand.</w:t>
      </w:r>
    </w:p>
    <w:p w14:paraId="5F7CE9BD"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561FE73A"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Ändringar av strategisk plan </w:t>
      </w:r>
    </w:p>
    <w:p w14:paraId="20F687AB"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Regeringen stödjer föreslagna förenklingar av regelverket för hur ändringar av den strategiska planen ska göras då det underlättar för myndigheterna och ökar möjligheten att anpassa de strategiska planerna utifrån förändrade förutsättningar.</w:t>
      </w:r>
    </w:p>
    <w:p w14:paraId="2CBF7EAB"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496B2DE7" w14:textId="77777777" w:rsidR="0032382C" w:rsidRPr="00BF4A10" w:rsidRDefault="0032382C" w:rsidP="0032382C">
      <w:pPr>
        <w:rPr>
          <w:sz w:val="22"/>
          <w:szCs w:val="22"/>
        </w:rPr>
      </w:pPr>
      <w:r w:rsidRPr="00BF4A10">
        <w:rPr>
          <w:i/>
          <w:iCs/>
          <w:color w:val="000000"/>
          <w:sz w:val="22"/>
          <w:szCs w:val="22"/>
        </w:rPr>
        <w:t xml:space="preserve">Årlig prestationsrapportering </w:t>
      </w:r>
    </w:p>
    <w:p w14:paraId="2FCCD135"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 xml:space="preserve">Regeringen stödjer kommissionens förslag att ta bort den årliga prestationsrapporteringen då den orsakar stor administration och inte en ändamålsenlig uppföljning av genomförandet av GJP. Regeringen anser också att det finns andra delar av den resultatorienterade modellen som behöver förbättras och bedömer att den ännu inte kan sägas bidra till ambitionerna om förenkling och flexibilitet, vilket var målsättningen när den infördes. </w:t>
      </w:r>
    </w:p>
    <w:p w14:paraId="5F82B35F" w14:textId="77777777" w:rsidR="0032382C" w:rsidRPr="00BF4A10" w:rsidRDefault="0032382C" w:rsidP="0032382C">
      <w:pPr>
        <w:widowControl/>
        <w:autoSpaceDE w:val="0"/>
        <w:autoSpaceDN w:val="0"/>
        <w:adjustRightInd w:val="0"/>
        <w:rPr>
          <w:color w:val="000000"/>
          <w:sz w:val="22"/>
          <w:szCs w:val="22"/>
        </w:rPr>
      </w:pPr>
    </w:p>
    <w:p w14:paraId="54470968" w14:textId="77777777" w:rsidR="00E97B38" w:rsidRDefault="00E97B38" w:rsidP="0032382C">
      <w:pPr>
        <w:widowControl/>
        <w:autoSpaceDE w:val="0"/>
        <w:autoSpaceDN w:val="0"/>
        <w:adjustRightInd w:val="0"/>
        <w:rPr>
          <w:i/>
          <w:iCs/>
          <w:color w:val="000000"/>
          <w:sz w:val="22"/>
          <w:szCs w:val="22"/>
        </w:rPr>
      </w:pPr>
    </w:p>
    <w:p w14:paraId="34282A8A" w14:textId="673E18B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lastRenderedPageBreak/>
        <w:t xml:space="preserve">Datadelning </w:t>
      </w:r>
    </w:p>
    <w:p w14:paraId="03F4C09C" w14:textId="77777777" w:rsidR="0032382C" w:rsidRDefault="0032382C" w:rsidP="0032382C">
      <w:pPr>
        <w:widowControl/>
        <w:autoSpaceDE w:val="0"/>
        <w:autoSpaceDN w:val="0"/>
        <w:adjustRightInd w:val="0"/>
        <w:rPr>
          <w:color w:val="000000"/>
          <w:sz w:val="22"/>
          <w:szCs w:val="22"/>
        </w:rPr>
      </w:pPr>
      <w:r w:rsidRPr="00BF4A10">
        <w:rPr>
          <w:color w:val="000000"/>
          <w:sz w:val="22"/>
          <w:szCs w:val="22"/>
        </w:rPr>
        <w:t>Regeringen ser positivt på förslag att underlätta för datadelning samtidigt som ägarskapet och sekretessen behöver säkerställas. En ökad tillgång till data ger potential att förbättra, förenkla och effektivisera för stödmottagare, främja innovation och företagande och förbättra förutsättningarna för myndighetsutövning i genomförandet av GJP. För att kunna dra nytta av möjligheterna med datadelning är det viktigt att kommissionen visar förståelse för medlemsstaternas stödsystem och nationella förutsättningar och ger tillräckligt med flexibilitet i implementeringen. Vidare bör det tvärsektoriella perspektivet på digitalisering och förutsättningar för utvecklad datadelning beaktas.</w:t>
      </w:r>
    </w:p>
    <w:p w14:paraId="5F8DD74B" w14:textId="77777777" w:rsidR="0032382C" w:rsidRPr="00BF4A10" w:rsidRDefault="0032382C" w:rsidP="0032382C">
      <w:pPr>
        <w:widowControl/>
        <w:autoSpaceDE w:val="0"/>
        <w:autoSpaceDN w:val="0"/>
        <w:adjustRightInd w:val="0"/>
        <w:rPr>
          <w:color w:val="000000"/>
          <w:sz w:val="22"/>
          <w:szCs w:val="22"/>
        </w:rPr>
      </w:pPr>
      <w:r w:rsidRPr="00BF4A10">
        <w:rPr>
          <w:color w:val="000000"/>
          <w:sz w:val="22"/>
          <w:szCs w:val="22"/>
        </w:rPr>
        <w:t xml:space="preserve"> </w:t>
      </w:r>
    </w:p>
    <w:p w14:paraId="5F89420B" w14:textId="77777777" w:rsidR="0032382C" w:rsidRPr="00BF4A10" w:rsidRDefault="0032382C" w:rsidP="0032382C">
      <w:pPr>
        <w:widowControl/>
        <w:autoSpaceDE w:val="0"/>
        <w:autoSpaceDN w:val="0"/>
        <w:adjustRightInd w:val="0"/>
        <w:rPr>
          <w:color w:val="000000"/>
          <w:sz w:val="22"/>
          <w:szCs w:val="22"/>
        </w:rPr>
      </w:pPr>
      <w:r w:rsidRPr="00BF4A10">
        <w:rPr>
          <w:i/>
          <w:iCs/>
          <w:color w:val="000000"/>
          <w:sz w:val="22"/>
          <w:szCs w:val="22"/>
        </w:rPr>
        <w:t xml:space="preserve">Kontroller </w:t>
      </w:r>
    </w:p>
    <w:p w14:paraId="2FB78C1E" w14:textId="77777777" w:rsidR="0032382C" w:rsidRPr="00BF4A10" w:rsidRDefault="0032382C" w:rsidP="0032382C">
      <w:pPr>
        <w:rPr>
          <w:sz w:val="22"/>
          <w:szCs w:val="22"/>
        </w:rPr>
      </w:pPr>
      <w:r w:rsidRPr="00BF4A10">
        <w:rPr>
          <w:color w:val="000000"/>
          <w:sz w:val="22"/>
          <w:szCs w:val="22"/>
        </w:rPr>
        <w:t xml:space="preserve">Proportionella och ändamålsenliga regler om kontroller, sanktioner och revisioner är enligt regeringens mening en förutsättning för ett effektivt och förenklat genomförande av GJP. Regeringen stödjer kommissionens ansats att begränsa antalet kontroller hos stödmottagaren. </w:t>
      </w:r>
    </w:p>
    <w:p w14:paraId="2F8738DC" w14:textId="77777777" w:rsidR="0032382C" w:rsidRDefault="0032382C" w:rsidP="0032382C">
      <w:pPr>
        <w:rPr>
          <w:sz w:val="22"/>
          <w:szCs w:val="22"/>
        </w:rPr>
      </w:pPr>
    </w:p>
    <w:p w14:paraId="719D2137" w14:textId="77777777" w:rsidR="0032382C" w:rsidRDefault="0032382C" w:rsidP="0032382C">
      <w:pPr>
        <w:rPr>
          <w:sz w:val="22"/>
          <w:szCs w:val="22"/>
        </w:rPr>
      </w:pPr>
    </w:p>
    <w:p w14:paraId="34103E42" w14:textId="77777777" w:rsidR="0032382C" w:rsidRPr="001031CB" w:rsidRDefault="0032382C" w:rsidP="0032382C">
      <w:pPr>
        <w:rPr>
          <w:b/>
          <w:bCs/>
          <w:sz w:val="22"/>
          <w:szCs w:val="22"/>
        </w:rPr>
      </w:pPr>
      <w:r w:rsidRPr="001031CB">
        <w:rPr>
          <w:b/>
          <w:bCs/>
          <w:sz w:val="22"/>
          <w:szCs w:val="22"/>
        </w:rPr>
        <w:t>Förslag till svensk ståndpunkt i kommenterad dagordning</w:t>
      </w:r>
      <w:r>
        <w:rPr>
          <w:b/>
          <w:bCs/>
          <w:sz w:val="22"/>
          <w:szCs w:val="22"/>
        </w:rPr>
        <w:t>:</w:t>
      </w:r>
    </w:p>
    <w:p w14:paraId="6E312671" w14:textId="77777777" w:rsidR="0032382C" w:rsidRDefault="0032382C" w:rsidP="0032382C">
      <w:pPr>
        <w:widowControl/>
        <w:rPr>
          <w:sz w:val="22"/>
          <w:szCs w:val="22"/>
        </w:rPr>
      </w:pPr>
      <w:r w:rsidRPr="001031CB">
        <w:rPr>
          <w:sz w:val="22"/>
          <w:szCs w:val="22"/>
        </w:rPr>
        <w:t xml:space="preserve">Regeringen välkomnar att kommissionen lämnar förslag för att underlätta för både stödmottagare och myndigheter. Regeringen är särskilt positiv till förslaget att kunna betala för nationella djurskyddskrav som går utöver nivån i </w:t>
      </w:r>
      <w:proofErr w:type="spellStart"/>
      <w:r w:rsidRPr="001031CB">
        <w:rPr>
          <w:sz w:val="22"/>
          <w:szCs w:val="22"/>
        </w:rPr>
        <w:t>EU-regelverken</w:t>
      </w:r>
      <w:proofErr w:type="spellEnd"/>
      <w:r w:rsidRPr="001031CB">
        <w:rPr>
          <w:sz w:val="22"/>
          <w:szCs w:val="22"/>
        </w:rPr>
        <w:t>, vilket ger förutsättning att stärka djurvälfärden.</w:t>
      </w:r>
    </w:p>
    <w:p w14:paraId="6E9CAD4A" w14:textId="77777777" w:rsidR="0032382C" w:rsidRDefault="0032382C" w:rsidP="0032382C">
      <w:pPr>
        <w:widowControl/>
        <w:rPr>
          <w:sz w:val="22"/>
          <w:szCs w:val="22"/>
        </w:rPr>
      </w:pPr>
    </w:p>
    <w:p w14:paraId="53D62B80" w14:textId="44A113F9" w:rsidR="00987069" w:rsidRDefault="0032382C" w:rsidP="00987069">
      <w:pPr>
        <w:widowControl/>
        <w:rPr>
          <w:sz w:val="22"/>
          <w:szCs w:val="22"/>
        </w:rPr>
      </w:pPr>
      <w:r w:rsidRPr="001031CB">
        <w:rPr>
          <w:sz w:val="22"/>
          <w:szCs w:val="22"/>
        </w:rPr>
        <w:t>Regeringens övergripande inställning är att företagens regelbörda ska minska betydligt och anser att det behövs ytterligare förenklingar i kommande reform av GJP om politiken ska bli enklare och nå en högre måluppfyllelse</w:t>
      </w:r>
    </w:p>
    <w:p w14:paraId="7287FF76" w14:textId="6660410F" w:rsidR="00E97B38" w:rsidRDefault="00E97B38" w:rsidP="00987069">
      <w:pPr>
        <w:widowControl/>
        <w:rPr>
          <w:sz w:val="22"/>
          <w:szCs w:val="22"/>
        </w:rPr>
      </w:pPr>
    </w:p>
    <w:p w14:paraId="15ACCB92" w14:textId="210A61D4" w:rsidR="00E97B38" w:rsidRDefault="00E97B38" w:rsidP="00987069">
      <w:pPr>
        <w:widowControl/>
        <w:rPr>
          <w:sz w:val="22"/>
          <w:szCs w:val="22"/>
        </w:rPr>
      </w:pPr>
    </w:p>
    <w:p w14:paraId="2657C7ED" w14:textId="109D94A2" w:rsidR="00E97B38" w:rsidRDefault="00E97B38" w:rsidP="00987069">
      <w:pPr>
        <w:widowControl/>
        <w:rPr>
          <w:sz w:val="22"/>
          <w:szCs w:val="22"/>
        </w:rPr>
      </w:pPr>
    </w:p>
    <w:p w14:paraId="085BD3E9" w14:textId="45DD48F1" w:rsidR="00E97B38" w:rsidRDefault="00E97B38" w:rsidP="00987069">
      <w:pPr>
        <w:widowControl/>
        <w:rPr>
          <w:sz w:val="22"/>
          <w:szCs w:val="22"/>
        </w:rPr>
      </w:pPr>
    </w:p>
    <w:p w14:paraId="55442156" w14:textId="31BFCDA4" w:rsidR="00E97B38" w:rsidRDefault="00E97B38" w:rsidP="00987069">
      <w:pPr>
        <w:widowControl/>
        <w:rPr>
          <w:sz w:val="22"/>
          <w:szCs w:val="22"/>
        </w:rPr>
      </w:pPr>
    </w:p>
    <w:p w14:paraId="2640C78C" w14:textId="1E341DD4" w:rsidR="00E97B38" w:rsidRDefault="00E97B38" w:rsidP="00987069">
      <w:pPr>
        <w:widowControl/>
        <w:rPr>
          <w:sz w:val="22"/>
          <w:szCs w:val="22"/>
        </w:rPr>
      </w:pPr>
    </w:p>
    <w:p w14:paraId="50690AEF" w14:textId="68D54026" w:rsidR="00E97B38" w:rsidRDefault="00E97B38" w:rsidP="00987069">
      <w:pPr>
        <w:widowControl/>
        <w:rPr>
          <w:sz w:val="22"/>
          <w:szCs w:val="22"/>
        </w:rPr>
      </w:pPr>
    </w:p>
    <w:p w14:paraId="580ADD07" w14:textId="33CE2C9C" w:rsidR="00E97B38" w:rsidRDefault="00E97B38" w:rsidP="00987069">
      <w:pPr>
        <w:widowControl/>
        <w:rPr>
          <w:sz w:val="22"/>
          <w:szCs w:val="22"/>
        </w:rPr>
      </w:pPr>
    </w:p>
    <w:p w14:paraId="07923910" w14:textId="0FA3CCDE" w:rsidR="00E97B38" w:rsidRDefault="00E97B38" w:rsidP="00987069">
      <w:pPr>
        <w:widowControl/>
        <w:rPr>
          <w:sz w:val="22"/>
          <w:szCs w:val="22"/>
        </w:rPr>
      </w:pPr>
    </w:p>
    <w:p w14:paraId="19F72104" w14:textId="38BA4B0E" w:rsidR="00E97B38" w:rsidRDefault="00E97B38" w:rsidP="00987069">
      <w:pPr>
        <w:widowControl/>
        <w:rPr>
          <w:sz w:val="22"/>
          <w:szCs w:val="22"/>
        </w:rPr>
      </w:pPr>
    </w:p>
    <w:p w14:paraId="5DDE1F31" w14:textId="2D5F831A" w:rsidR="00E97B38" w:rsidRDefault="00E97B38" w:rsidP="00987069">
      <w:pPr>
        <w:widowControl/>
        <w:rPr>
          <w:sz w:val="22"/>
          <w:szCs w:val="22"/>
        </w:rPr>
      </w:pPr>
    </w:p>
    <w:p w14:paraId="4435504A" w14:textId="4C560A89" w:rsidR="00E97B38" w:rsidRDefault="00E97B38" w:rsidP="00987069">
      <w:pPr>
        <w:widowControl/>
        <w:rPr>
          <w:sz w:val="22"/>
          <w:szCs w:val="22"/>
        </w:rPr>
      </w:pPr>
    </w:p>
    <w:p w14:paraId="1BDF19F1" w14:textId="58F2E2CE" w:rsidR="00E97B38" w:rsidRDefault="00E97B38" w:rsidP="00987069">
      <w:pPr>
        <w:widowControl/>
        <w:rPr>
          <w:sz w:val="22"/>
          <w:szCs w:val="22"/>
        </w:rPr>
      </w:pPr>
    </w:p>
    <w:p w14:paraId="78F3D1C6" w14:textId="3CC38A12" w:rsidR="00E97B38" w:rsidRDefault="00E97B38" w:rsidP="00987069">
      <w:pPr>
        <w:widowControl/>
        <w:rPr>
          <w:sz w:val="22"/>
          <w:szCs w:val="22"/>
        </w:rPr>
      </w:pPr>
    </w:p>
    <w:p w14:paraId="3494B92B" w14:textId="48907E49" w:rsidR="00E97B38" w:rsidRDefault="00E97B38" w:rsidP="00987069">
      <w:pPr>
        <w:widowControl/>
        <w:rPr>
          <w:sz w:val="22"/>
          <w:szCs w:val="22"/>
        </w:rPr>
      </w:pPr>
    </w:p>
    <w:p w14:paraId="6A49A44A" w14:textId="263088B2" w:rsidR="00E97B38" w:rsidRDefault="00E97B38" w:rsidP="00987069">
      <w:pPr>
        <w:widowControl/>
        <w:rPr>
          <w:sz w:val="22"/>
          <w:szCs w:val="22"/>
        </w:rPr>
      </w:pPr>
    </w:p>
    <w:p w14:paraId="2EF8D807" w14:textId="1B844356" w:rsidR="00E97B38" w:rsidRDefault="00E97B38" w:rsidP="00987069">
      <w:pPr>
        <w:widowControl/>
        <w:rPr>
          <w:sz w:val="22"/>
          <w:szCs w:val="22"/>
        </w:rPr>
      </w:pPr>
    </w:p>
    <w:p w14:paraId="3C17F5F6" w14:textId="7E43AF49" w:rsidR="00E97B38" w:rsidRDefault="00E97B38" w:rsidP="00987069">
      <w:pPr>
        <w:widowControl/>
        <w:rPr>
          <w:sz w:val="22"/>
          <w:szCs w:val="22"/>
        </w:rPr>
      </w:pPr>
    </w:p>
    <w:p w14:paraId="05A88A52" w14:textId="2DCF1693" w:rsidR="00E97B38" w:rsidRDefault="00E97B38" w:rsidP="00987069">
      <w:pPr>
        <w:widowControl/>
        <w:rPr>
          <w:sz w:val="22"/>
          <w:szCs w:val="22"/>
        </w:rPr>
      </w:pPr>
    </w:p>
    <w:p w14:paraId="7CA1D460" w14:textId="675D51F2" w:rsidR="00E97B38" w:rsidRDefault="00E97B38" w:rsidP="00987069">
      <w:pPr>
        <w:widowControl/>
        <w:rPr>
          <w:sz w:val="22"/>
          <w:szCs w:val="22"/>
        </w:rPr>
      </w:pPr>
    </w:p>
    <w:p w14:paraId="021DA07D" w14:textId="45A27A48" w:rsidR="00E97B38" w:rsidRDefault="00E97B38" w:rsidP="00987069">
      <w:pPr>
        <w:widowControl/>
        <w:rPr>
          <w:sz w:val="22"/>
          <w:szCs w:val="22"/>
        </w:rPr>
      </w:pPr>
    </w:p>
    <w:p w14:paraId="0539EFB5" w14:textId="1AADAB2D" w:rsidR="00E97B38" w:rsidRDefault="00E97B38" w:rsidP="00987069">
      <w:pPr>
        <w:widowControl/>
        <w:rPr>
          <w:sz w:val="22"/>
          <w:szCs w:val="22"/>
        </w:rPr>
      </w:pPr>
    </w:p>
    <w:p w14:paraId="138CAE93" w14:textId="1711ECFC" w:rsidR="00E97B38" w:rsidRDefault="00E97B38" w:rsidP="00987069">
      <w:pPr>
        <w:widowControl/>
        <w:rPr>
          <w:sz w:val="22"/>
          <w:szCs w:val="22"/>
        </w:rPr>
      </w:pPr>
    </w:p>
    <w:p w14:paraId="25BD4023" w14:textId="68524838" w:rsidR="00E97B38" w:rsidRDefault="00E97B38" w:rsidP="00987069">
      <w:pPr>
        <w:widowControl/>
        <w:rPr>
          <w:sz w:val="22"/>
          <w:szCs w:val="22"/>
        </w:rPr>
      </w:pPr>
    </w:p>
    <w:p w14:paraId="37A96D74" w14:textId="79D8BE33" w:rsidR="00E97B38" w:rsidRDefault="00E97B38" w:rsidP="00987069">
      <w:pPr>
        <w:widowControl/>
        <w:rPr>
          <w:sz w:val="22"/>
          <w:szCs w:val="22"/>
        </w:rPr>
      </w:pPr>
    </w:p>
    <w:p w14:paraId="0B059A2D" w14:textId="70F85655" w:rsidR="00E97B38" w:rsidRDefault="00E97B38" w:rsidP="00987069">
      <w:pPr>
        <w:widowControl/>
        <w:rPr>
          <w:sz w:val="22"/>
          <w:szCs w:val="22"/>
        </w:rPr>
      </w:pPr>
    </w:p>
    <w:p w14:paraId="0214FE9B" w14:textId="7A78405E" w:rsidR="00E97B38" w:rsidRDefault="00E97B38" w:rsidP="00987069">
      <w:pPr>
        <w:widowControl/>
        <w:rPr>
          <w:sz w:val="22"/>
          <w:szCs w:val="22"/>
        </w:rPr>
      </w:pPr>
    </w:p>
    <w:p w14:paraId="724A61F7" w14:textId="2A9D2F67" w:rsidR="00E97B38" w:rsidRDefault="00E97B38" w:rsidP="00987069">
      <w:pPr>
        <w:widowControl/>
        <w:rPr>
          <w:sz w:val="22"/>
          <w:szCs w:val="22"/>
        </w:rPr>
      </w:pPr>
    </w:p>
    <w:p w14:paraId="6B3040D5" w14:textId="353410FC" w:rsidR="00E97B38" w:rsidRDefault="00E97B38" w:rsidP="00987069">
      <w:pPr>
        <w:widowControl/>
        <w:rPr>
          <w:sz w:val="22"/>
          <w:szCs w:val="22"/>
        </w:rPr>
      </w:pPr>
    </w:p>
    <w:p w14:paraId="297C52B7" w14:textId="217DEEAE" w:rsidR="00E97B38" w:rsidRDefault="00E97B38" w:rsidP="00987069">
      <w:pPr>
        <w:widowControl/>
        <w:rPr>
          <w:sz w:val="22"/>
          <w:szCs w:val="22"/>
        </w:rPr>
      </w:pPr>
    </w:p>
    <w:p w14:paraId="773A4586" w14:textId="118A2E5A" w:rsidR="00E97B38" w:rsidRDefault="00E97B38" w:rsidP="00987069">
      <w:pPr>
        <w:widowControl/>
        <w:rPr>
          <w:sz w:val="22"/>
          <w:szCs w:val="22"/>
        </w:rPr>
      </w:pPr>
    </w:p>
    <w:p w14:paraId="7D20F228" w14:textId="73F6E2F6" w:rsidR="00E97B38" w:rsidRDefault="00E97B38" w:rsidP="00987069">
      <w:pPr>
        <w:widowControl/>
        <w:rPr>
          <w:sz w:val="22"/>
          <w:szCs w:val="22"/>
        </w:rPr>
      </w:pPr>
    </w:p>
    <w:p w14:paraId="616DF013" w14:textId="519FFAB8" w:rsidR="00E97B38" w:rsidRDefault="00E97B38" w:rsidP="00987069">
      <w:pPr>
        <w:widowControl/>
        <w:rPr>
          <w:sz w:val="22"/>
          <w:szCs w:val="22"/>
        </w:rPr>
      </w:pPr>
    </w:p>
    <w:p w14:paraId="01623B51" w14:textId="308A3711" w:rsidR="00E97B38" w:rsidRDefault="00E97B38" w:rsidP="00987069">
      <w:pPr>
        <w:widowControl/>
        <w:rPr>
          <w:sz w:val="22"/>
          <w:szCs w:val="22"/>
        </w:rPr>
      </w:pPr>
    </w:p>
    <w:p w14:paraId="416F5A33" w14:textId="67E41F65" w:rsidR="00E97B38" w:rsidRDefault="00E97B38" w:rsidP="00987069">
      <w:pPr>
        <w:widowControl/>
        <w:rPr>
          <w:sz w:val="22"/>
          <w:szCs w:val="22"/>
        </w:rPr>
      </w:pPr>
    </w:p>
    <w:p w14:paraId="35954527" w14:textId="3A8AAC61" w:rsidR="00E97B38" w:rsidRDefault="00E97B38" w:rsidP="00987069">
      <w:pPr>
        <w:widowControl/>
        <w:rPr>
          <w:sz w:val="22"/>
          <w:szCs w:val="22"/>
        </w:rPr>
      </w:pPr>
    </w:p>
    <w:p w14:paraId="7503DC74" w14:textId="302D3877" w:rsidR="00E97B38" w:rsidRDefault="00E97B38" w:rsidP="00987069">
      <w:pPr>
        <w:widowControl/>
        <w:rPr>
          <w:sz w:val="22"/>
          <w:szCs w:val="22"/>
        </w:rPr>
      </w:pPr>
    </w:p>
    <w:p w14:paraId="1FC97F97" w14:textId="77777777" w:rsidR="00987069"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2D52F455" w14:textId="77777777" w:rsidTr="00DC7DFD">
        <w:tc>
          <w:tcPr>
            <w:tcW w:w="6532" w:type="dxa"/>
          </w:tcPr>
          <w:p w14:paraId="103086D8" w14:textId="0A077201" w:rsidR="00987069" w:rsidRPr="00F01A93" w:rsidRDefault="00987069" w:rsidP="00DC7DFD">
            <w:pPr>
              <w:tabs>
                <w:tab w:val="left" w:pos="1276"/>
              </w:tabs>
              <w:rPr>
                <w:sz w:val="22"/>
                <w:szCs w:val="22"/>
              </w:rPr>
            </w:pPr>
            <w:r w:rsidRPr="00F01A93">
              <w:rPr>
                <w:sz w:val="22"/>
                <w:szCs w:val="22"/>
              </w:rPr>
              <w:br w:type="page"/>
              <w:t>MILJ</w:t>
            </w:r>
            <w:r w:rsidR="00E97B38">
              <w:rPr>
                <w:sz w:val="22"/>
                <w:szCs w:val="22"/>
              </w:rPr>
              <w:t>Ö</w:t>
            </w:r>
            <w:r w:rsidRPr="00F01A93">
              <w:rPr>
                <w:sz w:val="22"/>
                <w:szCs w:val="22"/>
              </w:rPr>
              <w:t>- OCH JORDBRUKSUTSKOTTET</w:t>
            </w:r>
          </w:p>
        </w:tc>
        <w:tc>
          <w:tcPr>
            <w:tcW w:w="2206" w:type="dxa"/>
          </w:tcPr>
          <w:p w14:paraId="30B1CEC8" w14:textId="77777777" w:rsidR="00987069" w:rsidRPr="00F01A93" w:rsidRDefault="00987069" w:rsidP="00DC7DFD">
            <w:pPr>
              <w:tabs>
                <w:tab w:val="left" w:pos="1276"/>
              </w:tabs>
              <w:rPr>
                <w:sz w:val="22"/>
                <w:szCs w:val="22"/>
              </w:rPr>
            </w:pPr>
          </w:p>
        </w:tc>
        <w:tc>
          <w:tcPr>
            <w:tcW w:w="2036" w:type="dxa"/>
          </w:tcPr>
          <w:p w14:paraId="30569EFB" w14:textId="3B6A2E96" w:rsidR="00987069" w:rsidRPr="00F01A93" w:rsidRDefault="00987069" w:rsidP="00DC7DFD">
            <w:pPr>
              <w:tabs>
                <w:tab w:val="left" w:pos="1276"/>
              </w:tabs>
              <w:ind w:right="-212"/>
              <w:rPr>
                <w:b/>
                <w:sz w:val="22"/>
                <w:szCs w:val="22"/>
              </w:rPr>
            </w:pPr>
            <w:r w:rsidRPr="00F01A93">
              <w:rPr>
                <w:b/>
                <w:sz w:val="22"/>
                <w:szCs w:val="22"/>
              </w:rPr>
              <w:t xml:space="preserve">Bilaga </w:t>
            </w:r>
            <w:r>
              <w:rPr>
                <w:b/>
                <w:sz w:val="22"/>
                <w:szCs w:val="22"/>
              </w:rPr>
              <w:t>3</w:t>
            </w:r>
          </w:p>
          <w:p w14:paraId="061DD23D" w14:textId="77777777" w:rsidR="00987069" w:rsidRPr="00F01A93" w:rsidRDefault="00987069" w:rsidP="00DC7DFD">
            <w:pPr>
              <w:tabs>
                <w:tab w:val="left" w:pos="1276"/>
              </w:tabs>
              <w:ind w:right="-212"/>
              <w:rPr>
                <w:sz w:val="22"/>
                <w:szCs w:val="22"/>
              </w:rPr>
            </w:pPr>
            <w:r w:rsidRPr="00F01A93">
              <w:rPr>
                <w:sz w:val="22"/>
                <w:szCs w:val="22"/>
              </w:rPr>
              <w:t>till protokoll</w:t>
            </w:r>
          </w:p>
          <w:p w14:paraId="4117137A" w14:textId="0F2B530A"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F21040">
              <w:rPr>
                <w:sz w:val="22"/>
                <w:szCs w:val="22"/>
              </w:rPr>
              <w:t>43</w:t>
            </w:r>
          </w:p>
        </w:tc>
      </w:tr>
    </w:tbl>
    <w:p w14:paraId="46A58308" w14:textId="56A0AE89" w:rsidR="00E97B38" w:rsidRDefault="00E97B38" w:rsidP="00987069">
      <w:pPr>
        <w:tabs>
          <w:tab w:val="left" w:pos="142"/>
          <w:tab w:val="left" w:pos="7655"/>
        </w:tabs>
        <w:ind w:right="-568"/>
        <w:rPr>
          <w:sz w:val="22"/>
          <w:szCs w:val="22"/>
        </w:rPr>
      </w:pPr>
    </w:p>
    <w:p w14:paraId="60F5B118" w14:textId="77777777" w:rsidR="00E97B38" w:rsidRDefault="00E97B38" w:rsidP="00E97B38">
      <w:pPr>
        <w:rPr>
          <w:b/>
          <w:bCs/>
          <w:sz w:val="22"/>
          <w:szCs w:val="22"/>
        </w:rPr>
      </w:pPr>
      <w:r w:rsidRPr="00BF4A10">
        <w:rPr>
          <w:b/>
          <w:sz w:val="22"/>
          <w:szCs w:val="22"/>
        </w:rPr>
        <w:t xml:space="preserve">Förslag till Europaparlamentets och rådets förordning om ändring av förordning (EU) 2021/2115 vad gäller systemet med grundvillkor, interventionstyper i form av direktstöd, interventionstyper i vissa sektorer och för landsbygdsutveckling och årliga prestationsrapporter samt av förordning (EU) 2021/2116 vad gäller dataförvaltning och </w:t>
      </w:r>
      <w:proofErr w:type="spellStart"/>
      <w:r w:rsidRPr="00BF4A10">
        <w:rPr>
          <w:b/>
          <w:sz w:val="22"/>
          <w:szCs w:val="22"/>
        </w:rPr>
        <w:t>interoperabilitet</w:t>
      </w:r>
      <w:proofErr w:type="spellEnd"/>
      <w:r w:rsidRPr="00BF4A10">
        <w:rPr>
          <w:b/>
          <w:sz w:val="22"/>
          <w:szCs w:val="22"/>
        </w:rPr>
        <w:t>, innehållande av utbetalningar, årligt prestationsavslut och kontroller och sanktioner</w:t>
      </w:r>
    </w:p>
    <w:p w14:paraId="4C97C39A" w14:textId="77777777" w:rsidR="00E97B38" w:rsidRDefault="00E97B38" w:rsidP="00E97B38">
      <w:pPr>
        <w:rPr>
          <w:rFonts w:eastAsia="Calibri"/>
          <w:b/>
          <w:bCs/>
          <w:color w:val="000000"/>
          <w:sz w:val="22"/>
          <w:szCs w:val="22"/>
          <w:lang w:eastAsia="en-US"/>
        </w:rPr>
      </w:pPr>
    </w:p>
    <w:p w14:paraId="7537DBA2" w14:textId="77777777" w:rsidR="00E97B38" w:rsidRPr="00E42A1F" w:rsidRDefault="00E97B38" w:rsidP="00E97B38">
      <w:pPr>
        <w:tabs>
          <w:tab w:val="left" w:pos="1701"/>
        </w:tabs>
        <w:rPr>
          <w:b/>
          <w:bCs/>
          <w:color w:val="000000"/>
          <w:sz w:val="22"/>
          <w:szCs w:val="22"/>
        </w:rPr>
      </w:pPr>
      <w:r w:rsidRPr="00E42A1F">
        <w:rPr>
          <w:b/>
          <w:bCs/>
          <w:color w:val="000000"/>
          <w:sz w:val="22"/>
          <w:szCs w:val="22"/>
        </w:rPr>
        <w:t>S-ledamöterna anmälde följande avvikande ståndpunkt:</w:t>
      </w:r>
    </w:p>
    <w:p w14:paraId="7AF1DD3E" w14:textId="77777777" w:rsidR="00E97B38" w:rsidRPr="00806909" w:rsidRDefault="00E97B38" w:rsidP="00E97B38">
      <w:pPr>
        <w:rPr>
          <w:sz w:val="22"/>
          <w:szCs w:val="22"/>
        </w:rPr>
      </w:pPr>
      <w:r w:rsidRPr="00806909">
        <w:rPr>
          <w:sz w:val="22"/>
          <w:szCs w:val="22"/>
        </w:rPr>
        <w:t xml:space="preserve">Understruken röd text är de föreslagna tilläggen till andra stycket: </w:t>
      </w:r>
    </w:p>
    <w:p w14:paraId="2BC19C6B" w14:textId="77777777" w:rsidR="00E97B38" w:rsidRPr="00806909" w:rsidRDefault="00E97B38" w:rsidP="00E97B38">
      <w:pPr>
        <w:rPr>
          <w:sz w:val="22"/>
          <w:szCs w:val="22"/>
        </w:rPr>
      </w:pPr>
    </w:p>
    <w:p w14:paraId="3D9A8951" w14:textId="77777777" w:rsidR="00E97B38" w:rsidRPr="00806909" w:rsidRDefault="00E97B38" w:rsidP="00E97B38">
      <w:pPr>
        <w:rPr>
          <w:i/>
          <w:iCs/>
          <w:sz w:val="22"/>
          <w:szCs w:val="22"/>
        </w:rPr>
      </w:pPr>
      <w:r w:rsidRPr="00806909">
        <w:rPr>
          <w:i/>
          <w:iCs/>
          <w:sz w:val="22"/>
          <w:szCs w:val="22"/>
        </w:rPr>
        <w:t xml:space="preserve">Nationella krav som går utöver nivån i </w:t>
      </w:r>
      <w:proofErr w:type="spellStart"/>
      <w:r w:rsidRPr="00806909">
        <w:rPr>
          <w:i/>
          <w:iCs/>
          <w:sz w:val="22"/>
          <w:szCs w:val="22"/>
        </w:rPr>
        <w:t>EU-regelverk</w:t>
      </w:r>
      <w:proofErr w:type="spellEnd"/>
      <w:r w:rsidRPr="00806909">
        <w:rPr>
          <w:i/>
          <w:iCs/>
          <w:sz w:val="22"/>
          <w:szCs w:val="22"/>
        </w:rPr>
        <w:t xml:space="preserve"> </w:t>
      </w:r>
    </w:p>
    <w:p w14:paraId="6C92B719" w14:textId="4F7E9D4B" w:rsidR="00E97B38" w:rsidRDefault="00E97B38" w:rsidP="00E97B38">
      <w:pPr>
        <w:rPr>
          <w:sz w:val="22"/>
          <w:szCs w:val="22"/>
        </w:rPr>
      </w:pPr>
      <w:r w:rsidRPr="00806909">
        <w:rPr>
          <w:sz w:val="22"/>
          <w:szCs w:val="22"/>
        </w:rPr>
        <w:t xml:space="preserve">Regeringen anser att när det gäller stöd som relaterar till </w:t>
      </w:r>
      <w:r w:rsidRPr="00806909">
        <w:rPr>
          <w:color w:val="FF0000"/>
          <w:sz w:val="22"/>
          <w:szCs w:val="22"/>
          <w:u w:val="single"/>
        </w:rPr>
        <w:t>miljö, klimat eller</w:t>
      </w:r>
      <w:r w:rsidRPr="00806909">
        <w:rPr>
          <w:color w:val="FF0000"/>
          <w:sz w:val="22"/>
          <w:szCs w:val="22"/>
        </w:rPr>
        <w:t xml:space="preserve"> </w:t>
      </w:r>
      <w:r w:rsidRPr="00806909">
        <w:rPr>
          <w:sz w:val="22"/>
          <w:szCs w:val="22"/>
        </w:rPr>
        <w:t xml:space="preserve">djurvälfärd bör det vara möjligt att ersätta för lagkrav och praxis för en nivå som överstiger den generella EU-nivån och välkomnar förslaget om att det ska vara tillåtet att betala för </w:t>
      </w:r>
      <w:r w:rsidRPr="00806909">
        <w:rPr>
          <w:color w:val="FF0000"/>
          <w:sz w:val="22"/>
          <w:szCs w:val="22"/>
          <w:u w:val="single"/>
        </w:rPr>
        <w:t>miljö-, klimat- eller</w:t>
      </w:r>
      <w:r w:rsidRPr="00806909">
        <w:rPr>
          <w:color w:val="FF0000"/>
          <w:sz w:val="22"/>
          <w:szCs w:val="22"/>
        </w:rPr>
        <w:t xml:space="preserve"> </w:t>
      </w:r>
      <w:r w:rsidRPr="00806909">
        <w:rPr>
          <w:sz w:val="22"/>
          <w:szCs w:val="22"/>
        </w:rPr>
        <w:t xml:space="preserve">djurskyddsregler som går utöver nivån i </w:t>
      </w:r>
      <w:proofErr w:type="spellStart"/>
      <w:r w:rsidRPr="00806909">
        <w:rPr>
          <w:sz w:val="22"/>
          <w:szCs w:val="22"/>
        </w:rPr>
        <w:t>EU-regelverk</w:t>
      </w:r>
      <w:proofErr w:type="spellEnd"/>
      <w:r w:rsidRPr="00806909">
        <w:rPr>
          <w:sz w:val="22"/>
          <w:szCs w:val="22"/>
        </w:rPr>
        <w:t>.</w:t>
      </w:r>
    </w:p>
    <w:p w14:paraId="47652DCC" w14:textId="0F9AC600" w:rsidR="00E97B38" w:rsidRDefault="00E97B38" w:rsidP="00E97B38">
      <w:pPr>
        <w:rPr>
          <w:sz w:val="22"/>
          <w:szCs w:val="22"/>
        </w:rPr>
      </w:pPr>
    </w:p>
    <w:p w14:paraId="11E76124" w14:textId="77777777" w:rsidR="00E97B38" w:rsidRPr="00E42A1F" w:rsidRDefault="00E97B38" w:rsidP="00E97B38">
      <w:pPr>
        <w:tabs>
          <w:tab w:val="left" w:pos="1701"/>
        </w:tabs>
        <w:rPr>
          <w:b/>
          <w:bCs/>
          <w:color w:val="000000"/>
          <w:sz w:val="22"/>
          <w:szCs w:val="22"/>
        </w:rPr>
      </w:pPr>
      <w:r w:rsidRPr="00E42A1F">
        <w:rPr>
          <w:b/>
          <w:bCs/>
          <w:color w:val="000000"/>
          <w:sz w:val="22"/>
          <w:szCs w:val="22"/>
        </w:rPr>
        <w:t>V-ledamoten anmälde följande avvikande ståndpunkt:</w:t>
      </w:r>
    </w:p>
    <w:p w14:paraId="74864F2F" w14:textId="77777777" w:rsidR="00E97B38" w:rsidRPr="001031CB" w:rsidRDefault="00E97B38" w:rsidP="00E97B38">
      <w:pPr>
        <w:rPr>
          <w:sz w:val="22"/>
          <w:szCs w:val="22"/>
        </w:rPr>
      </w:pPr>
      <w:r w:rsidRPr="001031CB">
        <w:rPr>
          <w:sz w:val="22"/>
          <w:szCs w:val="22"/>
        </w:rPr>
        <w:t>Vänsterpartiet anser att flera av förslagen i ärendet är bra men vi skulle vilja ha en skrivning i första stycket i den svenska ståndpunkten som tydliggör att det är viktigt att föreslagna ändringar inte ska ändra förutsättningar för att nå antagna miljö- och klimatmål.</w:t>
      </w:r>
    </w:p>
    <w:p w14:paraId="3FAAAE24" w14:textId="12698AA0" w:rsidR="00E97B38" w:rsidRDefault="00E97B38" w:rsidP="00E97B38">
      <w:pPr>
        <w:rPr>
          <w:sz w:val="22"/>
          <w:szCs w:val="22"/>
        </w:rPr>
      </w:pPr>
    </w:p>
    <w:p w14:paraId="3E8DDC7F" w14:textId="77777777" w:rsidR="00E97B38" w:rsidRPr="005A7121" w:rsidRDefault="00E97B38" w:rsidP="00E97B38">
      <w:pPr>
        <w:widowControl/>
        <w:rPr>
          <w:sz w:val="22"/>
          <w:szCs w:val="22"/>
        </w:rPr>
      </w:pPr>
      <w:r w:rsidRPr="00E42A1F">
        <w:rPr>
          <w:b/>
          <w:bCs/>
          <w:color w:val="000000"/>
          <w:sz w:val="22"/>
          <w:szCs w:val="22"/>
        </w:rPr>
        <w:t>MP-ledamoten anmälde följande avvikande ståndpunkt:</w:t>
      </w:r>
    </w:p>
    <w:p w14:paraId="6350D611" w14:textId="77777777" w:rsidR="00E97B38" w:rsidRPr="001A77D5" w:rsidRDefault="00E97B38" w:rsidP="00E97B38">
      <w:pPr>
        <w:spacing w:after="240"/>
        <w:rPr>
          <w:sz w:val="22"/>
          <w:szCs w:val="22"/>
        </w:rPr>
      </w:pPr>
      <w:r>
        <w:rPr>
          <w:sz w:val="22"/>
          <w:szCs w:val="22"/>
        </w:rPr>
        <w:t>Miljöpartiet</w:t>
      </w:r>
      <w:r w:rsidRPr="001A77D5">
        <w:rPr>
          <w:sz w:val="22"/>
          <w:szCs w:val="22"/>
        </w:rPr>
        <w:t xml:space="preserve"> vill att den svenska ståndpunkten ska lyda enligt följande:</w:t>
      </w:r>
      <w:r w:rsidRPr="001A77D5">
        <w:rPr>
          <w:sz w:val="22"/>
          <w:szCs w:val="22"/>
        </w:rPr>
        <w:br/>
        <w:t xml:space="preserve">”… Regeringen är särskilt positiv till förslaget att kunna betala för nationella djurskyddskrav som går utöver nivån i </w:t>
      </w:r>
      <w:proofErr w:type="spellStart"/>
      <w:r w:rsidRPr="001A77D5">
        <w:rPr>
          <w:sz w:val="22"/>
          <w:szCs w:val="22"/>
        </w:rPr>
        <w:t>EU-regelverken</w:t>
      </w:r>
      <w:proofErr w:type="spellEnd"/>
      <w:r w:rsidRPr="001A77D5">
        <w:rPr>
          <w:sz w:val="22"/>
          <w:szCs w:val="22"/>
        </w:rPr>
        <w:t xml:space="preserve">, vilket ger förutsättning att stärka djurvälfärden. </w:t>
      </w:r>
      <w:r w:rsidRPr="001A77D5">
        <w:rPr>
          <w:i/>
          <w:iCs/>
          <w:color w:val="FF0000"/>
          <w:sz w:val="22"/>
          <w:szCs w:val="22"/>
        </w:rPr>
        <w:t>Regeringen är också positiv till förslagen som syftar till att stärka möjlighet att betala för nationella krav inom miljö, klimat och djurskydd och kommer verka aktivt för att dessa aspekter får genomslag i förhandlingen</w:t>
      </w:r>
      <w:r w:rsidRPr="001A77D5">
        <w:rPr>
          <w:i/>
          <w:iCs/>
          <w:sz w:val="22"/>
          <w:szCs w:val="22"/>
        </w:rPr>
        <w:t>.”</w:t>
      </w:r>
    </w:p>
    <w:p w14:paraId="75F7CD5A" w14:textId="77777777" w:rsidR="00E97B38" w:rsidRPr="00806909" w:rsidRDefault="00E97B38" w:rsidP="00E97B38">
      <w:pPr>
        <w:rPr>
          <w:sz w:val="22"/>
          <w:szCs w:val="22"/>
        </w:rPr>
      </w:pPr>
    </w:p>
    <w:p w14:paraId="6D54956F" w14:textId="77777777" w:rsidR="00E97B38" w:rsidRDefault="00E97B38" w:rsidP="00987069">
      <w:pPr>
        <w:tabs>
          <w:tab w:val="left" w:pos="142"/>
          <w:tab w:val="left" w:pos="7655"/>
        </w:tabs>
        <w:ind w:right="-568"/>
        <w:rPr>
          <w:sz w:val="22"/>
          <w:szCs w:val="22"/>
        </w:rPr>
      </w:pPr>
    </w:p>
    <w:sectPr w:rsidR="00E97B38"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AA1146"/>
    <w:multiLevelType w:val="hybridMultilevel"/>
    <w:tmpl w:val="B3C62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C56A04"/>
    <w:multiLevelType w:val="hybridMultilevel"/>
    <w:tmpl w:val="DA0CA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6D430162"/>
    <w:multiLevelType w:val="hybridMultilevel"/>
    <w:tmpl w:val="92426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DD1AED"/>
    <w:multiLevelType w:val="hybridMultilevel"/>
    <w:tmpl w:val="54FA6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6641FFB"/>
    <w:multiLevelType w:val="hybridMultilevel"/>
    <w:tmpl w:val="17708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5428"/>
    <w:rsid w:val="00007222"/>
    <w:rsid w:val="00022257"/>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0319"/>
    <w:rsid w:val="000C512B"/>
    <w:rsid w:val="000D4425"/>
    <w:rsid w:val="000E402E"/>
    <w:rsid w:val="000E777E"/>
    <w:rsid w:val="000F1B6F"/>
    <w:rsid w:val="000F411E"/>
    <w:rsid w:val="000F6792"/>
    <w:rsid w:val="000F7521"/>
    <w:rsid w:val="000F7D9B"/>
    <w:rsid w:val="00102D5B"/>
    <w:rsid w:val="00102F93"/>
    <w:rsid w:val="001107C9"/>
    <w:rsid w:val="00111773"/>
    <w:rsid w:val="001201A1"/>
    <w:rsid w:val="001238B9"/>
    <w:rsid w:val="00125AE0"/>
    <w:rsid w:val="00136BAF"/>
    <w:rsid w:val="0014421B"/>
    <w:rsid w:val="00154537"/>
    <w:rsid w:val="001576B4"/>
    <w:rsid w:val="00157C48"/>
    <w:rsid w:val="00157E3A"/>
    <w:rsid w:val="00161710"/>
    <w:rsid w:val="00164491"/>
    <w:rsid w:val="0016531F"/>
    <w:rsid w:val="00165402"/>
    <w:rsid w:val="00166E19"/>
    <w:rsid w:val="001701BF"/>
    <w:rsid w:val="001709AE"/>
    <w:rsid w:val="00171C59"/>
    <w:rsid w:val="00172561"/>
    <w:rsid w:val="001765EB"/>
    <w:rsid w:val="00176F71"/>
    <w:rsid w:val="00177FF8"/>
    <w:rsid w:val="001806D9"/>
    <w:rsid w:val="00183F5A"/>
    <w:rsid w:val="00190D5B"/>
    <w:rsid w:val="00192F8D"/>
    <w:rsid w:val="00194DBF"/>
    <w:rsid w:val="001A198D"/>
    <w:rsid w:val="001A35A0"/>
    <w:rsid w:val="001C7A2E"/>
    <w:rsid w:val="001D38D2"/>
    <w:rsid w:val="001D3FD1"/>
    <w:rsid w:val="001D7100"/>
    <w:rsid w:val="001D7BA2"/>
    <w:rsid w:val="001D7CF4"/>
    <w:rsid w:val="001E1F27"/>
    <w:rsid w:val="001F0044"/>
    <w:rsid w:val="001F3F30"/>
    <w:rsid w:val="001F641B"/>
    <w:rsid w:val="001F6BC3"/>
    <w:rsid w:val="00200F8B"/>
    <w:rsid w:val="0021176A"/>
    <w:rsid w:val="00212A8D"/>
    <w:rsid w:val="00214162"/>
    <w:rsid w:val="00216128"/>
    <w:rsid w:val="00216C70"/>
    <w:rsid w:val="002241EF"/>
    <w:rsid w:val="0023053D"/>
    <w:rsid w:val="00231475"/>
    <w:rsid w:val="0023528F"/>
    <w:rsid w:val="002378CC"/>
    <w:rsid w:val="00240F68"/>
    <w:rsid w:val="00243C44"/>
    <w:rsid w:val="0025203B"/>
    <w:rsid w:val="00254C5A"/>
    <w:rsid w:val="0025725D"/>
    <w:rsid w:val="002625E6"/>
    <w:rsid w:val="00267A73"/>
    <w:rsid w:val="00277260"/>
    <w:rsid w:val="0028160D"/>
    <w:rsid w:val="002830F4"/>
    <w:rsid w:val="00286C79"/>
    <w:rsid w:val="00287223"/>
    <w:rsid w:val="00292D97"/>
    <w:rsid w:val="002968EE"/>
    <w:rsid w:val="002A14AC"/>
    <w:rsid w:val="002A3C5F"/>
    <w:rsid w:val="002B3A62"/>
    <w:rsid w:val="002B61A5"/>
    <w:rsid w:val="002C1D92"/>
    <w:rsid w:val="002C2D78"/>
    <w:rsid w:val="002C4411"/>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2382C"/>
    <w:rsid w:val="00335837"/>
    <w:rsid w:val="00335938"/>
    <w:rsid w:val="00335D8C"/>
    <w:rsid w:val="00342CC6"/>
    <w:rsid w:val="003443ED"/>
    <w:rsid w:val="0035205C"/>
    <w:rsid w:val="00374911"/>
    <w:rsid w:val="00381298"/>
    <w:rsid w:val="0038368D"/>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07924"/>
    <w:rsid w:val="00416E51"/>
    <w:rsid w:val="00417CF8"/>
    <w:rsid w:val="00420D39"/>
    <w:rsid w:val="00422DC2"/>
    <w:rsid w:val="004310CA"/>
    <w:rsid w:val="00440E5D"/>
    <w:rsid w:val="00441AD2"/>
    <w:rsid w:val="00451DB7"/>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46770"/>
    <w:rsid w:val="0055441A"/>
    <w:rsid w:val="005654CA"/>
    <w:rsid w:val="00573E17"/>
    <w:rsid w:val="00573F9E"/>
    <w:rsid w:val="00575332"/>
    <w:rsid w:val="005826E7"/>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96524"/>
    <w:rsid w:val="006A49EA"/>
    <w:rsid w:val="006A63A7"/>
    <w:rsid w:val="006A70D7"/>
    <w:rsid w:val="006B11A4"/>
    <w:rsid w:val="006C1EB7"/>
    <w:rsid w:val="006C66B9"/>
    <w:rsid w:val="006D05CF"/>
    <w:rsid w:val="006D312E"/>
    <w:rsid w:val="006D4530"/>
    <w:rsid w:val="006D5F8F"/>
    <w:rsid w:val="006E15D9"/>
    <w:rsid w:val="006F4672"/>
    <w:rsid w:val="007027D6"/>
    <w:rsid w:val="007144F5"/>
    <w:rsid w:val="00716686"/>
    <w:rsid w:val="00721C53"/>
    <w:rsid w:val="007238FF"/>
    <w:rsid w:val="00740391"/>
    <w:rsid w:val="007453FF"/>
    <w:rsid w:val="007515B2"/>
    <w:rsid w:val="00751E41"/>
    <w:rsid w:val="00751FA0"/>
    <w:rsid w:val="00752EBB"/>
    <w:rsid w:val="00754C4A"/>
    <w:rsid w:val="007555BE"/>
    <w:rsid w:val="007605E8"/>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7083F"/>
    <w:rsid w:val="008856C5"/>
    <w:rsid w:val="00886349"/>
    <w:rsid w:val="0089370A"/>
    <w:rsid w:val="00894936"/>
    <w:rsid w:val="0089673E"/>
    <w:rsid w:val="008A28BD"/>
    <w:rsid w:val="008A2C1B"/>
    <w:rsid w:val="008B5472"/>
    <w:rsid w:val="008B5D35"/>
    <w:rsid w:val="008B7CC5"/>
    <w:rsid w:val="008C0FEE"/>
    <w:rsid w:val="008C2D5B"/>
    <w:rsid w:val="008C7F16"/>
    <w:rsid w:val="008D1260"/>
    <w:rsid w:val="008D692B"/>
    <w:rsid w:val="008D6CA6"/>
    <w:rsid w:val="008D7C53"/>
    <w:rsid w:val="008E1864"/>
    <w:rsid w:val="008E6B40"/>
    <w:rsid w:val="008E7F95"/>
    <w:rsid w:val="008F3CFB"/>
    <w:rsid w:val="008F4883"/>
    <w:rsid w:val="008F4D6D"/>
    <w:rsid w:val="00903989"/>
    <w:rsid w:val="00910C8E"/>
    <w:rsid w:val="00911B90"/>
    <w:rsid w:val="009123AE"/>
    <w:rsid w:val="00914C38"/>
    <w:rsid w:val="00915C2D"/>
    <w:rsid w:val="00921E40"/>
    <w:rsid w:val="009222A6"/>
    <w:rsid w:val="00922EB0"/>
    <w:rsid w:val="0093135B"/>
    <w:rsid w:val="00931E92"/>
    <w:rsid w:val="009334A9"/>
    <w:rsid w:val="009339E5"/>
    <w:rsid w:val="009442D4"/>
    <w:rsid w:val="00952893"/>
    <w:rsid w:val="00952D48"/>
    <w:rsid w:val="00955CA2"/>
    <w:rsid w:val="009653D4"/>
    <w:rsid w:val="009802CA"/>
    <w:rsid w:val="00980A86"/>
    <w:rsid w:val="009823FA"/>
    <w:rsid w:val="009843D0"/>
    <w:rsid w:val="0098592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2390B"/>
    <w:rsid w:val="00A25410"/>
    <w:rsid w:val="00A258BE"/>
    <w:rsid w:val="00A25D52"/>
    <w:rsid w:val="00A34130"/>
    <w:rsid w:val="00A375CF"/>
    <w:rsid w:val="00A37731"/>
    <w:rsid w:val="00A473EE"/>
    <w:rsid w:val="00A51307"/>
    <w:rsid w:val="00A645AD"/>
    <w:rsid w:val="00A64CA0"/>
    <w:rsid w:val="00A6580E"/>
    <w:rsid w:val="00A65C53"/>
    <w:rsid w:val="00A67622"/>
    <w:rsid w:val="00A702BD"/>
    <w:rsid w:val="00A71AF0"/>
    <w:rsid w:val="00A746E4"/>
    <w:rsid w:val="00A83ACB"/>
    <w:rsid w:val="00A846AA"/>
    <w:rsid w:val="00A86BF9"/>
    <w:rsid w:val="00A93442"/>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23CB"/>
    <w:rsid w:val="00B33AFA"/>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1AE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413"/>
    <w:rsid w:val="00BF0D09"/>
    <w:rsid w:val="00BF17F3"/>
    <w:rsid w:val="00C013F6"/>
    <w:rsid w:val="00C0421C"/>
    <w:rsid w:val="00C11E5F"/>
    <w:rsid w:val="00C156F8"/>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00A2"/>
    <w:rsid w:val="00CB2E80"/>
    <w:rsid w:val="00CB34A6"/>
    <w:rsid w:val="00CB5973"/>
    <w:rsid w:val="00CB71B9"/>
    <w:rsid w:val="00CC5952"/>
    <w:rsid w:val="00CD3D31"/>
    <w:rsid w:val="00CE0E61"/>
    <w:rsid w:val="00CE3494"/>
    <w:rsid w:val="00CE39E2"/>
    <w:rsid w:val="00CE6ED5"/>
    <w:rsid w:val="00CF0661"/>
    <w:rsid w:val="00CF0B50"/>
    <w:rsid w:val="00CF35F8"/>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97B38"/>
    <w:rsid w:val="00EA5C1E"/>
    <w:rsid w:val="00EB321F"/>
    <w:rsid w:val="00EB5801"/>
    <w:rsid w:val="00EC7E9B"/>
    <w:rsid w:val="00EE0BF7"/>
    <w:rsid w:val="00EE6E7B"/>
    <w:rsid w:val="00EF1B0A"/>
    <w:rsid w:val="00EF4ADF"/>
    <w:rsid w:val="00EF4B6A"/>
    <w:rsid w:val="00F13B23"/>
    <w:rsid w:val="00F143DB"/>
    <w:rsid w:val="00F152D4"/>
    <w:rsid w:val="00F21040"/>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93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1712</Words>
  <Characters>10944</Characters>
  <Application>Microsoft Office Word</Application>
  <DocSecurity>0</DocSecurity>
  <Lines>994</Lines>
  <Paragraphs>351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47</cp:revision>
  <cp:lastPrinted>2025-03-31T08:53:00Z</cp:lastPrinted>
  <dcterms:created xsi:type="dcterms:W3CDTF">2025-06-05T09:57:00Z</dcterms:created>
  <dcterms:modified xsi:type="dcterms:W3CDTF">2025-06-18T07:29:00Z</dcterms:modified>
</cp:coreProperties>
</file>