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E3A54">
        <w:tblPrEx>
          <w:tblCellMar>
            <w:top w:w="0" w:type="dxa"/>
            <w:left w:w="0" w:type="dxa"/>
            <w:bottom w:w="0" w:type="dxa"/>
            <w:right w:w="0" w:type="dxa"/>
          </w:tblCellMar>
        </w:tblPrEx>
        <w:trPr>
          <w:gridAfter w:val="2"/>
          <w:wAfter w:w="1758" w:type="dxa"/>
          <w:cantSplit/>
          <w:trHeight w:val="1320"/>
        </w:trPr>
        <w:tc>
          <w:tcPr>
            <w:tcW w:w="5897" w:type="dxa"/>
          </w:tcPr>
          <w:p w:rsidR="001C2F33" w:rsidRPr="005E3A54" w:rsidRDefault="001C2F33">
            <w:pPr>
              <w:pStyle w:val="HuvudRubrik"/>
            </w:pPr>
            <w:r w:rsidRPr="005E3A54">
              <w:t>Regeringskansliet</w:t>
            </w:r>
          </w:p>
          <w:p w:rsidR="001C2F33" w:rsidRPr="005E3A54" w:rsidRDefault="001C2F33">
            <w:pPr>
              <w:pStyle w:val="HuvudRubrik"/>
            </w:pPr>
            <w:r w:rsidRPr="005E3A54">
              <w:t>Faktapromemoria  2005/06:FPM117</w:t>
            </w:r>
          </w:p>
        </w:tc>
      </w:tr>
      <w:tr w:rsidR="00000000" w:rsidRPr="005E3A54">
        <w:tblPrEx>
          <w:tblCellMar>
            <w:top w:w="0" w:type="dxa"/>
            <w:left w:w="0" w:type="dxa"/>
            <w:bottom w:w="0" w:type="dxa"/>
            <w:right w:w="0" w:type="dxa"/>
          </w:tblCellMar>
        </w:tblPrEx>
        <w:trPr>
          <w:gridAfter w:val="2"/>
          <w:wAfter w:w="1758" w:type="dxa"/>
          <w:cantSplit/>
          <w:trHeight w:val="240"/>
        </w:trPr>
        <w:tc>
          <w:tcPr>
            <w:tcW w:w="5897" w:type="dxa"/>
          </w:tcPr>
          <w:p w:rsidR="001C2F33" w:rsidRPr="005E3A54" w:rsidRDefault="001C2F33">
            <w:pPr>
              <w:pStyle w:val="HuvudRubrik"/>
              <w:rPr>
                <w:sz w:val="28"/>
              </w:rPr>
            </w:pPr>
            <w:r w:rsidRPr="005E3A54">
              <w:t>Förordning om roaming i mobilnät</w:t>
            </w:r>
          </w:p>
        </w:tc>
      </w:tr>
      <w:tr w:rsidR="004B1A72" w:rsidRPr="005E3A54">
        <w:tblPrEx>
          <w:tblCellMar>
            <w:top w:w="0" w:type="dxa"/>
            <w:left w:w="0" w:type="dxa"/>
            <w:bottom w:w="0" w:type="dxa"/>
            <w:right w:w="0" w:type="dxa"/>
          </w:tblCellMar>
        </w:tblPrEx>
        <w:trPr>
          <w:cantSplit/>
          <w:trHeight w:val="285"/>
        </w:trPr>
        <w:tc>
          <w:tcPr>
            <w:tcW w:w="7655" w:type="dxa"/>
            <w:gridSpan w:val="3"/>
          </w:tcPr>
          <w:p w:rsidR="004B1A72" w:rsidRPr="005E3A54" w:rsidRDefault="004B1A72">
            <w:pPr>
              <w:pStyle w:val="Departement"/>
              <w:rPr>
                <w:sz w:val="28"/>
              </w:rPr>
            </w:pPr>
            <w:r w:rsidRPr="005E3A54">
              <w:t>Näringsdepartementet</w:t>
            </w:r>
          </w:p>
        </w:tc>
      </w:tr>
      <w:tr w:rsidR="004B1A72" w:rsidRPr="005E3A54">
        <w:tblPrEx>
          <w:tblCellMar>
            <w:top w:w="0" w:type="dxa"/>
            <w:left w:w="0" w:type="dxa"/>
            <w:bottom w:w="0" w:type="dxa"/>
            <w:right w:w="0" w:type="dxa"/>
          </w:tblCellMar>
        </w:tblPrEx>
        <w:trPr>
          <w:cantSplit/>
          <w:trHeight w:val="240"/>
        </w:trPr>
        <w:tc>
          <w:tcPr>
            <w:tcW w:w="7655" w:type="dxa"/>
            <w:gridSpan w:val="3"/>
          </w:tcPr>
          <w:p w:rsidR="004B1A72" w:rsidRPr="005E3A54" w:rsidRDefault="004B1A72">
            <w:pPr>
              <w:pStyle w:val="Dokumentdatum"/>
            </w:pPr>
            <w:r w:rsidRPr="005E3A54">
              <w:t>2006-09-13</w:t>
            </w:r>
          </w:p>
        </w:tc>
      </w:tr>
      <w:tr w:rsidR="004B1A72" w:rsidRPr="005E3A54">
        <w:tblPrEx>
          <w:tblCellMar>
            <w:top w:w="0" w:type="dxa"/>
            <w:left w:w="0" w:type="dxa"/>
            <w:bottom w:w="0" w:type="dxa"/>
            <w:right w:w="0" w:type="dxa"/>
          </w:tblCellMar>
        </w:tblPrEx>
        <w:trPr>
          <w:cantSplit/>
          <w:trHeight w:val="726"/>
        </w:trPr>
        <w:tc>
          <w:tcPr>
            <w:tcW w:w="7655" w:type="dxa"/>
            <w:gridSpan w:val="3"/>
            <w:vAlign w:val="bottom"/>
          </w:tcPr>
          <w:p w:rsidR="004B1A72" w:rsidRPr="005E3A54" w:rsidRDefault="004B1A72">
            <w:pPr>
              <w:pStyle w:val="Dokumentbeteckning"/>
            </w:pPr>
            <w:r w:rsidRPr="005E3A54">
              <w:t>Dokumentbeteckning</w:t>
            </w:r>
          </w:p>
        </w:tc>
      </w:tr>
      <w:tr w:rsidR="004B1A72" w:rsidRPr="005E3A54">
        <w:tblPrEx>
          <w:tblCellMar>
            <w:top w:w="0" w:type="dxa"/>
            <w:left w:w="0" w:type="dxa"/>
            <w:bottom w:w="0" w:type="dxa"/>
            <w:right w:w="0" w:type="dxa"/>
          </w:tblCellMar>
        </w:tblPrEx>
        <w:trPr>
          <w:gridAfter w:val="1"/>
          <w:wAfter w:w="1560" w:type="dxa"/>
          <w:trHeight w:val="120"/>
        </w:trPr>
        <w:tc>
          <w:tcPr>
            <w:tcW w:w="6095" w:type="dxa"/>
            <w:gridSpan w:val="2"/>
          </w:tcPr>
          <w:p w:rsidR="004B1A72" w:rsidRPr="005E3A54" w:rsidRDefault="004B1A72">
            <w:bookmarkStart w:id="0" w:name="KomNr"/>
            <w:bookmarkEnd w:id="0"/>
            <w:r w:rsidRPr="005E3A54">
              <w:t>KOM(2006)382</w:t>
            </w:r>
          </w:p>
        </w:tc>
      </w:tr>
      <w:tr w:rsidR="004B1A72" w:rsidRPr="005E3A54">
        <w:tblPrEx>
          <w:tblCellMar>
            <w:top w:w="0" w:type="dxa"/>
            <w:left w:w="0" w:type="dxa"/>
            <w:bottom w:w="0" w:type="dxa"/>
            <w:right w:w="0" w:type="dxa"/>
          </w:tblCellMar>
        </w:tblPrEx>
        <w:trPr>
          <w:gridAfter w:val="1"/>
          <w:wAfter w:w="1560" w:type="dxa"/>
          <w:trHeight w:val="120"/>
        </w:trPr>
        <w:tc>
          <w:tcPr>
            <w:tcW w:w="6095" w:type="dxa"/>
            <w:gridSpan w:val="2"/>
          </w:tcPr>
          <w:p w:rsidR="004B1A72" w:rsidRPr="005E3A54" w:rsidRDefault="004B1A72">
            <w:pPr>
              <w:pStyle w:val="Dokumentbeteckning-titel"/>
            </w:pPr>
            <w:r w:rsidRPr="005E3A54">
              <w:t>Europaparlamentets och rådets förordning om roaming i allmänna mobilnät i gemenskapen och om ändring av direktiv 2002/21/EG om ett gemensamt rege</w:t>
            </w:r>
            <w:r w:rsidRPr="005E3A54">
              <w:t>l</w:t>
            </w:r>
            <w:r w:rsidRPr="005E3A54">
              <w:t>verk för elektroniska kommunikationsnät och kommunikationstjänster</w:t>
            </w:r>
          </w:p>
        </w:tc>
      </w:tr>
      <w:tr w:rsidR="004B1A72" w:rsidRPr="005E3A54">
        <w:tblPrEx>
          <w:tblCellMar>
            <w:top w:w="0" w:type="dxa"/>
            <w:left w:w="0" w:type="dxa"/>
            <w:bottom w:w="0" w:type="dxa"/>
            <w:right w:w="0" w:type="dxa"/>
          </w:tblCellMar>
        </w:tblPrEx>
        <w:trPr>
          <w:gridAfter w:val="1"/>
          <w:wAfter w:w="1560" w:type="dxa"/>
          <w:trHeight w:val="120"/>
        </w:trPr>
        <w:tc>
          <w:tcPr>
            <w:tcW w:w="6095" w:type="dxa"/>
            <w:gridSpan w:val="2"/>
          </w:tcPr>
          <w:p w:rsidR="004B1A72" w:rsidRPr="005E3A54" w:rsidRDefault="004B1A72">
            <w:r w:rsidRPr="005E3A54">
              <w:t>SEK(2006)925</w:t>
            </w:r>
          </w:p>
        </w:tc>
      </w:tr>
      <w:tr w:rsidR="004B1A72" w:rsidRPr="005E3A54">
        <w:tblPrEx>
          <w:tblCellMar>
            <w:top w:w="0" w:type="dxa"/>
            <w:left w:w="0" w:type="dxa"/>
            <w:bottom w:w="0" w:type="dxa"/>
            <w:right w:w="0" w:type="dxa"/>
          </w:tblCellMar>
        </w:tblPrEx>
        <w:trPr>
          <w:gridAfter w:val="1"/>
          <w:wAfter w:w="1560" w:type="dxa"/>
          <w:trHeight w:val="120"/>
        </w:trPr>
        <w:tc>
          <w:tcPr>
            <w:tcW w:w="6095" w:type="dxa"/>
            <w:gridSpan w:val="2"/>
          </w:tcPr>
          <w:p w:rsidR="004B1A72" w:rsidRPr="005E3A54" w:rsidRDefault="004B1A72">
            <w:pPr>
              <w:pStyle w:val="Dokumentbeteckning-titel"/>
            </w:pPr>
            <w:r w:rsidRPr="005E3A54">
              <w:t>Konsekvensbedömning av olika regleringsmodeller i samband med kommissi</w:t>
            </w:r>
            <w:r w:rsidRPr="005E3A54">
              <w:t>o</w:t>
            </w:r>
            <w:r w:rsidRPr="005E3A54">
              <w:t>nens förslag till Europaparlamentets och rådets förordning om roaming i al</w:t>
            </w:r>
            <w:r w:rsidRPr="005E3A54">
              <w:t>l</w:t>
            </w:r>
            <w:r w:rsidRPr="005E3A54">
              <w:t>männa moblinät i gemenskapen</w:t>
            </w:r>
          </w:p>
        </w:tc>
      </w:tr>
      <w:tr w:rsidR="004B1A72" w:rsidRPr="005E3A54">
        <w:tblPrEx>
          <w:tblCellMar>
            <w:top w:w="0" w:type="dxa"/>
            <w:left w:w="0" w:type="dxa"/>
            <w:bottom w:w="0" w:type="dxa"/>
            <w:right w:w="0" w:type="dxa"/>
          </w:tblCellMar>
        </w:tblPrEx>
        <w:trPr>
          <w:gridAfter w:val="1"/>
          <w:wAfter w:w="1560" w:type="dxa"/>
          <w:trHeight w:val="120"/>
        </w:trPr>
        <w:tc>
          <w:tcPr>
            <w:tcW w:w="6095" w:type="dxa"/>
            <w:gridSpan w:val="2"/>
          </w:tcPr>
          <w:p w:rsidR="004B1A72" w:rsidRPr="005E3A54" w:rsidRDefault="004B1A72">
            <w:r w:rsidRPr="005E3A54">
              <w:t>SEK(2006)926</w:t>
            </w:r>
          </w:p>
        </w:tc>
      </w:tr>
      <w:tr w:rsidR="004B1A72" w:rsidRPr="005E3A54">
        <w:tblPrEx>
          <w:tblCellMar>
            <w:top w:w="0" w:type="dxa"/>
            <w:left w:w="0" w:type="dxa"/>
            <w:bottom w:w="0" w:type="dxa"/>
            <w:right w:w="0" w:type="dxa"/>
          </w:tblCellMar>
        </w:tblPrEx>
        <w:trPr>
          <w:gridAfter w:val="1"/>
          <w:wAfter w:w="1560" w:type="dxa"/>
          <w:trHeight w:val="120"/>
        </w:trPr>
        <w:tc>
          <w:tcPr>
            <w:tcW w:w="6095" w:type="dxa"/>
            <w:gridSpan w:val="2"/>
          </w:tcPr>
          <w:p w:rsidR="004B1A72" w:rsidRPr="005E3A54" w:rsidRDefault="004B1A72">
            <w:pPr>
              <w:pStyle w:val="Dokumentbeteckning-titel"/>
            </w:pPr>
            <w:r w:rsidRPr="005E3A54">
              <w:t>Sammanfattning - konsekvensbedömning av olika regleringsmodeller i sa</w:t>
            </w:r>
            <w:r w:rsidRPr="005E3A54">
              <w:t>m</w:t>
            </w:r>
            <w:r w:rsidRPr="005E3A54">
              <w:t>band med kommissionens förslag till Europaparlamentets och rådets förordning om roaming i allmänna mobilnät i gemenskapen</w:t>
            </w:r>
          </w:p>
        </w:tc>
      </w:tr>
    </w:tbl>
    <w:p w:rsidR="004B1A72" w:rsidRPr="005E3A54" w:rsidRDefault="004B1A72"/>
    <w:p w:rsidR="004B1A72" w:rsidRPr="005E3A54" w:rsidRDefault="004B1A72">
      <w:pPr>
        <w:pStyle w:val="Rubrik1"/>
        <w:numPr>
          <w:ilvl w:val="0"/>
          <w:numId w:val="0"/>
        </w:numPr>
      </w:pPr>
      <w:r w:rsidRPr="005E3A54">
        <w:t>Sammanfattning</w:t>
      </w:r>
    </w:p>
    <w:p w:rsidR="004B1A72" w:rsidRPr="005E3A54" w:rsidRDefault="004B1A72"/>
    <w:p w:rsidR="004B1A72" w:rsidRPr="005E3A54" w:rsidRDefault="004B1A72">
      <w:r w:rsidRPr="005E3A54">
        <w:t>Kommissionen vill genom detta förslag skapa en rättslig grund för att kunna åtgärda höga roamingavgifterna för mobila samtal inom EU. Förslaget sy</w:t>
      </w:r>
      <w:r w:rsidRPr="005E3A54">
        <w:t>f</w:t>
      </w:r>
      <w:r w:rsidRPr="005E3A54">
        <w:t>tar till att ändra det befintliga regelverket för elektr</w:t>
      </w:r>
      <w:r w:rsidRPr="005E3A54">
        <w:t>o</w:t>
      </w:r>
      <w:r w:rsidRPr="005E3A54">
        <w:t>nisk kommunikation och möjliggöra en sådan reglering. De roamingavgifter som betalas vid resor inom geme</w:t>
      </w:r>
      <w:r w:rsidRPr="005E3A54">
        <w:t>n</w:t>
      </w:r>
      <w:r w:rsidRPr="005E3A54">
        <w:t>skapen skall inte vara omotiverat högre än de taxor som betalas när användaren ringer inom sitt hemland (principen om en s.k. europeisk hemmamar</w:t>
      </w:r>
      <w:r w:rsidRPr="005E3A54">
        <w:t>k</w:t>
      </w:r>
      <w:r w:rsidRPr="005E3A54">
        <w:t>nad).</w:t>
      </w:r>
    </w:p>
    <w:p w:rsidR="004B1A72" w:rsidRPr="005E3A54" w:rsidRDefault="004B1A72" w:rsidP="004B1A72">
      <w:r w:rsidRPr="005E3A54">
        <w:t>Kommissionen har valt en förordningsmodell där man fastställer ett pristak för de avgifter som mobiltelenätens operatörer inom EU debiterar när de tillhandahåller roamingtjänster för rösttelefoni mellan medlemsstater på slutkunds- och grossistnivå.</w:t>
      </w:r>
    </w:p>
    <w:p w:rsidR="004B1A72" w:rsidRPr="005E3A54" w:rsidRDefault="004B1A72" w:rsidP="004B1A72">
      <w:r w:rsidRPr="005E3A54">
        <w:lastRenderedPageBreak/>
        <w:t>Sverige är positiv till kommissionens initiativ att motverka oskäligt höga roamingavgifter. Sverige har dock framfört vissa synpunkter på de lösningar som kommissionen föreslår.</w:t>
      </w:r>
    </w:p>
    <w:p w:rsidR="004B1A72" w:rsidRPr="005E3A54" w:rsidRDefault="004B1A72"/>
    <w:p w:rsidR="004B1A72" w:rsidRPr="005E3A54" w:rsidRDefault="004B1A72">
      <w:pPr>
        <w:pStyle w:val="Rubrik1"/>
      </w:pPr>
      <w:r w:rsidRPr="005E3A54">
        <w:t>Förslaget</w:t>
      </w:r>
    </w:p>
    <w:p w:rsidR="004B1A72" w:rsidRPr="005E3A54" w:rsidRDefault="004B1A72">
      <w:pPr>
        <w:pStyle w:val="Rubrik2"/>
      </w:pPr>
      <w:r w:rsidRPr="005E3A54">
        <w:t>Allmänt</w:t>
      </w:r>
    </w:p>
    <w:p w:rsidR="004B1A72" w:rsidRPr="005E3A54" w:rsidRDefault="004B1A72">
      <w:r w:rsidRPr="005E3A54">
        <w:t>Detta förslag är i linje med den reviderade Lissabonstrategin för främjande av tillväxt och sysselsättning genom större konkurrenskraft och kommissi</w:t>
      </w:r>
      <w:r w:rsidRPr="005E3A54">
        <w:t>o</w:t>
      </w:r>
      <w:r w:rsidRPr="005E3A54">
        <w:t>nens därmed sammanhängande initiativ i2010. Vikten av att sänka priserna för internationell roaming inom gemenskapen erkändes uttryckligen av E</w:t>
      </w:r>
      <w:r w:rsidRPr="005E3A54">
        <w:t>u</w:t>
      </w:r>
      <w:r w:rsidRPr="005E3A54">
        <w:t>ropeiska rådet i mars 2006. Kommissionen presenterade förslaget den 12 juli 2006.</w:t>
      </w:r>
    </w:p>
    <w:p w:rsidR="004B1A72" w:rsidRPr="005E3A54" w:rsidRDefault="004B1A72" w:rsidP="004B1A72">
      <w:r w:rsidRPr="005E3A54">
        <w:t>Enligt regelverket för elektroniska kommunikationer ska relevanta markn</w:t>
      </w:r>
      <w:r w:rsidRPr="005E3A54">
        <w:t>a</w:t>
      </w:r>
      <w:r w:rsidRPr="005E3A54">
        <w:t>der på vilka det kan vara motiverat att införa skyldigheter fastställas av en nationell tillsynsmyndighet (Post- och telestyrelsen - PTS). PTS skall anal</w:t>
      </w:r>
      <w:r w:rsidRPr="005E3A54">
        <w:t>y</w:t>
      </w:r>
      <w:r w:rsidRPr="005E3A54">
        <w:t>sera marknaderna för att avgöra om det råder effektiv konkurrens. Om PTS ko</w:t>
      </w:r>
      <w:r w:rsidRPr="005E3A54">
        <w:t>n</w:t>
      </w:r>
      <w:r w:rsidRPr="005E3A54">
        <w:t>staterar att det inte råder effektiv konkurrens på en fastställd marknad skall företag med betydande inflytande på marknaden identifieras och PTS skall meddela beslut om lämpliga skyldigheter enligt regelverket för elektr</w:t>
      </w:r>
      <w:r w:rsidRPr="005E3A54">
        <w:t>o</w:t>
      </w:r>
      <w:r w:rsidRPr="005E3A54">
        <w:t xml:space="preserve">niska kommunikationer. </w:t>
      </w:r>
    </w:p>
    <w:p w:rsidR="004B1A72" w:rsidRPr="005E3A54" w:rsidRDefault="004B1A72" w:rsidP="004B1A72">
      <w:r w:rsidRPr="005E3A54">
        <w:t>Den nationella grossistmarknaden för tillhandahållande av inte</w:t>
      </w:r>
      <w:r w:rsidRPr="005E3A54">
        <w:t>r</w:t>
      </w:r>
      <w:r w:rsidRPr="005E3A54">
        <w:t>nationell roaming i allmänna mobiltelefonnät har identifierats som en sådan relevant marknad på EU-nivå. Roaming innebär att en kund ringer eller tar emot samtal på en mobiltelefon eller annan typ av terminal utanför den medlem</w:t>
      </w:r>
      <w:r w:rsidRPr="005E3A54">
        <w:t>s</w:t>
      </w:r>
      <w:r w:rsidRPr="005E3A54">
        <w:t>stat där kundens hemmanät finns, och detta möjliggörs genom ett avtal me</w:t>
      </w:r>
      <w:r w:rsidRPr="005E3A54">
        <w:t>l</w:t>
      </w:r>
      <w:r w:rsidRPr="005E3A54">
        <w:t>lan hemma- och värdnätsoperatörerna. Däremot har ingen slutkund</w:t>
      </w:r>
      <w:r w:rsidRPr="005E3A54">
        <w:t>s</w:t>
      </w:r>
      <w:r w:rsidRPr="005E3A54">
        <w:t>marknad för tillhandahållandet av sådana tjänster identifierats som en relevant mar</w:t>
      </w:r>
      <w:r w:rsidRPr="005E3A54">
        <w:t>k</w:t>
      </w:r>
      <w:r w:rsidRPr="005E3A54">
        <w:t xml:space="preserve">nad, eftersom roamingtjänster på slutkundsnivå inte köps för sig utan som en del i ett större slutkundspaket. </w:t>
      </w:r>
    </w:p>
    <w:p w:rsidR="004B1A72" w:rsidRPr="005E3A54" w:rsidRDefault="004B1A72" w:rsidP="004B1A72">
      <w:r w:rsidRPr="005E3A54">
        <w:t>Kommissionen har anfört att det inte varit möjligt för lagstiftaren att med hjälp av dessa förf</w:t>
      </w:r>
      <w:r w:rsidRPr="005E3A54">
        <w:t>a</w:t>
      </w:r>
      <w:r w:rsidRPr="005E3A54">
        <w:t>randen göra något åt de höga priserna på internationella roamingtjänster. Enligt kommissionen beror det bl.a. på de särskilda ege</w:t>
      </w:r>
      <w:r w:rsidRPr="005E3A54">
        <w:t>n</w:t>
      </w:r>
      <w:r w:rsidRPr="005E3A54">
        <w:t>skaper som kännetecknar marknaden för inte</w:t>
      </w:r>
      <w:r w:rsidRPr="005E3A54">
        <w:t>r</w:t>
      </w:r>
      <w:r w:rsidRPr="005E3A54">
        <w:t>nationella roamingtjänster, och tjänsternas grän</w:t>
      </w:r>
      <w:r w:rsidRPr="005E3A54">
        <w:t>s</w:t>
      </w:r>
      <w:r w:rsidRPr="005E3A54">
        <w:t>överskridande natur. Enligt kommissionen har grossist- och slutkundsledet mycket speciella ege</w:t>
      </w:r>
      <w:r w:rsidRPr="005E3A54">
        <w:t>n</w:t>
      </w:r>
      <w:r w:rsidRPr="005E3A54">
        <w:t>skaper som motiverar exceptionella åtgärder utöver de mekanismer som annars finns att tillgå inom ramen för regelverket för elektroniska kommun</w:t>
      </w:r>
      <w:r w:rsidRPr="005E3A54">
        <w:t>i</w:t>
      </w:r>
      <w:r w:rsidRPr="005E3A54">
        <w:t>kationer.</w:t>
      </w:r>
    </w:p>
    <w:p w:rsidR="004B1A72" w:rsidRPr="005E3A54" w:rsidRDefault="004B1A72" w:rsidP="004B1A72">
      <w:r w:rsidRPr="005E3A54">
        <w:t>Kommissionen har genomfört en konsekvensanalys av olika regleringsm</w:t>
      </w:r>
      <w:r w:rsidRPr="005E3A54">
        <w:t>o</w:t>
      </w:r>
      <w:r w:rsidRPr="005E3A54">
        <w:t>deller i samband med förslaget till förordning.</w:t>
      </w:r>
    </w:p>
    <w:p w:rsidR="004B1A72" w:rsidRPr="005E3A54" w:rsidRDefault="004B1A72" w:rsidP="004B1A72"/>
    <w:p w:rsidR="004B1A72" w:rsidRPr="005E3A54" w:rsidRDefault="004B1A72">
      <w:pPr>
        <w:pStyle w:val="Rubrik2"/>
      </w:pPr>
      <w:r w:rsidRPr="005E3A54">
        <w:t>Huvudsakligt innehåll</w:t>
      </w:r>
    </w:p>
    <w:p w:rsidR="004B1A72" w:rsidRPr="005E3A54" w:rsidRDefault="004B1A72" w:rsidP="004B1A72"/>
    <w:p w:rsidR="004B1A72" w:rsidRPr="005E3A54" w:rsidRDefault="004B1A72">
      <w:r w:rsidRPr="005E3A54">
        <w:t>Enligt förslaget inrättas ett EU-omfattande pristak för de avgifter som oper</w:t>
      </w:r>
      <w:r w:rsidRPr="005E3A54">
        <w:t>a</w:t>
      </w:r>
      <w:r w:rsidRPr="005E3A54">
        <w:t>törer av mobiltelefonnät får ta ut på grossistnivå för tillhandahållande av roamingtjänster för mobila rösttelefonisamtal som görs från ett värdnät i gemenskapen till ett allmänt telefonnät som också finns inom gemenskapen. Kommissionen lanserar genom detta principen om en europeisk hemm</w:t>
      </w:r>
      <w:r w:rsidRPr="005E3A54">
        <w:t>a</w:t>
      </w:r>
      <w:r w:rsidRPr="005E3A54">
        <w:t>marknad. Gränserna för pristaket skall ta hänsyn till skillnaderna mellan de underliggande kostnaderna dels för tillhandahållande av internationella ro</w:t>
      </w:r>
      <w:r w:rsidRPr="005E3A54">
        <w:t>a</w:t>
      </w:r>
      <w:r w:rsidRPr="005E3A54">
        <w:t xml:space="preserve">mingtjänster för samtal inom ett besökt land, dels för samtal till hemlandet eller ett tredje inom Europeiska Unionen. </w:t>
      </w:r>
    </w:p>
    <w:p w:rsidR="004B1A72" w:rsidRPr="005E3A54" w:rsidRDefault="004B1A72" w:rsidP="004B1A72">
      <w:r w:rsidRPr="005E3A54">
        <w:t>Enligt förslaget skall pristaket på grossistnivå vara två gånger EU-genomsnittet för priserna för mobilterminering vid samtal inom ett besökt EU-land, och tre gånger EU-genomsnittet för priserna för mobilterminering vid samtal till hemlandet eller ett tredje land inom EU.</w:t>
      </w:r>
    </w:p>
    <w:p w:rsidR="004B1A72" w:rsidRPr="005E3A54" w:rsidRDefault="004B1A72" w:rsidP="004B1A72">
      <w:r w:rsidRPr="005E3A54">
        <w:t>För att se till att priserna på slutkundsnivå inte pressas upp, föreskrivs oc</w:t>
      </w:r>
      <w:r w:rsidRPr="005E3A54">
        <w:t>k</w:t>
      </w:r>
      <w:r w:rsidRPr="005E3A54">
        <w:t>så i förslaget ett skyddande pristak på slutkundsnivå motsvarande 130 pr</w:t>
      </w:r>
      <w:r w:rsidRPr="005E3A54">
        <w:t>o</w:t>
      </w:r>
      <w:r w:rsidRPr="005E3A54">
        <w:t>cent av den tillämpliga gränsen för grossistpriser. Pristaken för slutkundsta</w:t>
      </w:r>
      <w:r w:rsidRPr="005E3A54">
        <w:t>x</w:t>
      </w:r>
      <w:r w:rsidRPr="005E3A54">
        <w:t>orna för reglerade roamingsamtal kommer att bli rättsligt bindande sex m</w:t>
      </w:r>
      <w:r w:rsidRPr="005E3A54">
        <w:t>å</w:t>
      </w:r>
      <w:r w:rsidRPr="005E3A54">
        <w:t>nader efter det att den föreslagna förordningen träder i kraft.</w:t>
      </w:r>
    </w:p>
    <w:p w:rsidR="004B1A72" w:rsidRPr="005E3A54" w:rsidRDefault="004B1A72" w:rsidP="004B1A72">
      <w:r w:rsidRPr="005E3A54">
        <w:t>Principen om en europeisk hemmamarknad syftar till att uppnå en hög nivå av skydd för användare genom att en övre gräns fastställs för de avgifter på grossist- och slutkund</w:t>
      </w:r>
      <w:r w:rsidRPr="005E3A54">
        <w:t>s</w:t>
      </w:r>
      <w:r w:rsidRPr="005E3A54">
        <w:t>nivå som kan tas ut av mobiltelefonoperatörer för internationella roaming</w:t>
      </w:r>
      <w:r w:rsidRPr="005E3A54">
        <w:t>t</w:t>
      </w:r>
      <w:r w:rsidRPr="005E3A54">
        <w:t>jänster som tillhandahålls inom gemenskapen.</w:t>
      </w:r>
    </w:p>
    <w:p w:rsidR="004B1A72" w:rsidRPr="005E3A54" w:rsidRDefault="004B1A72" w:rsidP="004B1A72">
      <w:r w:rsidRPr="005E3A54">
        <w:t>Vidare föreskrivs i förordningen regler som skall förbättra insynen i slu</w:t>
      </w:r>
      <w:r w:rsidRPr="005E3A54">
        <w:t>t</w:t>
      </w:r>
      <w:r w:rsidRPr="005E3A54">
        <w:t>kundspr</w:t>
      </w:r>
      <w:r w:rsidRPr="005E3A54">
        <w:t>i</w:t>
      </w:r>
      <w:r w:rsidRPr="005E3A54">
        <w:t>serna för roaming. Detta skall uppnås genom att hemmaoperatören blir skyldig att på begäran gratis informera sina roamingkunder om roamin</w:t>
      </w:r>
      <w:r w:rsidRPr="005E3A54">
        <w:t>g</w:t>
      </w:r>
      <w:r w:rsidRPr="005E3A54">
        <w:t>taxor, antingen via sms eller via rösttelefoni. Dessutom skall insynen förbät</w:t>
      </w:r>
      <w:r w:rsidRPr="005E3A54">
        <w:t>t</w:t>
      </w:r>
      <w:r w:rsidRPr="005E3A54">
        <w:t>ras genom att hemmaleverantören blir skyldig att förse kunderna med up</w:t>
      </w:r>
      <w:r w:rsidRPr="005E3A54">
        <w:t>p</w:t>
      </w:r>
      <w:r w:rsidRPr="005E3A54">
        <w:t>gifter om roamingtaxorna när abonnemangen tecknas. Hemmaleverant</w:t>
      </w:r>
      <w:r w:rsidRPr="005E3A54">
        <w:t>ö</w:t>
      </w:r>
      <w:r w:rsidRPr="005E3A54">
        <w:t>rerna skall dessutom regelbundet förse sina kunder med aktuella uppgifter om gällande roamingtaxor och dessutom meddela kunderna så snart bet</w:t>
      </w:r>
      <w:r w:rsidRPr="005E3A54">
        <w:t>y</w:t>
      </w:r>
      <w:r w:rsidRPr="005E3A54">
        <w:t>dande ändringar av taxorna har ägt rum.</w:t>
      </w:r>
    </w:p>
    <w:p w:rsidR="004B1A72" w:rsidRPr="005E3A54" w:rsidRDefault="004B1A72" w:rsidP="004B1A72">
      <w:r w:rsidRPr="005E3A54">
        <w:t>Förslaget ger vidare de nationella tillsynsmyndigheterna inom området, befogenheter och ansvar för att se till reglerna efterlevs. De nationella til</w:t>
      </w:r>
      <w:r w:rsidRPr="005E3A54">
        <w:t>l</w:t>
      </w:r>
      <w:r w:rsidRPr="005E3A54">
        <w:t>synsmyndigheterna blir dessutom skyldiga att övervaka utvecklingen av slutkunds- och grossistpriser för tillhandahållande av röst- och datakomm</w:t>
      </w:r>
      <w:r w:rsidRPr="005E3A54">
        <w:t>u</w:t>
      </w:r>
      <w:r w:rsidRPr="005E3A54">
        <w:t>nikationstjänster, inbegripet sms och mms (multimedia message service) till mobilkunder vid roaming inom EU.</w:t>
      </w:r>
    </w:p>
    <w:p w:rsidR="004B1A72" w:rsidRPr="005E3A54" w:rsidRDefault="004B1A72" w:rsidP="004B1A72">
      <w:r w:rsidRPr="005E3A54">
        <w:t xml:space="preserve">Slutligen ändras genom förslaget bestämmelserna i ramdirektivet (2002/21/EG), för att se till att de direktiv som utgör regelverket och själva förordningen tillämpas på ett samstämmigt sätt. </w:t>
      </w:r>
    </w:p>
    <w:p w:rsidR="004B1A72" w:rsidRPr="005E3A54" w:rsidRDefault="004B1A72" w:rsidP="004B1A72">
      <w:r w:rsidRPr="005E3A54">
        <w:t>I kommissionens kons</w:t>
      </w:r>
      <w:r w:rsidRPr="005E3A54">
        <w:t>e</w:t>
      </w:r>
      <w:r w:rsidRPr="005E3A54">
        <w:t>kvensbedömning analyseras utöver principen om en europeisk hemmamarknad (european home market approach) även två andra principer för en prisreglering: värdlandsprincipen (visited country approach) och hemmalandsprincipen (home pricing principle). Värdland</w:t>
      </w:r>
      <w:r w:rsidRPr="005E3A54">
        <w:t>s</w:t>
      </w:r>
      <w:r w:rsidRPr="005E3A54">
        <w:t>principen utgår ifrån att konsumenten skall betala samma avgifter som en kund i vär</w:t>
      </w:r>
      <w:r w:rsidRPr="005E3A54">
        <w:t>d</w:t>
      </w:r>
      <w:r w:rsidRPr="005E3A54">
        <w:t>landet betalar för nationella och internationella samtal. Hemmalandsprinc</w:t>
      </w:r>
      <w:r w:rsidRPr="005E3A54">
        <w:t>i</w:t>
      </w:r>
      <w:r w:rsidRPr="005E3A54">
        <w:t>pen baseras på att en kund inte skall betala mer för ett samtal utomlands än vad man skulle betala för motsvarande samtal i hemla</w:t>
      </w:r>
      <w:r w:rsidRPr="005E3A54">
        <w:t>n</w:t>
      </w:r>
      <w:r w:rsidRPr="005E3A54">
        <w:t xml:space="preserve">det. </w:t>
      </w:r>
    </w:p>
    <w:p w:rsidR="004B1A72" w:rsidRPr="005E3A54" w:rsidRDefault="004B1A72">
      <w:pPr>
        <w:pStyle w:val="Rubrik2"/>
      </w:pPr>
      <w:r w:rsidRPr="005E3A54">
        <w:t>Gällande svenska regler och förslagets effekt på dessa</w:t>
      </w:r>
    </w:p>
    <w:p w:rsidR="004B1A72" w:rsidRPr="005E3A54" w:rsidRDefault="004B1A72">
      <w:r w:rsidRPr="005E3A54">
        <w:t>Det nuvarande EU-regelverket för elektroniska kommunikationer har geno</w:t>
      </w:r>
      <w:r w:rsidRPr="005E3A54">
        <w:t>m</w:t>
      </w:r>
      <w:r w:rsidRPr="005E3A54">
        <w:t>förts i svensk lagstiftning huvudsakligen genom lagen (2003:389) om ele</w:t>
      </w:r>
      <w:r w:rsidRPr="005E3A54">
        <w:t>k</w:t>
      </w:r>
      <w:r w:rsidRPr="005E3A54">
        <w:t>tronisk kommunikation (LEK). Varken LEK eller någon annan författning innehåller bestämmelser som direkt reglerar prissättningen på roaming i allmänna mobilnät. Om den föreslagna förordningen antas kan det, såvitt nu kan bedömas, behövas kompletterande bestämmelser i LEK om påföljder för överträdelser av förordningens bestämmelser. Vidare kan LEK:s regler om tvistlösningsförfarandet behöva justeras.</w:t>
      </w:r>
    </w:p>
    <w:p w:rsidR="004B1A72" w:rsidRPr="005E3A54" w:rsidRDefault="004B1A72" w:rsidP="004B1A72"/>
    <w:p w:rsidR="004B1A72" w:rsidRPr="005E3A54" w:rsidRDefault="004B1A72">
      <w:pPr>
        <w:pStyle w:val="Rubrik2"/>
      </w:pPr>
      <w:r w:rsidRPr="005E3A54">
        <w:t>Budgetära konsekvenser</w:t>
      </w:r>
    </w:p>
    <w:p w:rsidR="004B1A72" w:rsidRPr="005E3A54" w:rsidRDefault="004B1A72">
      <w:r w:rsidRPr="005E3A54">
        <w:t>Kommissionens meddelande medför inga budgetära konsekvenser.</w:t>
      </w:r>
    </w:p>
    <w:p w:rsidR="004B1A72" w:rsidRPr="005E3A54" w:rsidRDefault="004B1A72"/>
    <w:p w:rsidR="004B1A72" w:rsidRPr="005E3A54" w:rsidRDefault="004B1A72">
      <w:pPr>
        <w:pStyle w:val="Rubrik1"/>
      </w:pPr>
      <w:r w:rsidRPr="005E3A54">
        <w:t>Ståndpunkter</w:t>
      </w:r>
    </w:p>
    <w:p w:rsidR="004B1A72" w:rsidRPr="005E3A54" w:rsidRDefault="004B1A72" w:rsidP="004B1A72"/>
    <w:p w:rsidR="004B1A72" w:rsidRPr="005E3A54" w:rsidRDefault="004B1A72">
      <w:pPr>
        <w:autoSpaceDE w:val="0"/>
        <w:autoSpaceDN w:val="0"/>
        <w:adjustRightInd w:val="0"/>
        <w:spacing w:before="0" w:line="240" w:lineRule="atLeast"/>
        <w:jc w:val="left"/>
        <w:rPr>
          <w:rFonts w:ascii="Tms Rmn" w:hAnsi="Tms Rmn"/>
          <w:sz w:val="24"/>
          <w:szCs w:val="24"/>
          <w:lang w:eastAsia="en-US"/>
        </w:rPr>
      </w:pPr>
    </w:p>
    <w:p w:rsidR="004B1A72" w:rsidRPr="005E3A54" w:rsidRDefault="004B1A72">
      <w:pPr>
        <w:autoSpaceDE w:val="0"/>
        <w:autoSpaceDN w:val="0"/>
        <w:adjustRightInd w:val="0"/>
        <w:spacing w:before="0" w:line="240" w:lineRule="atLeast"/>
        <w:jc w:val="left"/>
        <w:rPr>
          <w:color w:val="000000"/>
          <w:sz w:val="24"/>
          <w:szCs w:val="24"/>
          <w:lang w:eastAsia="en-US"/>
        </w:rPr>
      </w:pPr>
      <w:r w:rsidRPr="005E3A54">
        <w:rPr>
          <w:color w:val="000000"/>
          <w:sz w:val="24"/>
          <w:szCs w:val="24"/>
          <w:lang w:eastAsia="en-US"/>
        </w:rPr>
        <w:t>1.1</w:t>
      </w:r>
      <w:r w:rsidRPr="005E3A54">
        <w:rPr>
          <w:color w:val="000000"/>
          <w:sz w:val="24"/>
          <w:szCs w:val="24"/>
          <w:lang w:eastAsia="en-US"/>
        </w:rPr>
        <w:tab/>
        <w:t>Svensk ståndpunkt</w:t>
      </w:r>
    </w:p>
    <w:p w:rsidR="004B1A72" w:rsidRPr="005E3A54" w:rsidRDefault="004B1A72"/>
    <w:p w:rsidR="004B1A72" w:rsidRPr="005E3A54" w:rsidRDefault="004B1A72">
      <w:r w:rsidRPr="005E3A54">
        <w:t>Oskäligt höga roaminga</w:t>
      </w:r>
      <w:r w:rsidRPr="005E3A54">
        <w:t>v</w:t>
      </w:r>
      <w:r w:rsidRPr="005E3A54">
        <w:t>gifter är ett konsumentproblem som påverkar många användare. Sverige är därför positivt till att kommissionen tar init</w:t>
      </w:r>
      <w:r w:rsidRPr="005E3A54">
        <w:t>a</w:t>
      </w:r>
      <w:r w:rsidRPr="005E3A54">
        <w:t>tiv till att motverka detta.</w:t>
      </w:r>
    </w:p>
    <w:p w:rsidR="004B1A72" w:rsidRPr="005E3A54" w:rsidRDefault="004B1A72" w:rsidP="004B1A72">
      <w:r w:rsidRPr="005E3A54">
        <w:t>Sverige förordar i första hand en reglering på grossistnivå. Det är av dock av största vikt att lägre priser på grossistnivå även får genomslag i slutkundsl</w:t>
      </w:r>
      <w:r w:rsidRPr="005E3A54">
        <w:t>e</w:t>
      </w:r>
      <w:r w:rsidRPr="005E3A54">
        <w:t>det. Åtgärder på slutkundsnivå bör snabbt kunna sättas in om prisreglerin</w:t>
      </w:r>
      <w:r w:rsidRPr="005E3A54">
        <w:t>g</w:t>
      </w:r>
      <w:r w:rsidRPr="005E3A54">
        <w:t>en i grossistledet inte får genomslag i slutkundsledet. Detta skall kunna faststä</w:t>
      </w:r>
      <w:r w:rsidRPr="005E3A54">
        <w:t>l</w:t>
      </w:r>
      <w:r w:rsidRPr="005E3A54">
        <w:t xml:space="preserve">las enligt i förväg uppställda villkor. </w:t>
      </w:r>
    </w:p>
    <w:p w:rsidR="004B1A72" w:rsidRPr="005E3A54" w:rsidRDefault="004B1A72" w:rsidP="004B1A72">
      <w:r w:rsidRPr="005E3A54">
        <w:t>Sverige uppskattar att kommissionen har gjort en omfattande konsekvensb</w:t>
      </w:r>
      <w:r w:rsidRPr="005E3A54">
        <w:t>e</w:t>
      </w:r>
      <w:r w:rsidRPr="005E3A54">
        <w:t>dömning som analyserar olika modeller för regle</w:t>
      </w:r>
      <w:r w:rsidRPr="005E3A54">
        <w:t>r</w:t>
      </w:r>
      <w:r w:rsidRPr="005E3A54">
        <w:t>ing m.m.  För att fullt ut kunna bedöma förslagets konsekvenser skulle dock underli</w:t>
      </w:r>
      <w:r w:rsidRPr="005E3A54">
        <w:t>g</w:t>
      </w:r>
      <w:r w:rsidRPr="005E3A54">
        <w:t>gande underlag och analyser behöva redovisas utförligare. Detta gäller tex. frågan om vilken princip som skall användas som underlag för nödvändiga beräkningar. Sver</w:t>
      </w:r>
      <w:r w:rsidRPr="005E3A54">
        <w:t>i</w:t>
      </w:r>
      <w:r w:rsidRPr="005E3A54">
        <w:t>ge efterfrågar bl.a. utförligare argument för varför kommissi</w:t>
      </w:r>
      <w:r w:rsidRPr="005E3A54">
        <w:t>o</w:t>
      </w:r>
      <w:r w:rsidRPr="005E3A54">
        <w:t>nen valt den europeiska hemmamarknadsprincipen som beräkningsu</w:t>
      </w:r>
      <w:r w:rsidRPr="005E3A54">
        <w:t>n</w:t>
      </w:r>
      <w:r w:rsidRPr="005E3A54">
        <w:t>derlag.</w:t>
      </w:r>
    </w:p>
    <w:p w:rsidR="004B1A72" w:rsidRPr="005E3A54" w:rsidRDefault="004B1A72" w:rsidP="004B1A72"/>
    <w:p w:rsidR="004B1A72" w:rsidRPr="005E3A54" w:rsidRDefault="004B1A72">
      <w:pPr>
        <w:pStyle w:val="Rubrik2"/>
      </w:pPr>
      <w:r w:rsidRPr="005E3A54">
        <w:t>Medlemsstaternas ståndpunkter</w:t>
      </w:r>
    </w:p>
    <w:p w:rsidR="004B1A72" w:rsidRPr="005E3A54" w:rsidRDefault="004B1A72">
      <w:r w:rsidRPr="005E3A54">
        <w:t>Det finns ett brett stöd bland medlemsstaterna för kommissionens mål att sänka avgifterna för roaming. De tio medlemsstater som yttrat sig emotsatte sig dock kommissionens modell, med prisreglering i både grossist- och slu</w:t>
      </w:r>
      <w:r w:rsidRPr="005E3A54">
        <w:t>t</w:t>
      </w:r>
      <w:r w:rsidRPr="005E3A54">
        <w:t>kundsledet. Dessa medlemsstater förordade istället reglering i grossis</w:t>
      </w:r>
      <w:r w:rsidRPr="005E3A54">
        <w:t>t</w:t>
      </w:r>
      <w:r w:rsidRPr="005E3A54">
        <w:t>ledet och att man skulle hålla sig avvaktande till reglering i slutkundsledet.</w:t>
      </w:r>
    </w:p>
    <w:p w:rsidR="004B1A72" w:rsidRPr="005E3A54" w:rsidRDefault="004B1A72">
      <w:pPr>
        <w:pStyle w:val="Rubrik2"/>
      </w:pPr>
      <w:r w:rsidRPr="005E3A54">
        <w:t>Institutionernas ståndpunkter</w:t>
      </w:r>
    </w:p>
    <w:p w:rsidR="004B1A72" w:rsidRPr="005E3A54" w:rsidRDefault="004B1A72">
      <w:r w:rsidRPr="005E3A54">
        <w:t>Institutionernas ståndpunkter är för närvarande inte kända.</w:t>
      </w:r>
    </w:p>
    <w:p w:rsidR="004B1A72" w:rsidRPr="005E3A54" w:rsidRDefault="004B1A72">
      <w:pPr>
        <w:pStyle w:val="Rubrik2"/>
      </w:pPr>
      <w:r w:rsidRPr="005E3A54">
        <w:t>Remissinstansernas ståndpunkter</w:t>
      </w:r>
    </w:p>
    <w:p w:rsidR="004B1A72" w:rsidRPr="005E3A54" w:rsidRDefault="004B1A72">
      <w:r w:rsidRPr="005E3A54">
        <w:t>Kommissionen genomförde ett samråd i två faser i början av 2006. Under de två faserna mottogs 152 inlägg från olika intressenter, bland andra operat</w:t>
      </w:r>
      <w:r w:rsidRPr="005E3A54">
        <w:t>ö</w:t>
      </w:r>
      <w:r w:rsidRPr="005E3A54">
        <w:t>rer, nationella tillsynsmyndigheter, medlemsstater, handelsorganisationer och användarorganisationer.</w:t>
      </w:r>
    </w:p>
    <w:p w:rsidR="004B1A72" w:rsidRPr="005E3A54" w:rsidRDefault="004B1A72" w:rsidP="004B1A72">
      <w:r w:rsidRPr="005E3A54">
        <w:t>Under den första samrådsrundan efterfrågades allmän återkoppling på de övergripande principerna att genomföra en prisreglering. Kommissionens fokus</w:t>
      </w:r>
      <w:r w:rsidRPr="005E3A54">
        <w:t>e</w:t>
      </w:r>
      <w:r w:rsidRPr="005E3A54">
        <w:t>ring på internationell roaming mottogs huvudsakligen positivt av reglering</w:t>
      </w:r>
      <w:r w:rsidRPr="005E3A54">
        <w:t>s</w:t>
      </w:r>
      <w:r w:rsidRPr="005E3A54">
        <w:t>myndigheter, konsument- och användarorganisationer och en del mindre mobiloperatörer. Mobiloper</w:t>
      </w:r>
      <w:r w:rsidRPr="005E3A54">
        <w:t>a</w:t>
      </w:r>
      <w:r w:rsidRPr="005E3A54">
        <w:t xml:space="preserve">törernas organisationer och de flesta enskilda operatörer motsatte sig emellertid reglering. </w:t>
      </w:r>
    </w:p>
    <w:p w:rsidR="004B1A72" w:rsidRPr="005E3A54" w:rsidRDefault="004B1A72" w:rsidP="004B1A72">
      <w:r w:rsidRPr="005E3A54">
        <w:t>I den andra samrådsrundan lanserades en konkret regleringsmodell – princ</w:t>
      </w:r>
      <w:r w:rsidRPr="005E3A54">
        <w:t>i</w:t>
      </w:r>
      <w:r w:rsidRPr="005E3A54">
        <w:t>pen om hemmataxa (home pricing principle). De flesta marknadsaktöre</w:t>
      </w:r>
      <w:r w:rsidRPr="005E3A54">
        <w:t>r</w:t>
      </w:r>
      <w:r w:rsidRPr="005E3A54">
        <w:t>na var fortsatt emot varje form av reglering. Operatörerna anförde vidare att priserna är på väg ner, men en del har föreslagit självreglering eller någon annan form av r</w:t>
      </w:r>
      <w:r w:rsidRPr="005E3A54">
        <w:t>e</w:t>
      </w:r>
      <w:r w:rsidRPr="005E3A54">
        <w:t xml:space="preserve">glering. </w:t>
      </w:r>
    </w:p>
    <w:p w:rsidR="004B1A72" w:rsidRPr="005E3A54" w:rsidRDefault="004B1A72" w:rsidP="004B1A72">
      <w:r w:rsidRPr="005E3A54">
        <w:t>Europeiska gruppen av regleringsmyndigheter (ERG) stödde kommissi</w:t>
      </w:r>
      <w:r w:rsidRPr="005E3A54">
        <w:t>o</w:t>
      </w:r>
      <w:r w:rsidRPr="005E3A54">
        <w:t>nens mål men var emot modellen i samrådsdokumentet. ERG förord</w:t>
      </w:r>
      <w:r w:rsidRPr="005E3A54">
        <w:t>a</w:t>
      </w:r>
      <w:r w:rsidRPr="005E3A54">
        <w:t>de i stället reglering i grossistledet och att man skulle förhålla sig avvaktande till r</w:t>
      </w:r>
      <w:r w:rsidRPr="005E3A54">
        <w:t>e</w:t>
      </w:r>
      <w:r w:rsidRPr="005E3A54">
        <w:t>glering i slutkundsledet.</w:t>
      </w:r>
    </w:p>
    <w:p w:rsidR="004B1A72" w:rsidRPr="005E3A54" w:rsidRDefault="004B1A72" w:rsidP="004B1A72">
      <w:r w:rsidRPr="005E3A54">
        <w:t>Det nu presenterade förslaget har inte varit föremål för någon konsultation av kommissionen.</w:t>
      </w:r>
    </w:p>
    <w:p w:rsidR="004B1A72" w:rsidRPr="005E3A54" w:rsidRDefault="004B1A72" w:rsidP="004B1A72">
      <w:r w:rsidRPr="005E3A54">
        <w:t>Sverige har under våren 2006 fört dialog med operatörer angående kommi</w:t>
      </w:r>
      <w:r w:rsidRPr="005E3A54">
        <w:t>s</w:t>
      </w:r>
      <w:r w:rsidRPr="005E3A54">
        <w:t>sionens initiativ. I september 2006 kommer frågan även att avhandlas i sa</w:t>
      </w:r>
      <w:r w:rsidRPr="005E3A54">
        <w:t>m</w:t>
      </w:r>
      <w:r w:rsidRPr="005E3A54">
        <w:t>band med ett referensgruppsmöte för intressenter inom sektorn elektr</w:t>
      </w:r>
      <w:r w:rsidRPr="005E3A54">
        <w:t>o</w:t>
      </w:r>
      <w:r w:rsidRPr="005E3A54">
        <w:t>nisk kommunik</w:t>
      </w:r>
      <w:r w:rsidRPr="005E3A54">
        <w:t>a</w:t>
      </w:r>
      <w:r w:rsidRPr="005E3A54">
        <w:t>tion.</w:t>
      </w:r>
    </w:p>
    <w:p w:rsidR="004B1A72" w:rsidRPr="005E3A54" w:rsidRDefault="004B1A72" w:rsidP="004B1A72"/>
    <w:p w:rsidR="004B1A72" w:rsidRPr="005E3A54" w:rsidRDefault="004B1A72">
      <w:pPr>
        <w:pStyle w:val="Rubrik1"/>
      </w:pPr>
      <w:r w:rsidRPr="005E3A54">
        <w:t>Övrigt</w:t>
      </w:r>
    </w:p>
    <w:p w:rsidR="004B1A72" w:rsidRPr="005E3A54" w:rsidRDefault="004B1A72">
      <w:pPr>
        <w:pStyle w:val="Rubrik2"/>
      </w:pPr>
      <w:r w:rsidRPr="005E3A54">
        <w:t>Fortsatt behandling av ärendet</w:t>
      </w:r>
    </w:p>
    <w:p w:rsidR="004B1A72" w:rsidRPr="005E3A54" w:rsidRDefault="004B1A72">
      <w:r w:rsidRPr="005E3A54">
        <w:t>Kommissionens förslag till förordning och konsekvensanalysen kommer att behandlas av rådet och Europaparlamentet under 2006 och 2007. Ambiti</w:t>
      </w:r>
      <w:r w:rsidRPr="005E3A54">
        <w:t>o</w:t>
      </w:r>
      <w:r w:rsidRPr="005E3A54">
        <w:t>nen är att förordningen kan träda i kraft senast till sommaren 2007. Rådsarbet</w:t>
      </w:r>
      <w:r w:rsidRPr="005E3A54">
        <w:t>s</w:t>
      </w:r>
      <w:r w:rsidRPr="005E3A54">
        <w:t>gruppen för telekommunikation och informationssamhället har inlett sitt arbete med förslaget.</w:t>
      </w:r>
    </w:p>
    <w:p w:rsidR="004B1A72" w:rsidRPr="005E3A54" w:rsidRDefault="004B1A72">
      <w:pPr>
        <w:pStyle w:val="Rubrik2"/>
      </w:pPr>
      <w:r w:rsidRPr="005E3A54">
        <w:t>Rättslig grund och beslutsförfarande</w:t>
      </w:r>
    </w:p>
    <w:p w:rsidR="004B1A72" w:rsidRPr="005E3A54" w:rsidRDefault="004B1A72">
      <w:r w:rsidRPr="005E3A54">
        <w:t>Rättslig grund för förslaget är artikel 95 i EG-fördraget. Beslut fattas enligt medbeslutandeförfarandet (artikel 251) och av rådet med kvalificerad major</w:t>
      </w:r>
      <w:r w:rsidRPr="005E3A54">
        <w:t>i</w:t>
      </w:r>
      <w:r w:rsidRPr="005E3A54">
        <w:t>tet.</w:t>
      </w:r>
    </w:p>
    <w:p w:rsidR="004B1A72" w:rsidRPr="005E3A54" w:rsidRDefault="004B1A72">
      <w:pPr>
        <w:pStyle w:val="Rubrik2"/>
      </w:pPr>
      <w:r w:rsidRPr="005E3A54">
        <w:t>Fackuttryck/termer</w:t>
      </w:r>
    </w:p>
    <w:p w:rsidR="004B1A72" w:rsidRPr="005E3A54" w:rsidRDefault="004B1A72" w:rsidP="004B1A72"/>
    <w:tbl>
      <w:tblPr>
        <w:tblW w:w="0" w:type="auto"/>
        <w:tblInd w:w="-12" w:type="dxa"/>
        <w:tblLook w:val="0000" w:firstRow="0" w:lastRow="0" w:firstColumn="0" w:lastColumn="0" w:noHBand="0" w:noVBand="0"/>
      </w:tblPr>
      <w:tblGrid>
        <w:gridCol w:w="1688"/>
        <w:gridCol w:w="4220"/>
      </w:tblGrid>
      <w:tr w:rsidR="004B1A72" w:rsidRPr="005E3A54">
        <w:tblPrEx>
          <w:tblCellMar>
            <w:top w:w="0" w:type="dxa"/>
            <w:bottom w:w="0" w:type="dxa"/>
          </w:tblCellMar>
        </w:tblPrEx>
        <w:tc>
          <w:tcPr>
            <w:tcW w:w="1736" w:type="dxa"/>
          </w:tcPr>
          <w:p w:rsidR="004B1A72" w:rsidRPr="005E3A54" w:rsidRDefault="004B1A72">
            <w:r w:rsidRPr="005E3A54">
              <w:t>Hemmaleverantör</w:t>
            </w:r>
          </w:p>
        </w:tc>
        <w:tc>
          <w:tcPr>
            <w:tcW w:w="4388" w:type="dxa"/>
          </w:tcPr>
          <w:p w:rsidR="004B1A72" w:rsidRPr="005E3A54" w:rsidRDefault="004B1A72">
            <w:r w:rsidRPr="005E3A54">
              <w:t>Ett företag som levererar markbundna allmänna m</w:t>
            </w:r>
            <w:r w:rsidRPr="005E3A54">
              <w:t>o</w:t>
            </w:r>
            <w:r w:rsidRPr="005E3A54">
              <w:t>biltelefonitjänster på slutkundsnivå till en roaming</w:t>
            </w:r>
            <w:r w:rsidRPr="005E3A54">
              <w:softHyphen/>
              <w:t>kund,</w:t>
            </w:r>
          </w:p>
        </w:tc>
      </w:tr>
      <w:tr w:rsidR="004B1A72" w:rsidRPr="005E3A54">
        <w:tblPrEx>
          <w:tblCellMar>
            <w:top w:w="0" w:type="dxa"/>
            <w:bottom w:w="0" w:type="dxa"/>
          </w:tblCellMar>
        </w:tblPrEx>
        <w:tc>
          <w:tcPr>
            <w:tcW w:w="1736" w:type="dxa"/>
          </w:tcPr>
          <w:p w:rsidR="004B1A72" w:rsidRPr="005E3A54" w:rsidRDefault="004B1A72">
            <w:r w:rsidRPr="005E3A54">
              <w:t>Hemmanät</w:t>
            </w:r>
          </w:p>
        </w:tc>
        <w:tc>
          <w:tcPr>
            <w:tcW w:w="4388" w:type="dxa"/>
          </w:tcPr>
          <w:p w:rsidR="004B1A72" w:rsidRPr="005E3A54" w:rsidRDefault="004B1A72">
            <w:r w:rsidRPr="005E3A54">
              <w:t>Ett markbundet allmänt mobilnät i en medlemsstat via vilket en hemmaleverantör levererar markbundna allmänna mobiltelefonitjänster till en roamingkund,.</w:t>
            </w:r>
          </w:p>
        </w:tc>
      </w:tr>
      <w:tr w:rsidR="004B1A72" w:rsidRPr="005E3A54">
        <w:tblPrEx>
          <w:tblCellMar>
            <w:top w:w="0" w:type="dxa"/>
            <w:bottom w:w="0" w:type="dxa"/>
          </w:tblCellMar>
        </w:tblPrEx>
        <w:tc>
          <w:tcPr>
            <w:tcW w:w="1736" w:type="dxa"/>
          </w:tcPr>
          <w:p w:rsidR="004B1A72" w:rsidRPr="005E3A54" w:rsidRDefault="004B1A72">
            <w:r w:rsidRPr="005E3A54">
              <w:t>Internationell ro</w:t>
            </w:r>
            <w:r w:rsidRPr="005E3A54">
              <w:t>a</w:t>
            </w:r>
            <w:r w:rsidRPr="005E3A54">
              <w:t>ming</w:t>
            </w:r>
          </w:p>
        </w:tc>
        <w:tc>
          <w:tcPr>
            <w:tcW w:w="4388" w:type="dxa"/>
          </w:tcPr>
          <w:p w:rsidR="004B1A72" w:rsidRPr="005E3A54" w:rsidRDefault="004B1A72">
            <w:r w:rsidRPr="005E3A54">
              <w:t>När en roamingkund ringer eller tar emot samtal på en mobiltelefon eller annan typ av terminal utanför den medlemsstat där kundens hemmanät finns, och detta möjliggörs genom ett avtal mellan hemma- och värd</w:t>
            </w:r>
            <w:r w:rsidRPr="005E3A54">
              <w:softHyphen/>
              <w:t>nätsoperatörerna.</w:t>
            </w:r>
          </w:p>
        </w:tc>
      </w:tr>
      <w:tr w:rsidR="004B1A72" w:rsidRPr="005E3A54">
        <w:tblPrEx>
          <w:tblCellMar>
            <w:top w:w="0" w:type="dxa"/>
            <w:bottom w:w="0" w:type="dxa"/>
          </w:tblCellMar>
        </w:tblPrEx>
        <w:tc>
          <w:tcPr>
            <w:tcW w:w="1736" w:type="dxa"/>
          </w:tcPr>
          <w:p w:rsidR="004B1A72" w:rsidRPr="005E3A54" w:rsidRDefault="004B1A72">
            <w:r w:rsidRPr="005E3A54">
              <w:t>Reglerat roaming</w:t>
            </w:r>
            <w:r w:rsidRPr="005E3A54">
              <w:softHyphen/>
              <w:t>samtal</w:t>
            </w:r>
          </w:p>
        </w:tc>
        <w:tc>
          <w:tcPr>
            <w:tcW w:w="4388" w:type="dxa"/>
          </w:tcPr>
          <w:p w:rsidR="004B1A72" w:rsidRPr="005E3A54" w:rsidRDefault="004B1A72">
            <w:r w:rsidRPr="005E3A54">
              <w:t>Ett mobilt rösttelefonisamtal som en roamingkund ringer från ett värdnät och som tas emot på ett allmänt telefonnät i gemenskapen.</w:t>
            </w:r>
          </w:p>
        </w:tc>
      </w:tr>
      <w:tr w:rsidR="004B1A72" w:rsidRPr="005E3A54">
        <w:tblPrEx>
          <w:tblCellMar>
            <w:top w:w="0" w:type="dxa"/>
            <w:bottom w:w="0" w:type="dxa"/>
          </w:tblCellMar>
        </w:tblPrEx>
        <w:tc>
          <w:tcPr>
            <w:tcW w:w="1736" w:type="dxa"/>
          </w:tcPr>
          <w:p w:rsidR="004B1A72" w:rsidRPr="005E3A54" w:rsidRDefault="004B1A72">
            <w:r w:rsidRPr="005E3A54">
              <w:t>Roamingkund</w:t>
            </w:r>
          </w:p>
        </w:tc>
        <w:tc>
          <w:tcPr>
            <w:tcW w:w="4388" w:type="dxa"/>
          </w:tcPr>
          <w:p w:rsidR="004B1A72" w:rsidRPr="005E3A54" w:rsidRDefault="004B1A72">
            <w:r w:rsidRPr="005E3A54">
              <w:t>En kund hos en operatör som levererar markbundna allmänna mobiltelefonitjänster via ett markbundet allmänt mobilnät i gemenskapen, när kunden ringer eller tar emot samtal på sin mobiltelefon eller annan typ av terminal via ett värdnät, och detta möjliggörs genom ett avtal mellan hemma- och värdnäts</w:t>
            </w:r>
            <w:r w:rsidRPr="005E3A54">
              <w:softHyphen/>
              <w:t>operatörerna.</w:t>
            </w:r>
          </w:p>
        </w:tc>
      </w:tr>
      <w:tr w:rsidR="004B1A72" w:rsidRPr="005E3A54">
        <w:tblPrEx>
          <w:tblCellMar>
            <w:top w:w="0" w:type="dxa"/>
            <w:bottom w:w="0" w:type="dxa"/>
          </w:tblCellMar>
        </w:tblPrEx>
        <w:tc>
          <w:tcPr>
            <w:tcW w:w="1736" w:type="dxa"/>
          </w:tcPr>
          <w:p w:rsidR="004B1A72" w:rsidRPr="005E3A54" w:rsidRDefault="004B1A72">
            <w:r w:rsidRPr="005E3A54">
              <w:t>Värdnät</w:t>
            </w:r>
          </w:p>
        </w:tc>
        <w:tc>
          <w:tcPr>
            <w:tcW w:w="4388" w:type="dxa"/>
          </w:tcPr>
          <w:p w:rsidR="004B1A72" w:rsidRPr="005E3A54" w:rsidRDefault="004B1A72">
            <w:r w:rsidRPr="005E3A54">
              <w:t>Ett markbundet allmänt mobiltelefoninät i en annan medlemsstat än den där hemmanätet finns, via vilket en roamingkund kan ringa eller ta emot mobil</w:t>
            </w:r>
            <w:r w:rsidRPr="005E3A54">
              <w:softHyphen/>
              <w:t>telefonsamtal genom ett avtal mellan hemma- och värdnätsoperatörerna.</w:t>
            </w:r>
          </w:p>
        </w:tc>
      </w:tr>
    </w:tbl>
    <w:p w:rsidR="004B1A72" w:rsidRPr="005E3A54" w:rsidRDefault="004B1A72">
      <w:pPr>
        <w:ind w:left="1500" w:hanging="1500"/>
      </w:pPr>
    </w:p>
    <w:p w:rsidR="004B1A72" w:rsidRPr="005E3A54" w:rsidRDefault="004B1A72">
      <w:pPr>
        <w:ind w:left="1500" w:hanging="1500"/>
      </w:pPr>
    </w:p>
    <w:p w:rsidR="004B1A72" w:rsidRPr="005E3A54" w:rsidRDefault="004B1A72">
      <w:pPr>
        <w:ind w:left="1500" w:hanging="1500"/>
      </w:pPr>
      <w:r w:rsidRPr="005E3A54">
        <w:t xml:space="preserve">: </w:t>
      </w:r>
    </w:p>
    <w:p w:rsidR="004B1A72" w:rsidRPr="005E3A54" w:rsidRDefault="004B1A72" w:rsidP="004B1A72"/>
    <w:sectPr w:rsidR="004B1A72" w:rsidRPr="005E3A5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F33" w:rsidRPr="005E3A54" w:rsidRDefault="001C2F33">
      <w:r w:rsidRPr="005E3A54">
        <w:separator/>
      </w:r>
    </w:p>
  </w:endnote>
  <w:endnote w:type="continuationSeparator" w:id="0">
    <w:p w:rsidR="001C2F33" w:rsidRPr="005E3A54" w:rsidRDefault="001C2F33">
      <w:r w:rsidRPr="005E3A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72" w:rsidRPr="005E3A54" w:rsidRDefault="004B1A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72" w:rsidRPr="005E3A54" w:rsidRDefault="00692C97">
    <w:pPr>
      <w:pStyle w:val="SidfotH"/>
      <w:framePr w:wrap="around"/>
    </w:pPr>
    <w:r w:rsidRPr="005E3A54">
      <w:t>6</w:t>
    </w:r>
  </w:p>
  <w:p w:rsidR="004B1A72" w:rsidRPr="005E3A54" w:rsidRDefault="004B1A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72" w:rsidRPr="005E3A54" w:rsidRDefault="001C2F33">
    <w:pPr>
      <w:pStyle w:val="SidfotH"/>
      <w:framePr w:wrap="around"/>
    </w:pPr>
    <w:r w:rsidRPr="005E3A54">
      <w:t>1</w:t>
    </w:r>
  </w:p>
  <w:p w:rsidR="004B1A72" w:rsidRPr="005E3A54" w:rsidRDefault="004B1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F33" w:rsidRPr="005E3A54" w:rsidRDefault="001C2F33">
      <w:r w:rsidRPr="005E3A54">
        <w:separator/>
      </w:r>
    </w:p>
  </w:footnote>
  <w:footnote w:type="continuationSeparator" w:id="0">
    <w:p w:rsidR="001C2F33" w:rsidRPr="005E3A54" w:rsidRDefault="001C2F33">
      <w:r w:rsidRPr="005E3A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72" w:rsidRPr="005E3A54" w:rsidRDefault="004B1A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72" w:rsidRPr="005E3A54" w:rsidRDefault="004B1A72">
    <w:pPr>
      <w:pStyle w:val="Kantrubrik"/>
      <w:framePr w:h="1157" w:hRule="exact" w:wrap="around" w:y="738"/>
    </w:pPr>
    <w:r w:rsidRPr="005E3A54">
      <w:t>2005/06:FPM117</w:t>
    </w:r>
  </w:p>
  <w:p w:rsidR="004B1A72" w:rsidRPr="005E3A54" w:rsidRDefault="004B1A7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72" w:rsidRPr="005E3A54" w:rsidRDefault="005E3A54">
    <w:pPr>
      <w:pStyle w:val="Sidhuvud"/>
    </w:pPr>
    <w:r w:rsidRPr="005E3A5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82490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1A72" w:rsidRDefault="004B1A7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B1A72" w:rsidRDefault="004B1A72">
                    <w:pPr>
                      <w:pStyle w:val="Logo"/>
                    </w:pPr>
                    <w:r>
                      <w:object w:dxaOrig="840" w:dyaOrig="1545">
                        <v:shape id="_x0000_i1025" type="#_x0000_t75" style="width:42pt;height:77.15pt" fillcolor="window">
                          <v:imagedata r:id="rId1" o:title=""/>
                        </v:shape>
                        <o:OLEObject Type="Embed" ProgID="Word.Picture.8" ShapeID="_x0000_i1025" DrawAspect="Content" ObjectID="_18274387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3686772">
    <w:abstractNumId w:val="4"/>
  </w:num>
  <w:num w:numId="2" w16cid:durableId="1578130499">
    <w:abstractNumId w:val="1"/>
  </w:num>
  <w:num w:numId="3" w16cid:durableId="1039011888">
    <w:abstractNumId w:val="2"/>
  </w:num>
  <w:num w:numId="4" w16cid:durableId="1153065789">
    <w:abstractNumId w:val="3"/>
  </w:num>
  <w:num w:numId="5" w16cid:durableId="1725329467">
    <w:abstractNumId w:val="5"/>
  </w:num>
  <w:num w:numId="6" w16cid:durableId="1395153598">
    <w:abstractNumId w:val="0"/>
  </w:num>
  <w:num w:numId="7" w16cid:durableId="1569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64" w:dllVersion="131077" w:nlCheck="1" w:checkStyle="1"/>
  <w:activeWritingStyle w:appName="MSWord" w:lang="en-US" w:vendorID="64" w:dllVersion="131078" w:nlCheck="1" w:checkStyle="1"/>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9-13"/>
    <w:docVar w:name="Ar" w:val="2006/07"/>
    <w:docVar w:name="Dep" w:val="Näringsdepartementet"/>
    <w:docVar w:name="DepWeb" w:val="Näringsdepartementet"/>
    <w:docVar w:name="GDB1" w:val="KOM(2006)382"/>
    <w:docVar w:name="GDB10" w:val=" "/>
    <w:docVar w:name="GDB11" w:val=" "/>
    <w:docVar w:name="GDB12" w:val=" "/>
    <w:docVar w:name="GDB13" w:val=" "/>
    <w:docVar w:name="GDB2" w:val="SEK(2006)925"/>
    <w:docVar w:name="GDB3" w:val="SEK(2006)926"/>
    <w:docVar w:name="GDB4" w:val=" "/>
    <w:docVar w:name="GDB5" w:val=" "/>
    <w:docVar w:name="GDB6" w:val=" "/>
    <w:docVar w:name="GDB7" w:val=" "/>
    <w:docVar w:name="GDB8" w:val=" "/>
    <w:docVar w:name="GDB9" w:val=" "/>
    <w:docVar w:name="GDT1" w:val="Europaparlamentets och rådets förordning om roaming i allmänna mobilnät i gemenskapen och om ändring av direktiv 2002/21/EG om ett gemensamt regelverk för elektroniska kommunikationsnät och kommunikationstjänster"/>
    <w:docVar w:name="GDT10" w:val=" "/>
    <w:docVar w:name="GDT11" w:val=" "/>
    <w:docVar w:name="GDT12" w:val=" "/>
    <w:docVar w:name="GDT13" w:val=" "/>
    <w:docVar w:name="GDT2" w:val="Konsekvensbedömning av olika regleringsmodeller i samband med kommissionens förslag till Europaparlamentets och rådets förordning om roaming i allmänna moblinät i gemenskapen"/>
    <w:docVar w:name="GDT3" w:val="Sammanfattning - konsekvensbedömning av olika regleringsmodeller i samband med kommissionens förslag till Europaparlamentets och rådets förordning om roaming i allmänna mobilnät i gemenskapen"/>
    <w:docVar w:name="GDT4" w:val=" "/>
    <w:docVar w:name="GDT5" w:val=" "/>
    <w:docVar w:name="GDT6" w:val=" "/>
    <w:docVar w:name="GDT7" w:val=" "/>
    <w:docVar w:name="GDT8" w:val=" "/>
    <w:docVar w:name="GDT9" w:val=" "/>
    <w:docVar w:name="GDTWeb" w:val="KOM(2006)382, SEK(2006)925, SEK(2006)926"/>
    <w:docVar w:name="Nr" w:val="117"/>
    <w:docVar w:name="RD_APPVERSION" w:val="3.00"/>
    <w:docVar w:name="Rub" w:val="Förordning om roaming i mobilnät"/>
    <w:docVar w:name="UppDat" w:val="2006-09-13"/>
    <w:docVar w:name="Utsk" w:val="Trafikutskottet"/>
  </w:docVars>
  <w:rsids>
    <w:rsidRoot w:val="005E3A54"/>
    <w:rsid w:val="001C2F33"/>
    <w:rsid w:val="004B1A72"/>
    <w:rsid w:val="005E3A54"/>
    <w:rsid w:val="00692C97"/>
    <w:rsid w:val="00DA51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5E2B36-ABEE-4CA6-A882-BE51F2DA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1683</Words>
  <Characters>11265</Characters>
  <Application>Microsoft Office Word</Application>
  <DocSecurity>4</DocSecurity>
  <Lines>244</Lines>
  <Paragraphs>81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2006-09-13T08:06:00Z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117</vt:lpwstr>
  </property>
  <property fmtid="{D5CDD505-2E9C-101B-9397-08002B2CF9AE}" pid="4" name="GDB1">
    <vt:lpwstr>KOM(2006)382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roaming i mobilnät</vt:lpwstr>
  </property>
  <property fmtid="{D5CDD505-2E9C-101B-9397-08002B2CF9AE}" pid="8" name="UppDat">
    <vt:lpwstr>2006-09-13</vt:lpwstr>
  </property>
  <property fmtid="{D5CDD505-2E9C-101B-9397-08002B2CF9AE}" pid="9" name="AnkDat">
    <vt:lpwstr>2006-09-13</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SEK(2006)925</vt:lpwstr>
  </property>
  <property fmtid="{D5CDD505-2E9C-101B-9397-08002B2CF9AE}" pid="15" name="GDB3">
    <vt:lpwstr>SEK(2006)926</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10;0;0;300</vt:lpwstr>
  </property>
  <property fmtid="{D5CDD505-2E9C-101B-9397-08002B2CF9AE}" pid="39" name="Sprak">
    <vt:lpwstr>Svenska</vt:lpwstr>
  </property>
  <property fmtid="{D5CDD505-2E9C-101B-9397-08002B2CF9AE}" pid="40" name="DokID">
    <vt:i4>80</vt:i4>
  </property>
</Properties>
</file>