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B4E38C15A8C4A91B342EBB4FE3D0BFA"/>
        </w:placeholder>
        <w:text/>
      </w:sdtPr>
      <w:sdtEndPr/>
      <w:sdtContent>
        <w:p w:rsidRPr="009B062B" w:rsidR="00AF30DD" w:rsidP="00DA28CE" w:rsidRDefault="00AF30DD" w14:paraId="397C732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fd7df32-a874-428a-ae3f-4c3909ad68b2"/>
        <w:id w:val="118424785"/>
        <w:lock w:val="sdtLocked"/>
      </w:sdtPr>
      <w:sdtEndPr/>
      <w:sdtContent>
        <w:p w:rsidR="00DC4464" w:rsidRDefault="00F70C53" w14:paraId="397C732B" w14:textId="3E565B50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återkomma till riksdagen med förslag om att rapporteringsplikten ska gälla även för inhemska skattearrangemang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8AAEF8D9AD24621802754C32CA6EE35"/>
        </w:placeholder>
        <w:text/>
      </w:sdtPr>
      <w:sdtEndPr/>
      <w:sdtContent>
        <w:p w:rsidRPr="009B062B" w:rsidR="006D79C9" w:rsidP="00333E95" w:rsidRDefault="0074158D" w14:paraId="397C732C" w14:textId="77777777">
          <w:pPr>
            <w:pStyle w:val="Rubrik1"/>
          </w:pPr>
          <w:r>
            <w:t>Motivering</w:t>
          </w:r>
        </w:p>
      </w:sdtContent>
    </w:sdt>
    <w:p w:rsidRPr="00243991" w:rsidR="00422B9E" w:rsidP="00243991" w:rsidRDefault="00C55273" w14:paraId="397C732D" w14:textId="4A1A4E6D">
      <w:pPr>
        <w:pStyle w:val="Normalutanindragellerluft"/>
      </w:pPr>
      <w:r w:rsidRPr="00243991">
        <w:t>Inom ramen för OECD:s arbete mot skattebaserosion och vinstflyttning (BEPS) före</w:t>
      </w:r>
      <w:r w:rsidR="00306C14">
        <w:softHyphen/>
      </w:r>
      <w:r w:rsidRPr="00243991">
        <w:t>slogs regler om obligatorisk informationsskyldighet för rådgivare och i vissa fall an</w:t>
      </w:r>
      <w:r w:rsidR="00DA05AD">
        <w:softHyphen/>
      </w:r>
      <w:r w:rsidRPr="00243991">
        <w:t xml:space="preserve">vändare (berörd skattebetalare) om vissa typer av skatteupplägg. Rekommendationerna återfinns i en av BEPS-projektets slutrapporter, </w:t>
      </w:r>
      <w:proofErr w:type="spellStart"/>
      <w:r w:rsidRPr="00243991">
        <w:t>Mandatory</w:t>
      </w:r>
      <w:proofErr w:type="spellEnd"/>
      <w:r w:rsidRPr="00243991">
        <w:t xml:space="preserve"> </w:t>
      </w:r>
      <w:proofErr w:type="spellStart"/>
      <w:r w:rsidRPr="00243991">
        <w:t>Disclosure</w:t>
      </w:r>
      <w:proofErr w:type="spellEnd"/>
      <w:r w:rsidRPr="00243991">
        <w:t xml:space="preserve"> </w:t>
      </w:r>
      <w:proofErr w:type="spellStart"/>
      <w:r w:rsidRPr="00243991">
        <w:t>Rules</w:t>
      </w:r>
      <w:proofErr w:type="spellEnd"/>
      <w:r w:rsidRPr="00243991">
        <w:t xml:space="preserve">, Action 12 – 2015 Final </w:t>
      </w:r>
      <w:proofErr w:type="spellStart"/>
      <w:r w:rsidRPr="00243991">
        <w:t>Report</w:t>
      </w:r>
      <w:proofErr w:type="spellEnd"/>
      <w:r w:rsidRPr="00243991" w:rsidR="00061E5F">
        <w:t>.</w:t>
      </w:r>
      <w:r w:rsidRPr="00243991" w:rsidR="00061E5F">
        <w:rPr>
          <w:vertAlign w:val="superscript"/>
        </w:rPr>
        <w:footnoteReference w:id="1"/>
      </w:r>
      <w:r w:rsidRPr="00243991" w:rsidR="00061E5F">
        <w:t xml:space="preserve"> Syftet med reglerna är att ge skattemyndigheter tidig information om potentiellt aggressiva </w:t>
      </w:r>
      <w:proofErr w:type="spellStart"/>
      <w:r w:rsidRPr="00243991" w:rsidR="00061E5F">
        <w:t>skatteupplägg</w:t>
      </w:r>
      <w:proofErr w:type="spellEnd"/>
      <w:r w:rsidRPr="00243991" w:rsidR="00061E5F">
        <w:t xml:space="preserve"> och vilka som marknadsför, förmedlar och an</w:t>
      </w:r>
      <w:r w:rsidR="00DA05AD">
        <w:softHyphen/>
      </w:r>
      <w:r w:rsidRPr="00243991" w:rsidR="00061E5F">
        <w:t>vänder dem. Sådan tidig information innebär att skattemyndigheterna kan arbeta mer effektivt. Resurser som annars skulle ha behövt läggas på att upptäcka skatteupplägg kan i stället läggas på att vidta åtgärder utifrån lämnad information. Ett annat syfte med rapporteringsskyldigheten är att skattskyldiga kan bli mindre benägna att använda upp</w:t>
      </w:r>
      <w:r w:rsidR="00DA05AD">
        <w:softHyphen/>
      </w:r>
      <w:r w:rsidRPr="00243991" w:rsidR="00061E5F">
        <w:t xml:space="preserve">läggen. OECD föreslog att såväl gränsöverskridande skatteupplägg som rent inhemska arrangemang ska omfattas av informationsskyldigheten. De konstaterade också </w:t>
      </w:r>
      <w:r w:rsidRPr="00243991" w:rsidR="000E3020">
        <w:t xml:space="preserve">att </w:t>
      </w:r>
      <w:r w:rsidRPr="00243991" w:rsidR="00061E5F">
        <w:lastRenderedPageBreak/>
        <w:t>gräns</w:t>
      </w:r>
      <w:bookmarkStart w:name="_GoBack" w:id="1"/>
      <w:bookmarkEnd w:id="1"/>
      <w:r w:rsidRPr="00243991" w:rsidR="00061E5F">
        <w:t>överskridande upplägg är svårare att komma åt genom rapporteringsskyldighet. Mot bakgrund av bl.a. OECD:s rekommendationer tillsatte regeringen i april 2017 en särskild utredare med uppdrag att se över möjligheterna att införa en skyldighet för bl.a. skatte</w:t>
      </w:r>
      <w:r w:rsidR="00DA05AD">
        <w:softHyphen/>
      </w:r>
      <w:r w:rsidRPr="00243991" w:rsidR="00061E5F">
        <w:t>rådgivare att informera Skatteverket om vissa typer av skatteupplägg. Utredningen pre</w:t>
      </w:r>
      <w:r w:rsidR="00DA05AD">
        <w:softHyphen/>
      </w:r>
      <w:r w:rsidRPr="00243991" w:rsidR="00061E5F">
        <w:t xml:space="preserve">senterade i början av 2019 sitt betänkande Rapporteringsskyldiga arrangemang – ett nytt regelverk på skatteområdet (SOU 2018:91). Utredningen föreslog, i likhet med OECD-rapporten, att en rapporteringsplikt införs för såväl gränsöverskridande skatteupplägg som rent inhemska arrangemang. </w:t>
      </w:r>
    </w:p>
    <w:p w:rsidR="000F08AE" w:rsidP="000F08AE" w:rsidRDefault="000F08AE" w14:paraId="397C732E" w14:textId="77777777">
      <w:r>
        <w:t>Under utredningens gång beslutade rådet om direktiv (EU) 2018/822 av den 25 maj 2018 om ändring av direktiv 2011/16/EU vad gäller obligatoriskt automatiskt utbyte av upplysningar i fråga om beskattning som rör rapporteringspliktiga gränsöverskridande</w:t>
      </w:r>
    </w:p>
    <w:p w:rsidR="000F08AE" w:rsidP="000F08AE" w:rsidRDefault="000F08AE" w14:paraId="397C732F" w14:textId="3D8D1686">
      <w:pPr>
        <w:ind w:firstLine="0"/>
      </w:pPr>
      <w:r>
        <w:t>arrangemang (</w:t>
      </w:r>
      <w:proofErr w:type="spellStart"/>
      <w:r>
        <w:t>D</w:t>
      </w:r>
      <w:r w:rsidR="00243991">
        <w:t>ac</w:t>
      </w:r>
      <w:proofErr w:type="spellEnd"/>
      <w:r>
        <w:t xml:space="preserve"> 6). EU:s förslag var emellertid </w:t>
      </w:r>
      <w:r w:rsidR="004A6C6E">
        <w:t>relativt u</w:t>
      </w:r>
      <w:r w:rsidR="00182209">
        <w:t>r</w:t>
      </w:r>
      <w:r w:rsidR="004A6C6E">
        <w:t xml:space="preserve">vattnat i så motto att endast gränsöverskridande </w:t>
      </w:r>
      <w:r w:rsidR="00241E2B">
        <w:t>arrangemang</w:t>
      </w:r>
      <w:r w:rsidR="004A6C6E">
        <w:t xml:space="preserve"> omfattas av informationsplikten. I direktivet finns det dock inget som hindrar medlemsländerna att gå längre och införa rapporteringsplikt på inhemska skatteupplägg. Detta har också skett i flera EU-länder bl.a. </w:t>
      </w:r>
      <w:r w:rsidR="00406E9E">
        <w:t>Irland och Portu</w:t>
      </w:r>
      <w:r w:rsidR="00DA05AD">
        <w:softHyphen/>
      </w:r>
      <w:r w:rsidR="00406E9E">
        <w:t>gal. Andra länder som också har infört rapporteringsskyldighet är Storbritannien, USA och Kanada.</w:t>
      </w:r>
      <w:r w:rsidR="00406E9E">
        <w:rPr>
          <w:rStyle w:val="Fotnotsreferens"/>
        </w:rPr>
        <w:footnoteReference w:id="2"/>
      </w:r>
    </w:p>
    <w:p w:rsidR="00BB6339" w:rsidP="00243991" w:rsidRDefault="00FC4B2F" w14:paraId="397C7331" w14:textId="377CD1AE">
      <w:r w:rsidRPr="00243991">
        <w:t>Tyvärr väljer regeringen</w:t>
      </w:r>
      <w:r w:rsidRPr="00243991" w:rsidR="00241E2B">
        <w:t xml:space="preserve"> i propositionen att lägga sig på direktivets miniminivå där rapporteringsplikten endast omfattar gränsöverskridande skattearrangemang.</w:t>
      </w:r>
      <w:r w:rsidRPr="00243991" w:rsidR="00917E9C">
        <w:t xml:space="preserve"> Detta är oerhört olyckligt eftersom det just är på inhemska skattearrangemang som en rapporte</w:t>
      </w:r>
      <w:r w:rsidR="00DA05AD">
        <w:softHyphen/>
      </w:r>
      <w:r w:rsidRPr="00243991" w:rsidR="00917E9C">
        <w:t>ringsskyldighet skulle kunna ge ett väsentligt bidrag i kampen mot skatteflykt och skat</w:t>
      </w:r>
      <w:r w:rsidR="00DA05AD">
        <w:softHyphen/>
      </w:r>
      <w:r w:rsidRPr="00243991" w:rsidR="00917E9C">
        <w:t xml:space="preserve">teundandragande. Detta eftersom det främst är inhemska arrangemang som Skatteverket kan bedriva en effektiv tillsyn på. Regeringen bör återkomma till riksdagen med förslag om </w:t>
      </w:r>
      <w:r w:rsidRPr="00243991" w:rsidR="0074158D">
        <w:t xml:space="preserve">att </w:t>
      </w:r>
      <w:r w:rsidRPr="00243991" w:rsidR="00917E9C">
        <w:t>rapporteringsplikt</w:t>
      </w:r>
      <w:r w:rsidRPr="00243991" w:rsidR="0074158D">
        <w:t>en ska gälla</w:t>
      </w:r>
      <w:r w:rsidRPr="00243991" w:rsidR="00917E9C">
        <w:t xml:space="preserve"> även för inhemska skattearrangemang. Detta bör riksdagen ställa sig bakom och ge regeringen till 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2B8FE249F9EA460CA1C7C2CFE24A1085"/>
        </w:placeholder>
      </w:sdtPr>
      <w:sdtEndPr/>
      <w:sdtContent>
        <w:p w:rsidR="00AE2ECB" w:rsidP="00E253D7" w:rsidRDefault="00AE2ECB" w14:paraId="397C7332" w14:textId="77777777"/>
        <w:p w:rsidRPr="008E0FE2" w:rsidR="004801AC" w:rsidP="00E253D7" w:rsidRDefault="00F2648F" w14:paraId="397C733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Tony Haddou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Ulla Andersson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Lorena Delgado Varas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Ali Esbati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Birger Lahti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Andreas Lennkvist Manriquez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Ciczie Weidby (V)</w:t>
            </w:r>
          </w:p>
        </w:tc>
      </w:tr>
    </w:tbl>
    <w:p w:rsidR="00003872" w:rsidRDefault="00003872" w14:paraId="397C7340" w14:textId="77777777"/>
    <w:sectPr w:rsidR="0000387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C7342" w14:textId="77777777" w:rsidR="001E6B15" w:rsidRDefault="001E6B15" w:rsidP="000C1CAD">
      <w:pPr>
        <w:spacing w:line="240" w:lineRule="auto"/>
      </w:pPr>
      <w:r>
        <w:separator/>
      </w:r>
    </w:p>
  </w:endnote>
  <w:endnote w:type="continuationSeparator" w:id="0">
    <w:p w14:paraId="397C7343" w14:textId="77777777" w:rsidR="001E6B15" w:rsidRDefault="001E6B1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C734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C734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60E1C" w14:textId="77777777" w:rsidR="00A93E97" w:rsidRDefault="00A93E9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7C7340" w14:textId="1E1F4919" w:rsidR="001E6B15" w:rsidRDefault="001E6B15" w:rsidP="000C1CAD">
      <w:pPr>
        <w:spacing w:line="240" w:lineRule="auto"/>
      </w:pPr>
    </w:p>
  </w:footnote>
  <w:footnote w:type="continuationSeparator" w:id="0">
    <w:p w14:paraId="397C7341" w14:textId="77777777" w:rsidR="001E6B15" w:rsidRDefault="001E6B15" w:rsidP="000C1CAD">
      <w:pPr>
        <w:spacing w:line="240" w:lineRule="auto"/>
      </w:pPr>
      <w:r>
        <w:continuationSeparator/>
      </w:r>
    </w:p>
  </w:footnote>
  <w:footnote w:id="1">
    <w:p w14:paraId="397C7356" w14:textId="1688EE01" w:rsidR="00061E5F" w:rsidRDefault="00061E5F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E253D7">
        <w:t>https://www.oecd.org/tax/mandatory-disclosure-rules-action-12-2015-final-report-9789264241442-en.htm</w:t>
      </w:r>
      <w:r w:rsidR="00243991">
        <w:t>.</w:t>
      </w:r>
    </w:p>
    <w:p w14:paraId="397C7357" w14:textId="77777777" w:rsidR="00061E5F" w:rsidRPr="00061E5F" w:rsidRDefault="00061E5F" w:rsidP="00061E5F">
      <w:pPr>
        <w:pStyle w:val="Normalutanindragellerluft"/>
      </w:pPr>
    </w:p>
  </w:footnote>
  <w:footnote w:id="2">
    <w:p w14:paraId="397C7358" w14:textId="77777777" w:rsidR="00406E9E" w:rsidRDefault="00406E9E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406E9E">
        <w:t>SOU 2018:91</w:t>
      </w:r>
      <w:r>
        <w:t>, ”</w:t>
      </w:r>
      <w:r w:rsidRPr="00406E9E">
        <w:t>Rapporteringsskyldiga arrangemang – ett nytt regelverk på skatteområdet</w:t>
      </w:r>
      <w:r>
        <w:t>”.</w:t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97C734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97C7353" wp14:anchorId="397C735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2648F" w14:paraId="397C735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0BE4872FBEE4F1BAEAF6EE343B0BE00"/>
                              </w:placeholder>
                              <w:text/>
                            </w:sdtPr>
                            <w:sdtEndPr/>
                            <w:sdtContent>
                              <w:r w:rsidR="001E6B15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4D798D208484883BE8642EAC6071599"/>
                              </w:placeholder>
                              <w:text/>
                            </w:sdtPr>
                            <w:sdtEndPr/>
                            <w:sdtContent>
                              <w:r w:rsidR="0069280D">
                                <w:t>025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97C735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2648F" w14:paraId="397C735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0BE4872FBEE4F1BAEAF6EE343B0BE00"/>
                        </w:placeholder>
                        <w:text/>
                      </w:sdtPr>
                      <w:sdtEndPr/>
                      <w:sdtContent>
                        <w:r w:rsidR="001E6B15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4D798D208484883BE8642EAC6071599"/>
                        </w:placeholder>
                        <w:text/>
                      </w:sdtPr>
                      <w:sdtEndPr/>
                      <w:sdtContent>
                        <w:r w:rsidR="0069280D">
                          <w:t>025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97C734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97C7346" w14:textId="77777777">
    <w:pPr>
      <w:jc w:val="right"/>
    </w:pPr>
  </w:p>
  <w:p w:rsidR="00262EA3" w:rsidP="00776B74" w:rsidRDefault="00262EA3" w14:paraId="397C734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F2648F" w14:paraId="397C734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97C7355" wp14:anchorId="397C735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2648F" w14:paraId="397C734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E6B15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9280D">
          <w:t>025</w:t>
        </w:r>
      </w:sdtContent>
    </w:sdt>
  </w:p>
  <w:p w:rsidRPr="008227B3" w:rsidR="00262EA3" w:rsidP="008227B3" w:rsidRDefault="00F2648F" w14:paraId="397C734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2648F" w14:paraId="397C734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:3492</w:t>
        </w:r>
      </w:sdtContent>
    </w:sdt>
  </w:p>
  <w:p w:rsidR="00262EA3" w:rsidP="00E03A3D" w:rsidRDefault="00F2648F" w14:paraId="397C734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Tony Haddou m.fl. (V)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9280D" w14:paraId="397C734F" w14:textId="77777777">
        <w:pPr>
          <w:pStyle w:val="FSHRub2"/>
        </w:pPr>
        <w:r>
          <w:t>med anledning av prop. 2019/20:74 Genomförande av EU:s direktiv om automatiskt utbyte av upplysningar som rör rapporteringspliktiga gränsöverskridande arrangemang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97C735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4.4.0"/>
  </w:docVars>
  <w:rsids>
    <w:rsidRoot w:val="001E6B15"/>
    <w:rsid w:val="000000E0"/>
    <w:rsid w:val="00000761"/>
    <w:rsid w:val="000014AF"/>
    <w:rsid w:val="00002310"/>
    <w:rsid w:val="00002CB4"/>
    <w:rsid w:val="000030B6"/>
    <w:rsid w:val="00003872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1E5F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020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8AE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209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90E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B15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1E2B"/>
    <w:rsid w:val="00242295"/>
    <w:rsid w:val="00242A12"/>
    <w:rsid w:val="00242E25"/>
    <w:rsid w:val="00243991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2342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6C14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9E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7F5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6C6E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80D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2C5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58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9FC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37FAE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17E9C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640A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3E97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74F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ECB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A7E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27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4B1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5AD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4464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887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3D7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2C73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48F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C53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6209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4B2F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97C7329"/>
  <w15:chartTrackingRefBased/>
  <w15:docId w15:val="{61437EC3-42EF-4053-868C-9DBB124A9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061E5F"/>
    <w:rPr>
      <w:vertAlign w:val="superscript"/>
    </w:rPr>
  </w:style>
  <w:style w:type="character" w:styleId="Hyperlnk">
    <w:name w:val="Hyperlink"/>
    <w:basedOn w:val="Standardstycketeckensnitt"/>
    <w:uiPriority w:val="58"/>
    <w:semiHidden/>
    <w:locked/>
    <w:rsid w:val="00061E5F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61E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B4E38C15A8C4A91B342EBB4FE3D0B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F2C1FC-6126-458F-81E7-338DE9DCF8EA}"/>
      </w:docPartPr>
      <w:docPartBody>
        <w:p w:rsidR="00D91084" w:rsidRDefault="00D91084">
          <w:pPr>
            <w:pStyle w:val="CB4E38C15A8C4A91B342EBB4FE3D0BF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8AAEF8D9AD24621802754C32CA6EE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2A64D4-5454-417F-98B3-99F58293183E}"/>
      </w:docPartPr>
      <w:docPartBody>
        <w:p w:rsidR="00D91084" w:rsidRDefault="00D91084">
          <w:pPr>
            <w:pStyle w:val="88AAEF8D9AD24621802754C32CA6EE3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0BE4872FBEE4F1BAEAF6EE343B0BE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9C2B8A-D536-49F9-93F2-575A2B47DFF6}"/>
      </w:docPartPr>
      <w:docPartBody>
        <w:p w:rsidR="00D91084" w:rsidRDefault="00D91084">
          <w:pPr>
            <w:pStyle w:val="B0BE4872FBEE4F1BAEAF6EE343B0BE0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D798D208484883BE8642EAC60715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75F745-3CEA-44B2-B062-A9F0F0FF8904}"/>
      </w:docPartPr>
      <w:docPartBody>
        <w:p w:rsidR="00D91084" w:rsidRDefault="00D91084">
          <w:pPr>
            <w:pStyle w:val="C4D798D208484883BE8642EAC6071599"/>
          </w:pPr>
          <w:r>
            <w:t xml:space="preserve"> </w:t>
          </w:r>
        </w:p>
      </w:docPartBody>
    </w:docPart>
    <w:docPart>
      <w:docPartPr>
        <w:name w:val="2B8FE249F9EA460CA1C7C2CFE24A10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161853-844D-4CEE-B32C-8FE9352D1C32}"/>
      </w:docPartPr>
      <w:docPartBody>
        <w:p w:rsidR="00CD364B" w:rsidRDefault="00CD364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084"/>
    <w:rsid w:val="00CD364B"/>
    <w:rsid w:val="00D9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B4E38C15A8C4A91B342EBB4FE3D0BFA">
    <w:name w:val="CB4E38C15A8C4A91B342EBB4FE3D0BFA"/>
  </w:style>
  <w:style w:type="paragraph" w:customStyle="1" w:styleId="44A9854B89004A28B5DA75562FDDD612">
    <w:name w:val="44A9854B89004A28B5DA75562FDDD61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3BD5E7240D741A888434E62F8314FBA">
    <w:name w:val="F3BD5E7240D741A888434E62F8314FBA"/>
  </w:style>
  <w:style w:type="paragraph" w:customStyle="1" w:styleId="88AAEF8D9AD24621802754C32CA6EE35">
    <w:name w:val="88AAEF8D9AD24621802754C32CA6EE35"/>
  </w:style>
  <w:style w:type="paragraph" w:customStyle="1" w:styleId="7618FB18A33943E1B13BC6AB8E36A294">
    <w:name w:val="7618FB18A33943E1B13BC6AB8E36A294"/>
  </w:style>
  <w:style w:type="paragraph" w:customStyle="1" w:styleId="D8E9F18937414F0CB81568A72346006A">
    <w:name w:val="D8E9F18937414F0CB81568A72346006A"/>
  </w:style>
  <w:style w:type="paragraph" w:customStyle="1" w:styleId="B0BE4872FBEE4F1BAEAF6EE343B0BE00">
    <w:name w:val="B0BE4872FBEE4F1BAEAF6EE343B0BE00"/>
  </w:style>
  <w:style w:type="paragraph" w:customStyle="1" w:styleId="C4D798D208484883BE8642EAC6071599">
    <w:name w:val="C4D798D208484883BE8642EAC60715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D2FFA3-25D5-4448-AD5A-C287F9C88461}"/>
</file>

<file path=customXml/itemProps2.xml><?xml version="1.0" encoding="utf-8"?>
<ds:datastoreItem xmlns:ds="http://schemas.openxmlformats.org/officeDocument/2006/customXml" ds:itemID="{929119EA-465A-4DCB-9029-DE29AEDA5AD4}"/>
</file>

<file path=customXml/itemProps3.xml><?xml version="1.0" encoding="utf-8"?>
<ds:datastoreItem xmlns:ds="http://schemas.openxmlformats.org/officeDocument/2006/customXml" ds:itemID="{4D0CCD40-EB31-4839-B18C-DB132E3B00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449</Words>
  <Characters>2986</Characters>
  <Application>Microsoft Office Word</Application>
  <DocSecurity>0</DocSecurity>
  <Lines>52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V025 med anledning av prop  2019 20 74 Genomförande av EU s direktiv om automatiskt utbyte av upplysningar som rör rapporteringspliktiga gränsöverskridande arrangemang</vt:lpstr>
      <vt:lpstr>
      </vt:lpstr>
    </vt:vector>
  </TitlesOfParts>
  <Company>Sveriges riksdag</Company>
  <LinksUpToDate>false</LinksUpToDate>
  <CharactersWithSpaces>3419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