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A32418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A32418" w:rsidRDefault="00FB646E" w:rsidP="0020634B">
            <w:pPr>
              <w:pStyle w:val="HuvudRubrik"/>
            </w:pPr>
            <w:r w:rsidRPr="00A32418">
              <w:t>Redogörelse till riksdagen</w:t>
            </w:r>
          </w:p>
          <w:p w:rsidR="000C6E9C" w:rsidRPr="00A32418" w:rsidRDefault="0094407F" w:rsidP="006D0187">
            <w:pPr>
              <w:pStyle w:val="HuvudRubrikRad2"/>
            </w:pPr>
            <w:bookmarkStart w:id="0" w:name="BetänkandeNr"/>
            <w:bookmarkEnd w:id="0"/>
            <w:r w:rsidRPr="00A32418">
              <w:t>2005/06</w:t>
            </w:r>
            <w:r w:rsidR="000C6E9C" w:rsidRPr="00A32418">
              <w:t>:</w:t>
            </w:r>
            <w:r w:rsidRPr="00A32418">
              <w:t>RRS3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A32418" w:rsidRDefault="00A32418">
            <w:pPr>
              <w:spacing w:line="230" w:lineRule="auto"/>
              <w:jc w:val="center"/>
            </w:pPr>
            <w:r w:rsidRPr="00A32418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A32418" w:rsidRDefault="000C6E9C">
            <w:pPr>
              <w:pStyle w:val="Normaltindrag"/>
              <w:jc w:val="center"/>
            </w:pPr>
          </w:p>
          <w:p w:rsidR="000C6E9C" w:rsidRPr="00A32418" w:rsidRDefault="000C6E9C">
            <w:pPr>
              <w:pStyle w:val="StatusSida1"/>
            </w:pPr>
          </w:p>
          <w:p w:rsidR="000C6E9C" w:rsidRPr="00A32418" w:rsidRDefault="000C6E9C">
            <w:pPr>
              <w:pStyle w:val="UtskriftsdatumSida1"/>
              <w:framePr w:wrap="around"/>
            </w:pPr>
          </w:p>
        </w:tc>
      </w:tr>
      <w:tr w:rsidR="000C6E9C" w:rsidRPr="00A32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A32418" w:rsidRDefault="00FB646E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A32418">
              <w:rPr>
                <w:noProof w:val="0"/>
              </w:rPr>
              <w:t>Riksrevisionens styrelses redogörelse angående styrningen av regionala stöd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A32418" w:rsidRDefault="000C6E9C"/>
        </w:tc>
      </w:tr>
      <w:tr w:rsidR="000C6E9C" w:rsidRPr="00A3241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A32418" w:rsidRDefault="000C6E9C"/>
        </w:tc>
        <w:tc>
          <w:tcPr>
            <w:tcW w:w="3012" w:type="dxa"/>
          </w:tcPr>
          <w:p w:rsidR="000C6E9C" w:rsidRPr="00A32418" w:rsidRDefault="000C6E9C"/>
        </w:tc>
        <w:tc>
          <w:tcPr>
            <w:tcW w:w="1418" w:type="dxa"/>
          </w:tcPr>
          <w:p w:rsidR="000C6E9C" w:rsidRPr="00A32418" w:rsidRDefault="000C6E9C"/>
        </w:tc>
      </w:tr>
    </w:tbl>
    <w:p w:rsidR="000C6E9C" w:rsidRPr="00A32418" w:rsidRDefault="000C6E9C"/>
    <w:p w:rsidR="00FB646E" w:rsidRPr="00A32418" w:rsidRDefault="00FB646E" w:rsidP="00FB646E">
      <w:pPr>
        <w:pStyle w:val="Rubrik1"/>
        <w:spacing w:after="180"/>
        <w:rPr>
          <w:noProof w:val="0"/>
        </w:rPr>
      </w:pPr>
      <w:bookmarkStart w:id="2" w:name="_Toc112138655"/>
      <w:r w:rsidRPr="00A32418">
        <w:rPr>
          <w:noProof w:val="0"/>
        </w:rPr>
        <w:t>Sammanfattning</w:t>
      </w:r>
      <w:bookmarkEnd w:id="2"/>
    </w:p>
    <w:p w:rsidR="00FB646E" w:rsidRPr="00A32418" w:rsidRDefault="00FA0ED3" w:rsidP="00FB646E">
      <w:bookmarkStart w:id="3" w:name="TextStart"/>
      <w:bookmarkEnd w:id="3"/>
      <w:r w:rsidRPr="00A32418">
        <w:t>Riksrevisionen har granskat regeringens styrning av fem regionala stödfo</w:t>
      </w:r>
      <w:r w:rsidRPr="00A32418">
        <w:t>r</w:t>
      </w:r>
      <w:r w:rsidRPr="00A32418">
        <w:t xml:space="preserve">mer. Resultaten har redovisats i rapporten </w:t>
      </w:r>
      <w:r w:rsidRPr="00A32418">
        <w:rPr>
          <w:i/>
        </w:rPr>
        <w:t>Regionala stöd – styrs de mot ökad tillväxt?</w:t>
      </w:r>
      <w:r w:rsidRPr="00A32418">
        <w:t xml:space="preserve"> (RiR 2005:6). Med anledning av granskningen överlämnar Riksrev</w:t>
      </w:r>
      <w:r w:rsidRPr="00A32418">
        <w:t>i</w:t>
      </w:r>
      <w:r w:rsidRPr="00A32418">
        <w:t>sionens styrelse denna redogörelse till riksdagen.</w:t>
      </w:r>
    </w:p>
    <w:p w:rsidR="003E3417" w:rsidRPr="00A32418" w:rsidRDefault="003E3417" w:rsidP="003E3417">
      <w:pPr>
        <w:pStyle w:val="Normaltindrag"/>
      </w:pPr>
      <w:r w:rsidRPr="00A32418">
        <w:t>Styrelsen noterar att den regionala utvecklingspolitiken för närvarande är oklar och att det finns ett behov av ökad tydlighet i den regionala stödgi</w:t>
      </w:r>
      <w:r w:rsidRPr="00A32418">
        <w:t>v</w:t>
      </w:r>
      <w:r w:rsidRPr="00A32418">
        <w:t>ningen. Styrelsen pekar särskilt på behovet av uppföljning som grund för politikens utformning och fortsatta utveckling. U</w:t>
      </w:r>
      <w:r w:rsidR="00725549" w:rsidRPr="00A32418">
        <w:t>p</w:t>
      </w:r>
      <w:r w:rsidRPr="00A32418">
        <w:t xml:space="preserve">pföljning </w:t>
      </w:r>
      <w:r w:rsidR="00725549" w:rsidRPr="00A32418">
        <w:t>är också nödvä</w:t>
      </w:r>
      <w:r w:rsidR="00725549" w:rsidRPr="00A32418">
        <w:t>n</w:t>
      </w:r>
      <w:r w:rsidR="00725549" w:rsidRPr="00A32418">
        <w:t xml:space="preserve">dig för att begreppet regional utvecklingspolitik ska få ett konkret innehåll. </w:t>
      </w:r>
    </w:p>
    <w:p w:rsidR="00FB646E" w:rsidRPr="00A32418" w:rsidRDefault="00FB646E" w:rsidP="00FB646E">
      <w:pPr>
        <w:pStyle w:val="Normaltindrag"/>
      </w:pPr>
    </w:p>
    <w:p w:rsidR="00FB646E" w:rsidRPr="00A32418" w:rsidRDefault="00FB646E" w:rsidP="00FB646E">
      <w:pPr>
        <w:pStyle w:val="Normaltindrag"/>
        <w:sectPr w:rsidR="00FB646E" w:rsidRPr="00A324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FB646E" w:rsidRPr="00A32418" w:rsidRDefault="00FB646E" w:rsidP="00FB646E">
      <w:pPr>
        <w:pStyle w:val="Rubrik1"/>
        <w:rPr>
          <w:noProof w:val="0"/>
        </w:rPr>
      </w:pPr>
      <w:bookmarkStart w:id="4" w:name="_Toc112138656"/>
      <w:r w:rsidRPr="00A32418">
        <w:rPr>
          <w:noProof w:val="0"/>
        </w:rPr>
        <w:lastRenderedPageBreak/>
        <w:t>Innehållsförteckning</w:t>
      </w:r>
      <w:bookmarkEnd w:id="4"/>
    </w:p>
    <w:p w:rsidR="00BB5AAC" w:rsidRPr="00A32418" w:rsidRDefault="00BB5AAC">
      <w:pPr>
        <w:pStyle w:val="Innehll1"/>
        <w:rPr>
          <w:sz w:val="24"/>
          <w:szCs w:val="24"/>
        </w:rPr>
      </w:pPr>
      <w:r w:rsidRPr="00A32418">
        <w:t>Sammanfattning</w:t>
      </w:r>
      <w:r w:rsidRPr="00A32418">
        <w:tab/>
        <w:t>1</w:t>
      </w:r>
    </w:p>
    <w:p w:rsidR="00BB5AAC" w:rsidRPr="00A32418" w:rsidRDefault="00BB5AAC">
      <w:pPr>
        <w:pStyle w:val="Innehll1"/>
        <w:rPr>
          <w:sz w:val="24"/>
          <w:szCs w:val="24"/>
        </w:rPr>
      </w:pPr>
      <w:r w:rsidRPr="00A32418">
        <w:t>Innehållsförteckning</w:t>
      </w:r>
      <w:r w:rsidRPr="00A32418">
        <w:tab/>
        <w:t>2</w:t>
      </w:r>
    </w:p>
    <w:p w:rsidR="00BB5AAC" w:rsidRPr="00A32418" w:rsidRDefault="00BB5AAC">
      <w:pPr>
        <w:pStyle w:val="Innehll1"/>
        <w:rPr>
          <w:sz w:val="24"/>
          <w:szCs w:val="24"/>
        </w:rPr>
      </w:pPr>
      <w:r w:rsidRPr="00A32418">
        <w:t>Styrelsens redogörelse</w:t>
      </w:r>
      <w:r w:rsidRPr="00A32418">
        <w:tab/>
        <w:t>3</w:t>
      </w:r>
    </w:p>
    <w:p w:rsidR="00BB5AAC" w:rsidRPr="00A32418" w:rsidRDefault="00BB5AAC">
      <w:pPr>
        <w:pStyle w:val="Innehll1"/>
        <w:rPr>
          <w:sz w:val="24"/>
          <w:szCs w:val="24"/>
        </w:rPr>
      </w:pPr>
      <w:r w:rsidRPr="00A32418">
        <w:t>Riksrevisionens granskning</w:t>
      </w:r>
      <w:r w:rsidRPr="00A32418">
        <w:tab/>
        <w:t>4</w:t>
      </w:r>
    </w:p>
    <w:p w:rsidR="00BB5AAC" w:rsidRPr="00A32418" w:rsidRDefault="00BB5AAC">
      <w:pPr>
        <w:pStyle w:val="Innehll2"/>
        <w:rPr>
          <w:sz w:val="24"/>
          <w:szCs w:val="24"/>
        </w:rPr>
      </w:pPr>
      <w:r w:rsidRPr="00A32418">
        <w:t>Granskningens bakgrund och inriktning</w:t>
      </w:r>
      <w:r w:rsidRPr="00A32418">
        <w:tab/>
        <w:t>4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Utgångspunkter</w:t>
      </w:r>
      <w:r w:rsidRPr="00A32418">
        <w:tab/>
        <w:t>4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Granskningens inriktning</w:t>
      </w:r>
      <w:r w:rsidRPr="00A32418">
        <w:tab/>
        <w:t>4</w:t>
      </w:r>
    </w:p>
    <w:p w:rsidR="00BB5AAC" w:rsidRPr="00A32418" w:rsidRDefault="00BB5AAC">
      <w:pPr>
        <w:pStyle w:val="Innehll2"/>
        <w:rPr>
          <w:sz w:val="24"/>
          <w:szCs w:val="24"/>
        </w:rPr>
      </w:pPr>
      <w:r w:rsidRPr="00A32418">
        <w:t>De regionala stöden – en bakgrund</w:t>
      </w:r>
      <w:r w:rsidRPr="00A32418">
        <w:tab/>
        <w:t>5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Många myndigheter fördelar stödet</w:t>
      </w:r>
      <w:r w:rsidRPr="00A32418">
        <w:tab/>
        <w:t>6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Regionalpolitiken har förändrats gradvis</w:t>
      </w:r>
      <w:r w:rsidRPr="00A32418">
        <w:tab/>
        <w:t>7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Regionalpolitikens inriktning rymmer en paradox</w:t>
      </w:r>
      <w:r w:rsidRPr="00A32418">
        <w:tab/>
        <w:t>7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Stödens effekter är svåra att utvärdera</w:t>
      </w:r>
      <w:r w:rsidRPr="00A32418">
        <w:tab/>
        <w:t>8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Förslag från ITPS om uppföljningar och effektutvärderingar</w:t>
      </w:r>
      <w:r w:rsidRPr="00A32418">
        <w:tab/>
        <w:t>8</w:t>
      </w:r>
    </w:p>
    <w:p w:rsidR="00BB5AAC" w:rsidRPr="00A32418" w:rsidRDefault="00BB5AAC">
      <w:pPr>
        <w:pStyle w:val="Innehll2"/>
        <w:rPr>
          <w:sz w:val="24"/>
          <w:szCs w:val="24"/>
        </w:rPr>
      </w:pPr>
      <w:r w:rsidRPr="00A32418">
        <w:t>Riksrevisionens slutsatser</w:t>
      </w:r>
      <w:r w:rsidRPr="00A32418">
        <w:tab/>
        <w:t>9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Målen har inte fått en tydlig tillväxtinriktning</w:t>
      </w:r>
      <w:r w:rsidRPr="00A32418">
        <w:tab/>
        <w:t>9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Stödformerna saknar uppföljningsbara mål</w:t>
      </w:r>
      <w:r w:rsidRPr="00A32418">
        <w:tab/>
        <w:t>9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Regeringens återrapporteringskrav har brister</w:t>
      </w:r>
      <w:r w:rsidRPr="00A32418">
        <w:tab/>
        <w:t>10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Stödförordningarna är inte anpassade till målen</w:t>
      </w:r>
      <w:r w:rsidRPr="00A32418">
        <w:tab/>
        <w:t>10</w:t>
      </w:r>
    </w:p>
    <w:p w:rsidR="00BB5AAC" w:rsidRPr="00A32418" w:rsidRDefault="00BB5AAC">
      <w:pPr>
        <w:pStyle w:val="Innehll3"/>
        <w:rPr>
          <w:sz w:val="24"/>
          <w:szCs w:val="24"/>
        </w:rPr>
      </w:pPr>
      <w:r w:rsidRPr="00A32418">
        <w:t>Återrapporteringen till riksdagen är otillräcklig</w:t>
      </w:r>
      <w:r w:rsidRPr="00A32418">
        <w:tab/>
        <w:t>10</w:t>
      </w:r>
    </w:p>
    <w:p w:rsidR="00BB5AAC" w:rsidRPr="00A32418" w:rsidRDefault="00BB5AAC">
      <w:pPr>
        <w:pStyle w:val="Innehll2"/>
        <w:rPr>
          <w:sz w:val="24"/>
          <w:szCs w:val="24"/>
        </w:rPr>
      </w:pPr>
      <w:r w:rsidRPr="00A32418">
        <w:t>Riksrevisionens rekommendationer</w:t>
      </w:r>
      <w:r w:rsidRPr="00A32418">
        <w:tab/>
        <w:t>11</w:t>
      </w:r>
    </w:p>
    <w:p w:rsidR="00BB5AAC" w:rsidRPr="00A32418" w:rsidRDefault="00BB5AAC">
      <w:pPr>
        <w:pStyle w:val="Innehll1"/>
        <w:rPr>
          <w:sz w:val="24"/>
          <w:szCs w:val="24"/>
        </w:rPr>
      </w:pPr>
      <w:r w:rsidRPr="00A32418">
        <w:t>Styrelsens överväganden</w:t>
      </w:r>
      <w:r w:rsidRPr="00A32418">
        <w:tab/>
        <w:t>12</w:t>
      </w:r>
    </w:p>
    <w:p w:rsidR="00FB646E" w:rsidRPr="00A32418" w:rsidRDefault="00FB646E" w:rsidP="00FB646E"/>
    <w:p w:rsidR="00FB646E" w:rsidRPr="00A32418" w:rsidRDefault="00FB646E" w:rsidP="00FB646E">
      <w:pPr>
        <w:pStyle w:val="Normaltindrag"/>
        <w:sectPr w:rsidR="00FB646E" w:rsidRPr="00A3241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FB646E" w:rsidRPr="00A32418" w:rsidRDefault="00FB646E" w:rsidP="00FB646E">
      <w:pPr>
        <w:pStyle w:val="Rubrik1"/>
        <w:rPr>
          <w:noProof w:val="0"/>
        </w:rPr>
      </w:pPr>
      <w:bookmarkStart w:id="5" w:name="_Toc112138657"/>
      <w:r w:rsidRPr="00A32418">
        <w:rPr>
          <w:noProof w:val="0"/>
        </w:rPr>
        <w:t>Styrelsens redogörelse</w:t>
      </w:r>
      <w:bookmarkEnd w:id="5"/>
    </w:p>
    <w:p w:rsidR="00FB646E" w:rsidRPr="00A32418" w:rsidRDefault="00FA0ED3" w:rsidP="00FB646E">
      <w:r w:rsidRPr="00A32418">
        <w:t xml:space="preserve">Riksrevisionens styrelse överlämnar denna redogörelse till riksdagen. </w:t>
      </w:r>
    </w:p>
    <w:p w:rsidR="00FB646E" w:rsidRPr="00A32418" w:rsidRDefault="00FB646E" w:rsidP="00FB646E">
      <w:pPr>
        <w:pStyle w:val="Normaltindrag"/>
      </w:pPr>
      <w:bookmarkStart w:id="6" w:name="Nästa_Hpunkt"/>
      <w:bookmarkEnd w:id="6"/>
    </w:p>
    <w:p w:rsidR="00FB646E" w:rsidRPr="00A32418" w:rsidRDefault="00FB646E" w:rsidP="00FB646E">
      <w:pPr>
        <w:pStyle w:val="Normaltindrag"/>
      </w:pPr>
    </w:p>
    <w:p w:rsidR="00FB646E" w:rsidRPr="00A32418" w:rsidRDefault="005773D4" w:rsidP="00FB646E">
      <w:pPr>
        <w:pStyle w:val="Utskriftsdatum"/>
      </w:pPr>
      <w:r w:rsidRPr="00A32418">
        <w:t xml:space="preserve">Karlstad </w:t>
      </w:r>
      <w:r w:rsidR="00FA0ED3" w:rsidRPr="00A32418">
        <w:t>den 16 augusti 2005</w:t>
      </w:r>
      <w:r w:rsidR="00FB646E" w:rsidRPr="00A32418">
        <w:t xml:space="preserve"> </w:t>
      </w:r>
    </w:p>
    <w:p w:rsidR="00FB646E" w:rsidRPr="00A32418" w:rsidRDefault="00FB646E" w:rsidP="00FB646E">
      <w:r w:rsidRPr="00A32418">
        <w:t>På Riksrevisionens styrelses vägnar</w:t>
      </w:r>
    </w:p>
    <w:p w:rsidR="00FA0ED3" w:rsidRPr="00A32418" w:rsidRDefault="00FA0ED3" w:rsidP="00FA0ED3">
      <w:pPr>
        <w:pStyle w:val="Normaltindrag"/>
      </w:pPr>
    </w:p>
    <w:p w:rsidR="00371595" w:rsidRPr="00A32418" w:rsidRDefault="00371595" w:rsidP="00FA0ED3">
      <w:pPr>
        <w:pStyle w:val="Normaltindrag"/>
      </w:pPr>
    </w:p>
    <w:p w:rsidR="00371595" w:rsidRPr="00A32418" w:rsidRDefault="00371595" w:rsidP="00FA0ED3">
      <w:pPr>
        <w:pStyle w:val="Normaltindrag"/>
      </w:pPr>
    </w:p>
    <w:p w:rsidR="00FA0ED3" w:rsidRPr="00A32418" w:rsidRDefault="00FA0ED3" w:rsidP="00FA0ED3">
      <w:pPr>
        <w:rPr>
          <w:i/>
        </w:rPr>
      </w:pPr>
      <w:r w:rsidRPr="00A32418">
        <w:rPr>
          <w:i/>
        </w:rPr>
        <w:t>Sören Lekberg</w:t>
      </w:r>
    </w:p>
    <w:p w:rsidR="00FA0ED3" w:rsidRPr="00A32418" w:rsidRDefault="00FA0ED3" w:rsidP="00FA0ED3">
      <w:pPr>
        <w:pStyle w:val="Normaltindrag"/>
      </w:pPr>
    </w:p>
    <w:p w:rsidR="00FA0ED3" w:rsidRPr="00A32418" w:rsidRDefault="00FA0ED3" w:rsidP="00FA0ED3">
      <w:pPr>
        <w:pStyle w:val="Normaltindrag"/>
        <w:rPr>
          <w:i/>
        </w:rPr>
      </w:pPr>
      <w:r w:rsidRPr="00A32418">
        <w:rPr>
          <w:i/>
        </w:rPr>
        <w:tab/>
      </w:r>
      <w:r w:rsidRPr="00A32418">
        <w:rPr>
          <w:i/>
        </w:rPr>
        <w:tab/>
      </w:r>
      <w:r w:rsidRPr="00A32418">
        <w:rPr>
          <w:i/>
        </w:rPr>
        <w:tab/>
        <w:t>Karin Rudberg</w:t>
      </w:r>
    </w:p>
    <w:p w:rsidR="00FA0ED3" w:rsidRPr="00A32418" w:rsidRDefault="00FA0ED3" w:rsidP="00FA0ED3">
      <w:bookmarkStart w:id="7" w:name="Ordförande"/>
      <w:bookmarkEnd w:id="7"/>
    </w:p>
    <w:p w:rsidR="00FB646E" w:rsidRPr="00A32418" w:rsidRDefault="00FA0ED3" w:rsidP="00FA0ED3">
      <w:r w:rsidRPr="00A32418">
        <w:t>Följande ledamöter har deltagit i beslutet: Sören Lekberg (s), Gunnar Axén (m), Rose-Marie Fre</w:t>
      </w:r>
      <w:smartTag w:uri="urn:schemas-microsoft-com:office:smarttags" w:element="PersonName">
        <w:r w:rsidRPr="00A32418">
          <w:t>br</w:t>
        </w:r>
      </w:smartTag>
      <w:r w:rsidRPr="00A32418">
        <w:t>an (kd),</w:t>
      </w:r>
      <w:r w:rsidR="001F6430" w:rsidRPr="00A32418">
        <w:t xml:space="preserve"> Per Rosengren (v),</w:t>
      </w:r>
      <w:r w:rsidRPr="00A32418">
        <w:t xml:space="preserve"> Rolf Ke</w:t>
      </w:r>
      <w:r w:rsidRPr="00A32418">
        <w:t>n</w:t>
      </w:r>
      <w:r w:rsidRPr="00A32418">
        <w:t xml:space="preserve">neryd (c), Per Lager (mp), Laila Bjurling </w:t>
      </w:r>
      <w:r w:rsidR="001F6430" w:rsidRPr="00A32418">
        <w:t xml:space="preserve">(s), Per Erik Granström (s) </w:t>
      </w:r>
      <w:r w:rsidRPr="00A32418">
        <w:t>Anne-Marie Pålsson (m)</w:t>
      </w:r>
      <w:r w:rsidR="005773D4" w:rsidRPr="00A32418">
        <w:t>,</w:t>
      </w:r>
      <w:r w:rsidR="001F6430" w:rsidRPr="00A32418">
        <w:t xml:space="preserve"> Gu</w:t>
      </w:r>
      <w:r w:rsidR="001F6430" w:rsidRPr="00A32418">
        <w:t>n</w:t>
      </w:r>
      <w:r w:rsidR="001F6430" w:rsidRPr="00A32418">
        <w:t>nar Andrén (fp)</w:t>
      </w:r>
      <w:r w:rsidR="005773D4" w:rsidRPr="00A32418">
        <w:t xml:space="preserve"> och Karl-Göran Biörsmark (fp)</w:t>
      </w:r>
      <w:r w:rsidRPr="00A32418">
        <w:t>.</w:t>
      </w:r>
    </w:p>
    <w:p w:rsidR="00FB646E" w:rsidRPr="00A32418" w:rsidRDefault="00FB646E" w:rsidP="00FB646E">
      <w:pPr>
        <w:pStyle w:val="Normaltindrag"/>
      </w:pPr>
      <w:bookmarkStart w:id="8" w:name="Deltagare"/>
      <w:bookmarkEnd w:id="8"/>
    </w:p>
    <w:p w:rsidR="00FB646E" w:rsidRPr="00A32418" w:rsidRDefault="00FB646E" w:rsidP="00FB646E">
      <w:pPr>
        <w:pStyle w:val="Normaltindrag"/>
      </w:pPr>
    </w:p>
    <w:p w:rsidR="00FB646E" w:rsidRPr="00A32418" w:rsidRDefault="00FB646E" w:rsidP="00FB646E">
      <w:pPr>
        <w:pStyle w:val="Normaltindrag"/>
        <w:sectPr w:rsidR="00FB646E" w:rsidRPr="00A3241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FB646E" w:rsidRPr="00A32418" w:rsidRDefault="00FB646E" w:rsidP="00FB646E">
      <w:pPr>
        <w:pStyle w:val="Rubrik1"/>
        <w:rPr>
          <w:noProof w:val="0"/>
        </w:rPr>
      </w:pPr>
      <w:bookmarkStart w:id="9" w:name="_Toc112138658"/>
      <w:r w:rsidRPr="00A32418">
        <w:rPr>
          <w:noProof w:val="0"/>
        </w:rPr>
        <w:t>Riksrevisionens granskning</w:t>
      </w:r>
      <w:bookmarkEnd w:id="9"/>
    </w:p>
    <w:p w:rsidR="00E635AD" w:rsidRPr="00A32418" w:rsidRDefault="00E635AD" w:rsidP="00E635AD">
      <w:r w:rsidRPr="00A32418">
        <w:t>Riksrevisionen har granskat det sätt på vilket regeringen och ansvariga myn</w:t>
      </w:r>
      <w:r w:rsidRPr="00A32418">
        <w:softHyphen/>
        <w:t>dig</w:t>
      </w:r>
      <w:r w:rsidRPr="00A32418">
        <w:softHyphen/>
        <w:t>heter har förändrat inriktningen av de regionala stöden i syfte att ge dem en ökad tillväxtinriktning. Resultatet redovisas i grans</w:t>
      </w:r>
      <w:r w:rsidRPr="00A32418">
        <w:t>k</w:t>
      </w:r>
      <w:r w:rsidRPr="00A32418">
        <w:t xml:space="preserve">ningsrapporten </w:t>
      </w:r>
      <w:r w:rsidRPr="00A32418">
        <w:rPr>
          <w:i/>
        </w:rPr>
        <w:t>Regio</w:t>
      </w:r>
      <w:r w:rsidRPr="00A32418">
        <w:rPr>
          <w:i/>
        </w:rPr>
        <w:softHyphen/>
        <w:t>na</w:t>
      </w:r>
      <w:r w:rsidRPr="00A32418">
        <w:rPr>
          <w:i/>
        </w:rPr>
        <w:softHyphen/>
        <w:t xml:space="preserve">la stöd – styrs de mot ökad tillväxt? </w:t>
      </w:r>
      <w:r w:rsidRPr="00A32418">
        <w:t>(RiR 2005:6). Rapporten publice</w:t>
      </w:r>
      <w:r w:rsidRPr="00A32418">
        <w:softHyphen/>
        <w:t>ra</w:t>
      </w:r>
      <w:r w:rsidRPr="00A32418">
        <w:softHyphen/>
        <w:t xml:space="preserve">des den 31 mars 2005. </w:t>
      </w:r>
    </w:p>
    <w:p w:rsidR="00E635AD" w:rsidRPr="00A32418" w:rsidRDefault="00E635AD" w:rsidP="00E635AD">
      <w:pPr>
        <w:pStyle w:val="Rubrik2"/>
      </w:pPr>
      <w:bookmarkStart w:id="10" w:name="_Toc112138659"/>
      <w:r w:rsidRPr="00A32418">
        <w:t>Granskningens bakgrund och inriktning</w:t>
      </w:r>
      <w:bookmarkEnd w:id="10"/>
    </w:p>
    <w:p w:rsidR="00E635AD" w:rsidRPr="00A32418" w:rsidRDefault="00E635AD" w:rsidP="00E635AD">
      <w:pPr>
        <w:pStyle w:val="Rubrik3"/>
        <w:rPr>
          <w:noProof w:val="0"/>
        </w:rPr>
      </w:pPr>
      <w:bookmarkStart w:id="11" w:name="_Toc112138660"/>
      <w:r w:rsidRPr="00A32418">
        <w:rPr>
          <w:noProof w:val="0"/>
        </w:rPr>
        <w:t>Utgångspunkter</w:t>
      </w:r>
      <w:bookmarkEnd w:id="11"/>
    </w:p>
    <w:p w:rsidR="00E635AD" w:rsidRPr="00A32418" w:rsidRDefault="00E635AD" w:rsidP="00E635AD">
      <w:r w:rsidRPr="00A32418">
        <w:t>Syftet med regionalpolitiska företagsstöd har, sedan de infördes under 1960-talet, varit att ändra förutsättningarna för företagens lokalisering samt öka sysselsättningen. Genom två riksdagsbeslut åren 1997 och 2001 fick regio</w:t>
      </w:r>
      <w:r w:rsidRPr="00A32418">
        <w:softHyphen/>
        <w:t>nal</w:t>
      </w:r>
      <w:r w:rsidRPr="00A32418">
        <w:softHyphen/>
        <w:t>politiken en successivt ändrad inriktning. Ett nytt politikområde, Regio</w:t>
      </w:r>
      <w:r w:rsidRPr="00A32418">
        <w:softHyphen/>
        <w:t>nal utvecklings</w:t>
      </w:r>
      <w:r w:rsidRPr="00A32418">
        <w:softHyphen/>
        <w:t>politik, inrättades år 2002. Syftet med det nya politik</w:t>
      </w:r>
      <w:r w:rsidRPr="00A32418">
        <w:softHyphen/>
        <w:t>området är att få till stånd en ökad hållbar till</w:t>
      </w:r>
      <w:r w:rsidRPr="00A32418">
        <w:softHyphen/>
        <w:t>växt på regional och lokal nivå, och där</w:t>
      </w:r>
      <w:r w:rsidRPr="00A32418">
        <w:softHyphen/>
      </w:r>
      <w:r w:rsidRPr="00A32418">
        <w:softHyphen/>
      </w:r>
      <w:r w:rsidRPr="00A32418">
        <w:softHyphen/>
        <w:t>med även natio</w:t>
      </w:r>
      <w:r w:rsidRPr="00A32418">
        <w:softHyphen/>
        <w:t>nellt. Näringsutskottet har fram</w:t>
      </w:r>
      <w:r w:rsidRPr="00A32418">
        <w:softHyphen/>
        <w:t>hållit vikten av att denna po</w:t>
      </w:r>
      <w:r w:rsidRPr="00A32418">
        <w:softHyphen/>
        <w:t>litik kan följas upp på ett systema</w:t>
      </w:r>
      <w:r w:rsidRPr="00A32418">
        <w:softHyphen/>
        <w:t xml:space="preserve">tiskt sätt.  </w:t>
      </w:r>
    </w:p>
    <w:p w:rsidR="00E635AD" w:rsidRPr="00A32418" w:rsidRDefault="00E635AD" w:rsidP="00E635AD">
      <w:pPr>
        <w:pStyle w:val="Normaltindrag"/>
      </w:pPr>
      <w:r w:rsidRPr="00A32418">
        <w:t>Enligt Riksrevisionen finns indikationer på att omställningen av regi</w:t>
      </w:r>
      <w:r w:rsidRPr="00A32418">
        <w:softHyphen/>
        <w:t>onal</w:t>
      </w:r>
      <w:r w:rsidRPr="00A32418">
        <w:softHyphen/>
        <w:t>po</w:t>
      </w:r>
      <w:r w:rsidRPr="00A32418">
        <w:softHyphen/>
        <w:t>li</w:t>
      </w:r>
      <w:r w:rsidRPr="00A32418">
        <w:softHyphen/>
        <w:t>ti</w:t>
      </w:r>
      <w:r w:rsidRPr="00A32418">
        <w:softHyphen/>
        <w:t>ken inte har genomförts fullt ut. Riksrevisionen noterar också att mål</w:t>
      </w:r>
      <w:r w:rsidRPr="00A32418">
        <w:softHyphen/>
        <w:t>styr</w:t>
      </w:r>
      <w:r w:rsidRPr="00A32418">
        <w:softHyphen/>
        <w:t>ning</w:t>
      </w:r>
      <w:r w:rsidRPr="00A32418">
        <w:softHyphen/>
        <w:t>en kompli</w:t>
      </w:r>
      <w:r w:rsidRPr="00A32418">
        <w:softHyphen/>
        <w:t>ce</w:t>
      </w:r>
      <w:r w:rsidRPr="00A32418">
        <w:softHyphen/>
        <w:t>ras av att det är många myndigheter på olika be</w:t>
      </w:r>
      <w:r w:rsidRPr="00A32418">
        <w:softHyphen/>
        <w:t>slutsnivåer som ansvarar för stödgivningen samt att stöden i stor utsträck</w:t>
      </w:r>
      <w:r w:rsidRPr="00A32418">
        <w:softHyphen/>
        <w:t>ning används för att medfinan</w:t>
      </w:r>
      <w:r w:rsidRPr="00A32418">
        <w:softHyphen/>
        <w:t>sie</w:t>
      </w:r>
      <w:r w:rsidRPr="00A32418">
        <w:softHyphen/>
        <w:t>ra regionala tillväxtprogram och EG:s struk</w:t>
      </w:r>
      <w:r w:rsidRPr="00A32418">
        <w:softHyphen/>
        <w:t>turfonder, där målen är delvis andra. Närings</w:t>
      </w:r>
      <w:r w:rsidRPr="00A32418">
        <w:softHyphen/>
        <w:t>utskottets uttalande om vikten av att riks</w:t>
      </w:r>
      <w:r w:rsidRPr="00A32418">
        <w:softHyphen/>
        <w:t>da</w:t>
      </w:r>
      <w:r w:rsidRPr="00A32418">
        <w:softHyphen/>
        <w:t>gen får en bättre resul</w:t>
      </w:r>
      <w:r w:rsidRPr="00A32418">
        <w:softHyphen/>
        <w:t>tatinformation och ett säkrare be</w:t>
      </w:r>
      <w:r w:rsidRPr="00A32418">
        <w:softHyphen/>
        <w:t>sluts</w:t>
      </w:r>
      <w:r w:rsidRPr="00A32418">
        <w:softHyphen/>
        <w:t>underlag för den regi</w:t>
      </w:r>
      <w:r w:rsidRPr="00A32418">
        <w:t>o</w:t>
      </w:r>
      <w:r w:rsidRPr="00A32418">
        <w:t>nala utveck</w:t>
      </w:r>
      <w:r w:rsidRPr="00A32418">
        <w:softHyphen/>
        <w:t>lings</w:t>
      </w:r>
      <w:r w:rsidRPr="00A32418">
        <w:softHyphen/>
        <w:t>politiken är en annan viktig ut</w:t>
      </w:r>
      <w:r w:rsidRPr="00A32418">
        <w:softHyphen/>
        <w:t>gångspunkt för gransk</w:t>
      </w:r>
      <w:r w:rsidRPr="00A32418">
        <w:softHyphen/>
        <w:t xml:space="preserve">ningen. </w:t>
      </w:r>
    </w:p>
    <w:p w:rsidR="00E635AD" w:rsidRPr="00A32418" w:rsidRDefault="00E635AD" w:rsidP="00E635AD">
      <w:pPr>
        <w:pStyle w:val="Normaltindrag"/>
      </w:pPr>
      <w:r w:rsidRPr="00A32418">
        <w:t>Mot bakgrund av näringsutskottets uttalade önskemål är det enligt Riksr</w:t>
      </w:r>
      <w:r w:rsidRPr="00A32418">
        <w:t>e</w:t>
      </w:r>
      <w:r w:rsidRPr="00A32418">
        <w:t>vi</w:t>
      </w:r>
      <w:r w:rsidRPr="00A32418">
        <w:softHyphen/>
        <w:t>sionen särskilt betydel</w:t>
      </w:r>
      <w:r w:rsidRPr="00A32418">
        <w:softHyphen/>
        <w:t>se</w:t>
      </w:r>
      <w:r w:rsidRPr="00A32418">
        <w:softHyphen/>
        <w:t>fullt hur regeringen for</w:t>
      </w:r>
      <w:r w:rsidRPr="00A32418">
        <w:softHyphen/>
        <w:t>mu</w:t>
      </w:r>
      <w:r w:rsidRPr="00A32418">
        <w:softHyphen/>
        <w:t>lerar mål och återrappor</w:t>
      </w:r>
      <w:r w:rsidRPr="00A32418">
        <w:softHyphen/>
        <w:t>teringskrav för att säker</w:t>
      </w:r>
      <w:r w:rsidRPr="00A32418">
        <w:softHyphen/>
        <w:t>ställa en systematisk upp</w:t>
      </w:r>
      <w:r w:rsidRPr="00A32418">
        <w:softHyphen/>
        <w:t>följning av de regionala för</w:t>
      </w:r>
      <w:r w:rsidRPr="00A32418">
        <w:t>e</w:t>
      </w:r>
      <w:r w:rsidRPr="00A32418">
        <w:t>tagsstöden.</w:t>
      </w:r>
    </w:p>
    <w:p w:rsidR="00E635AD" w:rsidRPr="00A32418" w:rsidRDefault="00E635AD" w:rsidP="00E635AD">
      <w:pPr>
        <w:pStyle w:val="Rubrik3"/>
        <w:rPr>
          <w:noProof w:val="0"/>
        </w:rPr>
      </w:pPr>
      <w:bookmarkStart w:id="12" w:name="_Toc112138661"/>
      <w:r w:rsidRPr="00A32418">
        <w:rPr>
          <w:noProof w:val="0"/>
        </w:rPr>
        <w:t>Granskningens inriktning</w:t>
      </w:r>
      <w:bookmarkEnd w:id="12"/>
    </w:p>
    <w:p w:rsidR="00E635AD" w:rsidRPr="00A32418" w:rsidRDefault="00E635AD" w:rsidP="00E635AD">
      <w:r w:rsidRPr="00A32418">
        <w:t>Avsikten med granskningen har varit att undersöka hur ansvariga myn</w:t>
      </w:r>
      <w:r w:rsidRPr="00A32418">
        <w:softHyphen/>
        <w:t>dig</w:t>
      </w:r>
      <w:r w:rsidRPr="00A32418">
        <w:softHyphen/>
        <w:t>he</w:t>
      </w:r>
      <w:r w:rsidRPr="00A32418">
        <w:softHyphen/>
        <w:t>ter och regeringen beaktat den nya inriktningen mot tillväxt, samt hur de m</w:t>
      </w:r>
      <w:r w:rsidRPr="00A32418">
        <w:t>ä</w:t>
      </w:r>
      <w:r w:rsidRPr="00A32418">
        <w:t>ter och bedömer effektiviteten i stöden. Avsikten har däremot inte varit att mäta effekterna av de regionala stöden. Granskningen behandlar frågor om styrning och inriktning samt mätning av effekter, åter</w:t>
      </w:r>
      <w:r w:rsidRPr="00A32418">
        <w:softHyphen/>
        <w:t>rap</w:t>
      </w:r>
      <w:r w:rsidRPr="00A32418">
        <w:softHyphen/>
        <w:t>por</w:t>
      </w:r>
      <w:r w:rsidRPr="00A32418">
        <w:softHyphen/>
        <w:t>te</w:t>
      </w:r>
      <w:r w:rsidRPr="00A32418">
        <w:softHyphen/>
        <w:t>ring och up</w:t>
      </w:r>
      <w:r w:rsidRPr="00A32418">
        <w:t>p</w:t>
      </w:r>
      <w:r w:rsidRPr="00A32418">
        <w:t>följning. Den information som riksdagen får om stödens utveckling och effe</w:t>
      </w:r>
      <w:r w:rsidRPr="00A32418">
        <w:t>k</w:t>
      </w:r>
      <w:r w:rsidRPr="00A32418">
        <w:t xml:space="preserve">ter behandlas också i granskningen. </w:t>
      </w:r>
    </w:p>
    <w:p w:rsidR="00E635AD" w:rsidRPr="00A32418" w:rsidRDefault="00E635AD" w:rsidP="00E635AD">
      <w:pPr>
        <w:pStyle w:val="Normaltindrag"/>
      </w:pPr>
      <w:r w:rsidRPr="00A32418">
        <w:t xml:space="preserve">Granskningen utgår från följande frågor: </w:t>
      </w:r>
    </w:p>
    <w:p w:rsidR="00E635AD" w:rsidRPr="00A32418" w:rsidRDefault="00E635AD" w:rsidP="00A94B58">
      <w:pPr>
        <w:numPr>
          <w:ilvl w:val="0"/>
          <w:numId w:val="5"/>
        </w:numPr>
        <w:tabs>
          <w:tab w:val="clear" w:pos="720"/>
          <w:tab w:val="num" w:pos="587"/>
        </w:tabs>
        <w:spacing w:before="0" w:line="240" w:lineRule="auto"/>
        <w:ind w:left="587"/>
        <w:jc w:val="left"/>
        <w:rPr>
          <w:szCs w:val="19"/>
        </w:rPr>
      </w:pPr>
      <w:r w:rsidRPr="00A32418">
        <w:rPr>
          <w:szCs w:val="19"/>
        </w:rPr>
        <w:t>Har målen för de regionala stöden fått en tydlig tillväxti</w:t>
      </w:r>
      <w:r w:rsidRPr="00A32418">
        <w:rPr>
          <w:szCs w:val="19"/>
        </w:rPr>
        <w:t>n</w:t>
      </w:r>
      <w:r w:rsidRPr="00A32418">
        <w:rPr>
          <w:szCs w:val="19"/>
        </w:rPr>
        <w:t>riktning?</w:t>
      </w:r>
    </w:p>
    <w:p w:rsidR="00E635AD" w:rsidRPr="00A32418" w:rsidRDefault="00E635AD" w:rsidP="00A94B58">
      <w:pPr>
        <w:numPr>
          <w:ilvl w:val="0"/>
          <w:numId w:val="5"/>
        </w:numPr>
        <w:tabs>
          <w:tab w:val="clear" w:pos="720"/>
          <w:tab w:val="num" w:pos="587"/>
        </w:tabs>
        <w:spacing w:before="0" w:line="240" w:lineRule="auto"/>
        <w:ind w:left="587"/>
        <w:jc w:val="left"/>
        <w:rPr>
          <w:szCs w:val="19"/>
        </w:rPr>
      </w:pPr>
      <w:r w:rsidRPr="00A32418">
        <w:rPr>
          <w:szCs w:val="19"/>
        </w:rPr>
        <w:t>Är målen för de regionala stöden möjliga att följa upp?</w:t>
      </w:r>
    </w:p>
    <w:p w:rsidR="00E635AD" w:rsidRPr="00A32418" w:rsidRDefault="00E635AD" w:rsidP="00A94B58">
      <w:pPr>
        <w:numPr>
          <w:ilvl w:val="0"/>
          <w:numId w:val="5"/>
        </w:numPr>
        <w:tabs>
          <w:tab w:val="clear" w:pos="720"/>
          <w:tab w:val="num" w:pos="587"/>
        </w:tabs>
        <w:spacing w:before="0" w:line="240" w:lineRule="auto"/>
        <w:ind w:left="587"/>
        <w:jc w:val="left"/>
        <w:rPr>
          <w:szCs w:val="19"/>
        </w:rPr>
      </w:pPr>
      <w:r w:rsidRPr="00A32418">
        <w:rPr>
          <w:szCs w:val="19"/>
        </w:rPr>
        <w:t>Ger återrapporteringen till regering och riksdag en tydlig information om hur den nya inriktningen utvecklas?</w:t>
      </w:r>
    </w:p>
    <w:p w:rsidR="00E635AD" w:rsidRPr="00A32418" w:rsidRDefault="00E635AD" w:rsidP="00E635AD">
      <w:pPr>
        <w:pStyle w:val="Rubrik2"/>
      </w:pPr>
      <w:bookmarkStart w:id="13" w:name="_Toc112138662"/>
      <w:r w:rsidRPr="00A32418">
        <w:t>De regionala stöden – en bakgrund</w:t>
      </w:r>
      <w:bookmarkEnd w:id="13"/>
    </w:p>
    <w:p w:rsidR="00E635AD" w:rsidRPr="00A32418" w:rsidRDefault="00E635AD" w:rsidP="00E635AD">
      <w:pPr>
        <w:rPr>
          <w:i/>
        </w:rPr>
      </w:pPr>
      <w:r w:rsidRPr="00A32418">
        <w:t>Granskningen omfattar de fem regionala stöd som har ett tillväxtfrämjande syfte och är av selektiv karaktär, dvs. där prövning krävs i varje enskilt fall. Fyra av dessa stöd är riktade till företag, nämligen regionalt utvecklings</w:t>
      </w:r>
      <w:r w:rsidRPr="00A32418">
        <w:softHyphen/>
        <w:t>bidrag, landsbygdsstöd, selektivt syssel</w:t>
      </w:r>
      <w:r w:rsidRPr="00A32418">
        <w:softHyphen/>
        <w:t>sätt</w:t>
      </w:r>
      <w:r w:rsidRPr="00A32418">
        <w:softHyphen/>
        <w:t>ningsbidrag och såddfinansiering. Den femte stödformen är projekt</w:t>
      </w:r>
      <w:r w:rsidRPr="00A32418">
        <w:softHyphen/>
        <w:t>verk</w:t>
      </w:r>
      <w:r w:rsidRPr="00A32418">
        <w:softHyphen/>
        <w:t>sam</w:t>
      </w:r>
      <w:r w:rsidRPr="00A32418">
        <w:softHyphen/>
        <w:t>het, där stöd normalt inte ges till enskilda företag (se rutan</w:t>
      </w:r>
      <w:r w:rsidR="003450DF" w:rsidRPr="00A32418">
        <w:t xml:space="preserve"> på nästa sida</w:t>
      </w:r>
      <w:r w:rsidRPr="00A32418">
        <w:t>). För varje stödform finns en av rege</w:t>
      </w:r>
      <w:r w:rsidRPr="00A32418">
        <w:t>r</w:t>
      </w:r>
      <w:r w:rsidRPr="00A32418">
        <w:t>ingen beslu</w:t>
      </w:r>
      <w:r w:rsidRPr="00A32418">
        <w:softHyphen/>
        <w:t>tad förordning som reglerar hur stödet får användas.</w:t>
      </w:r>
    </w:p>
    <w:p w:rsidR="003450DF" w:rsidRPr="00A32418" w:rsidRDefault="003450DF" w:rsidP="003450DF">
      <w:pPr>
        <w:pStyle w:val="Normaltindrag"/>
      </w:pPr>
      <w:r w:rsidRPr="00A32418">
        <w:t>Dessa fem stöd omsluter totalt ca 1,5 miljarder kronor årligen. Projekt</w:t>
      </w:r>
      <w:r w:rsidRPr="00A32418">
        <w:softHyphen/>
        <w:t>verk</w:t>
      </w:r>
      <w:r w:rsidRPr="00A32418">
        <w:softHyphen/>
        <w:t>samheten svarar för två tredjedelar av detta belopp (se tabell 1). Såddf</w:t>
      </w:r>
      <w:r w:rsidRPr="00A32418">
        <w:t>i</w:t>
      </w:r>
      <w:r w:rsidRPr="00A32418">
        <w:t>nan</w:t>
      </w:r>
      <w:r w:rsidRPr="00A32418">
        <w:softHyphen/>
        <w:t>sie</w:t>
      </w:r>
      <w:r w:rsidRPr="00A32418">
        <w:softHyphen/>
        <w:t>ringen har ökat för varje år men är fortfarande den minst utnyttjade stöd</w:t>
      </w:r>
      <w:r w:rsidRPr="00A32418">
        <w:softHyphen/>
        <w:t xml:space="preserve">formen.  </w:t>
      </w:r>
    </w:p>
    <w:p w:rsidR="003450DF" w:rsidRPr="00A32418" w:rsidRDefault="003450DF" w:rsidP="003450DF">
      <w:pPr>
        <w:pStyle w:val="Normaltindrag"/>
      </w:pPr>
    </w:p>
    <w:p w:rsidR="003450DF" w:rsidRPr="00A32418" w:rsidRDefault="003450DF" w:rsidP="003450DF">
      <w:pPr>
        <w:pStyle w:val="Rubrikfigurochtabell"/>
        <w:spacing w:before="240" w:after="120"/>
        <w:rPr>
          <w:rFonts w:ascii="Times New Roman" w:hAnsi="Times New Roman"/>
          <w:b/>
          <w:sz w:val="20"/>
        </w:rPr>
      </w:pPr>
      <w:r w:rsidRPr="00A32418">
        <w:rPr>
          <w:rFonts w:ascii="Times New Roman" w:hAnsi="Times New Roman"/>
          <w:b/>
          <w:sz w:val="20"/>
        </w:rPr>
        <w:t>Tabell 1</w:t>
      </w:r>
      <w:r w:rsidR="00A94B58" w:rsidRPr="00A32418">
        <w:rPr>
          <w:rFonts w:ascii="Times New Roman" w:hAnsi="Times New Roman"/>
          <w:b/>
          <w:sz w:val="20"/>
        </w:rPr>
        <w:t>.</w:t>
      </w:r>
      <w:r w:rsidRPr="00A32418">
        <w:rPr>
          <w:rFonts w:ascii="Times New Roman" w:hAnsi="Times New Roman"/>
          <w:b/>
          <w:sz w:val="20"/>
        </w:rPr>
        <w:t xml:space="preserve">   Beviljade stöd åren 1999</w:t>
      </w:r>
      <w:r w:rsidR="00A94B58" w:rsidRPr="00A32418">
        <w:rPr>
          <w:rFonts w:ascii="Times New Roman" w:hAnsi="Times New Roman"/>
          <w:b/>
          <w:sz w:val="20"/>
        </w:rPr>
        <w:t>–</w:t>
      </w:r>
      <w:r w:rsidRPr="00A32418">
        <w:rPr>
          <w:rFonts w:ascii="Times New Roman" w:hAnsi="Times New Roman"/>
          <w:b/>
          <w:sz w:val="20"/>
        </w:rPr>
        <w:t>2003 (mnkr) från anslag 33:1</w:t>
      </w:r>
    </w:p>
    <w:tbl>
      <w:tblPr>
        <w:tblStyle w:val="Enkeltabell1"/>
        <w:tblW w:w="0" w:type="auto"/>
        <w:tblLook w:val="00A0" w:firstRow="1" w:lastRow="0" w:firstColumn="1" w:lastColumn="0" w:noHBand="0" w:noVBand="0"/>
      </w:tblPr>
      <w:tblGrid>
        <w:gridCol w:w="887"/>
        <w:gridCol w:w="1197"/>
        <w:gridCol w:w="1039"/>
        <w:gridCol w:w="1043"/>
        <w:gridCol w:w="1020"/>
        <w:gridCol w:w="767"/>
      </w:tblGrid>
      <w:tr w:rsidR="003450DF" w:rsidRPr="00A32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4" w:type="dxa"/>
          </w:tcPr>
          <w:p w:rsidR="003450DF" w:rsidRPr="00A32418" w:rsidRDefault="00A32418" w:rsidP="001D617E">
            <w:pPr>
              <w:rPr>
                <w:sz w:val="20"/>
              </w:rPr>
            </w:pPr>
            <w:r w:rsidRPr="00A3241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175260</wp:posOffset>
                      </wp:positionV>
                      <wp:extent cx="723900" cy="342900"/>
                      <wp:effectExtent l="0" t="0" r="0" b="0"/>
                      <wp:wrapNone/>
                      <wp:docPr id="18617394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9DFE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3.8pt" to="51.3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"/>
                  </w:pict>
                </mc:Fallback>
              </mc:AlternateContent>
            </w:r>
            <w:r w:rsidR="003450DF" w:rsidRPr="00A32418">
              <w:rPr>
                <w:sz w:val="20"/>
              </w:rPr>
              <w:t>Stödform</w:t>
            </w:r>
          </w:p>
          <w:p w:rsidR="003450DF" w:rsidRPr="00A32418" w:rsidRDefault="003450DF" w:rsidP="001D617E">
            <w:pPr>
              <w:rPr>
                <w:sz w:val="20"/>
              </w:rPr>
            </w:pPr>
          </w:p>
          <w:p w:rsidR="003450DF" w:rsidRPr="00A32418" w:rsidRDefault="003450DF" w:rsidP="001D617E">
            <w:pPr>
              <w:rPr>
                <w:sz w:val="20"/>
              </w:rPr>
            </w:pPr>
            <w:r w:rsidRPr="00A32418">
              <w:rPr>
                <w:sz w:val="20"/>
              </w:rPr>
              <w:t xml:space="preserve">År </w:t>
            </w:r>
          </w:p>
        </w:tc>
        <w:tc>
          <w:tcPr>
            <w:tcW w:w="1352" w:type="dxa"/>
          </w:tcPr>
          <w:p w:rsidR="003450DF" w:rsidRPr="00A32418" w:rsidRDefault="003450DF" w:rsidP="001D617E">
            <w:pPr>
              <w:jc w:val="center"/>
              <w:rPr>
                <w:sz w:val="20"/>
              </w:rPr>
            </w:pPr>
            <w:r w:rsidRPr="00A32418">
              <w:rPr>
                <w:sz w:val="20"/>
              </w:rPr>
              <w:t>Regionala projekt-</w:t>
            </w:r>
          </w:p>
          <w:p w:rsidR="003450DF" w:rsidRPr="00A32418" w:rsidRDefault="003450DF" w:rsidP="001D617E">
            <w:pPr>
              <w:jc w:val="center"/>
              <w:rPr>
                <w:sz w:val="20"/>
              </w:rPr>
            </w:pPr>
            <w:r w:rsidRPr="00A32418">
              <w:rPr>
                <w:sz w:val="20"/>
              </w:rPr>
              <w:t>medel</w:t>
            </w:r>
          </w:p>
        </w:tc>
        <w:tc>
          <w:tcPr>
            <w:tcW w:w="1180" w:type="dxa"/>
          </w:tcPr>
          <w:p w:rsidR="003450DF" w:rsidRPr="00A32418" w:rsidRDefault="003450DF" w:rsidP="001D617E">
            <w:pPr>
              <w:jc w:val="center"/>
              <w:rPr>
                <w:sz w:val="20"/>
              </w:rPr>
            </w:pPr>
            <w:r w:rsidRPr="00A32418">
              <w:rPr>
                <w:sz w:val="20"/>
              </w:rPr>
              <w:t>Regionalt utvecklings- b</w:t>
            </w:r>
            <w:r w:rsidRPr="00A32418">
              <w:rPr>
                <w:sz w:val="20"/>
              </w:rPr>
              <w:t>i</w:t>
            </w:r>
            <w:r w:rsidRPr="00A32418">
              <w:rPr>
                <w:sz w:val="20"/>
              </w:rPr>
              <w:t>drag</w:t>
            </w:r>
          </w:p>
        </w:tc>
        <w:tc>
          <w:tcPr>
            <w:tcW w:w="1190" w:type="dxa"/>
          </w:tcPr>
          <w:p w:rsidR="003450DF" w:rsidRPr="00A32418" w:rsidRDefault="003450DF" w:rsidP="001D617E">
            <w:pPr>
              <w:jc w:val="center"/>
              <w:rPr>
                <w:sz w:val="20"/>
              </w:rPr>
            </w:pPr>
            <w:r w:rsidRPr="00A32418">
              <w:rPr>
                <w:sz w:val="20"/>
              </w:rPr>
              <w:t>Lands-bygdsstöd</w:t>
            </w:r>
          </w:p>
        </w:tc>
        <w:tc>
          <w:tcPr>
            <w:tcW w:w="1132" w:type="dxa"/>
          </w:tcPr>
          <w:p w:rsidR="003450DF" w:rsidRPr="00A32418" w:rsidRDefault="003450DF" w:rsidP="001D617E">
            <w:pPr>
              <w:jc w:val="center"/>
              <w:rPr>
                <w:sz w:val="20"/>
              </w:rPr>
            </w:pPr>
            <w:r w:rsidRPr="00A32418">
              <w:rPr>
                <w:sz w:val="20"/>
              </w:rPr>
              <w:t>Selektivt syssels.</w:t>
            </w:r>
            <w:r w:rsidR="00A94B58" w:rsidRPr="00A32418">
              <w:rPr>
                <w:sz w:val="20"/>
              </w:rPr>
              <w:t>-</w:t>
            </w:r>
            <w:r w:rsidRPr="00A32418">
              <w:rPr>
                <w:sz w:val="20"/>
              </w:rPr>
              <w:t xml:space="preserve"> bidrag</w:t>
            </w:r>
          </w:p>
        </w:tc>
        <w:tc>
          <w:tcPr>
            <w:tcW w:w="901" w:type="dxa"/>
          </w:tcPr>
          <w:p w:rsidR="003450DF" w:rsidRPr="00A32418" w:rsidRDefault="003450DF" w:rsidP="001D617E">
            <w:pPr>
              <w:jc w:val="center"/>
              <w:rPr>
                <w:sz w:val="20"/>
              </w:rPr>
            </w:pPr>
            <w:r w:rsidRPr="00A32418">
              <w:rPr>
                <w:sz w:val="20"/>
              </w:rPr>
              <w:t>Sådd-finan-siering</w:t>
            </w:r>
          </w:p>
        </w:tc>
      </w:tr>
      <w:tr w:rsidR="003450DF" w:rsidRPr="00A32418">
        <w:tc>
          <w:tcPr>
            <w:tcW w:w="1264" w:type="dxa"/>
          </w:tcPr>
          <w:p w:rsidR="003450DF" w:rsidRPr="00A32418" w:rsidRDefault="003450DF" w:rsidP="001D617E">
            <w:pPr>
              <w:rPr>
                <w:sz w:val="20"/>
              </w:rPr>
            </w:pPr>
            <w:r w:rsidRPr="00A32418">
              <w:rPr>
                <w:sz w:val="20"/>
              </w:rPr>
              <w:t>1999</w:t>
            </w:r>
          </w:p>
        </w:tc>
        <w:tc>
          <w:tcPr>
            <w:tcW w:w="135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639,1</w:t>
            </w:r>
          </w:p>
        </w:tc>
        <w:tc>
          <w:tcPr>
            <w:tcW w:w="118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377,5</w:t>
            </w:r>
          </w:p>
        </w:tc>
        <w:tc>
          <w:tcPr>
            <w:tcW w:w="119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323,6</w:t>
            </w:r>
          </w:p>
        </w:tc>
        <w:tc>
          <w:tcPr>
            <w:tcW w:w="113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173,3</w:t>
            </w:r>
          </w:p>
        </w:tc>
        <w:tc>
          <w:tcPr>
            <w:tcW w:w="901" w:type="dxa"/>
          </w:tcPr>
          <w:p w:rsidR="003450DF" w:rsidRPr="00A32418" w:rsidRDefault="003450DF" w:rsidP="001D617E">
            <w:pPr>
              <w:pStyle w:val="Tabellsiffror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3450DF" w:rsidRPr="00A32418">
        <w:tc>
          <w:tcPr>
            <w:tcW w:w="1264" w:type="dxa"/>
          </w:tcPr>
          <w:p w:rsidR="003450DF" w:rsidRPr="00A32418" w:rsidRDefault="003450DF" w:rsidP="001D617E">
            <w:pPr>
              <w:rPr>
                <w:sz w:val="20"/>
              </w:rPr>
            </w:pPr>
            <w:r w:rsidRPr="00A32418">
              <w:rPr>
                <w:sz w:val="20"/>
              </w:rPr>
              <w:t>2000</w:t>
            </w:r>
          </w:p>
        </w:tc>
        <w:tc>
          <w:tcPr>
            <w:tcW w:w="135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502,4</w:t>
            </w:r>
          </w:p>
        </w:tc>
        <w:tc>
          <w:tcPr>
            <w:tcW w:w="118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364,2</w:t>
            </w:r>
          </w:p>
        </w:tc>
        <w:tc>
          <w:tcPr>
            <w:tcW w:w="119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252,2</w:t>
            </w:r>
          </w:p>
        </w:tc>
        <w:tc>
          <w:tcPr>
            <w:tcW w:w="113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308,4</w:t>
            </w:r>
          </w:p>
        </w:tc>
        <w:tc>
          <w:tcPr>
            <w:tcW w:w="901" w:type="dxa"/>
          </w:tcPr>
          <w:p w:rsidR="003450DF" w:rsidRPr="00A32418" w:rsidRDefault="003450DF" w:rsidP="001D617E">
            <w:pPr>
              <w:pStyle w:val="Tabellsiffror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3450DF" w:rsidRPr="00A32418">
        <w:tc>
          <w:tcPr>
            <w:tcW w:w="1264" w:type="dxa"/>
          </w:tcPr>
          <w:p w:rsidR="003450DF" w:rsidRPr="00A32418" w:rsidRDefault="003450DF" w:rsidP="001D617E">
            <w:pPr>
              <w:rPr>
                <w:sz w:val="20"/>
              </w:rPr>
            </w:pPr>
            <w:r w:rsidRPr="00A32418">
              <w:rPr>
                <w:sz w:val="20"/>
              </w:rPr>
              <w:t>2001</w:t>
            </w:r>
          </w:p>
        </w:tc>
        <w:tc>
          <w:tcPr>
            <w:tcW w:w="135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921,0</w:t>
            </w:r>
          </w:p>
        </w:tc>
        <w:tc>
          <w:tcPr>
            <w:tcW w:w="118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401,0</w:t>
            </w:r>
          </w:p>
        </w:tc>
        <w:tc>
          <w:tcPr>
            <w:tcW w:w="119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240,4</w:t>
            </w:r>
          </w:p>
        </w:tc>
        <w:tc>
          <w:tcPr>
            <w:tcW w:w="113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203,7</w:t>
            </w:r>
          </w:p>
        </w:tc>
        <w:tc>
          <w:tcPr>
            <w:tcW w:w="901" w:type="dxa"/>
          </w:tcPr>
          <w:p w:rsidR="003450DF" w:rsidRPr="00A32418" w:rsidRDefault="003450DF" w:rsidP="001D617E">
            <w:pPr>
              <w:pStyle w:val="Tabellsiffror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3450DF" w:rsidRPr="00A32418">
        <w:tc>
          <w:tcPr>
            <w:tcW w:w="1264" w:type="dxa"/>
          </w:tcPr>
          <w:p w:rsidR="003450DF" w:rsidRPr="00A32418" w:rsidRDefault="003450DF" w:rsidP="001D617E">
            <w:pPr>
              <w:rPr>
                <w:sz w:val="20"/>
              </w:rPr>
            </w:pPr>
            <w:r w:rsidRPr="00A32418">
              <w:rPr>
                <w:sz w:val="20"/>
              </w:rPr>
              <w:t>2002</w:t>
            </w:r>
          </w:p>
        </w:tc>
        <w:tc>
          <w:tcPr>
            <w:tcW w:w="135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932,3</w:t>
            </w:r>
          </w:p>
        </w:tc>
        <w:tc>
          <w:tcPr>
            <w:tcW w:w="118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477,5</w:t>
            </w:r>
          </w:p>
        </w:tc>
        <w:tc>
          <w:tcPr>
            <w:tcW w:w="119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281,4</w:t>
            </w:r>
          </w:p>
        </w:tc>
        <w:tc>
          <w:tcPr>
            <w:tcW w:w="113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01" w:type="dxa"/>
          </w:tcPr>
          <w:p w:rsidR="003450DF" w:rsidRPr="00A32418" w:rsidRDefault="003450DF" w:rsidP="001D617E">
            <w:pPr>
              <w:pStyle w:val="Tabellsiffror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</w:tr>
      <w:tr w:rsidR="003450DF" w:rsidRPr="00A32418">
        <w:tc>
          <w:tcPr>
            <w:tcW w:w="1264" w:type="dxa"/>
          </w:tcPr>
          <w:p w:rsidR="003450DF" w:rsidRPr="00A32418" w:rsidRDefault="003450DF" w:rsidP="001D617E">
            <w:pPr>
              <w:rPr>
                <w:sz w:val="20"/>
              </w:rPr>
            </w:pPr>
            <w:r w:rsidRPr="00A32418">
              <w:rPr>
                <w:sz w:val="20"/>
              </w:rPr>
              <w:t>2003</w:t>
            </w:r>
          </w:p>
        </w:tc>
        <w:tc>
          <w:tcPr>
            <w:tcW w:w="135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1 072,8</w:t>
            </w:r>
          </w:p>
        </w:tc>
        <w:tc>
          <w:tcPr>
            <w:tcW w:w="118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1190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274,3</w:t>
            </w:r>
          </w:p>
        </w:tc>
        <w:tc>
          <w:tcPr>
            <w:tcW w:w="1132" w:type="dxa"/>
          </w:tcPr>
          <w:p w:rsidR="003450DF" w:rsidRPr="00A32418" w:rsidRDefault="003450DF" w:rsidP="001D617E">
            <w:pPr>
              <w:pStyle w:val="Tabellsiffror"/>
              <w:ind w:righ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01" w:type="dxa"/>
          </w:tcPr>
          <w:p w:rsidR="003450DF" w:rsidRPr="00A32418" w:rsidRDefault="003450DF" w:rsidP="001D617E">
            <w:pPr>
              <w:pStyle w:val="Tabellsiffror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2418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</w:tr>
    </w:tbl>
    <w:p w:rsidR="003450DF" w:rsidRPr="00A32418" w:rsidRDefault="003450DF" w:rsidP="003450DF">
      <w:pPr>
        <w:pStyle w:val="Klla"/>
        <w:rPr>
          <w:rFonts w:ascii="Times New Roman" w:hAnsi="Times New Roman"/>
          <w:sz w:val="20"/>
          <w:szCs w:val="20"/>
        </w:rPr>
      </w:pPr>
      <w:r w:rsidRPr="00A32418">
        <w:rPr>
          <w:rFonts w:ascii="Times New Roman" w:hAnsi="Times New Roman"/>
          <w:i/>
          <w:sz w:val="20"/>
          <w:szCs w:val="20"/>
        </w:rPr>
        <w:t>Källa</w:t>
      </w:r>
      <w:r w:rsidRPr="00A32418">
        <w:rPr>
          <w:rFonts w:ascii="Times New Roman" w:hAnsi="Times New Roman"/>
          <w:sz w:val="20"/>
          <w:szCs w:val="20"/>
        </w:rPr>
        <w:t>: Regionala företagsstöd och stöd till projektverksamhet, Nutek.</w:t>
      </w:r>
    </w:p>
    <w:p w:rsidR="003450DF" w:rsidRPr="00A32418" w:rsidRDefault="003450DF" w:rsidP="003450DF">
      <w:pPr>
        <w:rPr>
          <w:sz w:val="20"/>
        </w:rPr>
      </w:pPr>
    </w:p>
    <w:p w:rsidR="00E635AD" w:rsidRPr="00A32418" w:rsidRDefault="003450DF" w:rsidP="00E635AD">
      <w:pPr>
        <w:rPr>
          <w:sz w:val="20"/>
        </w:rPr>
      </w:pPr>
      <w:r w:rsidRPr="00A32418">
        <w:rPr>
          <w:sz w:val="20"/>
        </w:rPr>
        <w:br w:type="page"/>
      </w:r>
    </w:p>
    <w:p w:rsidR="00B80E81" w:rsidRPr="00A32418" w:rsidRDefault="00B80E81" w:rsidP="00B80E81">
      <w:pPr>
        <w:pStyle w:val="Normaltindrag"/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1068"/>
        <w:gridCol w:w="4875"/>
      </w:tblGrid>
      <w:tr w:rsidR="00E635AD" w:rsidRPr="00A32418">
        <w:tc>
          <w:tcPr>
            <w:tcW w:w="0" w:type="auto"/>
          </w:tcPr>
          <w:p w:rsidR="00E635AD" w:rsidRPr="00A32418" w:rsidRDefault="00E635AD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Projektverk</w:t>
            </w:r>
            <w:r w:rsidR="003450DF" w:rsidRPr="00A32418">
              <w:rPr>
                <w:szCs w:val="19"/>
              </w:rPr>
              <w:softHyphen/>
            </w:r>
            <w:r w:rsidRPr="00A32418">
              <w:rPr>
                <w:szCs w:val="19"/>
              </w:rPr>
              <w:t>sam</w:t>
            </w:r>
            <w:r w:rsidR="003450DF" w:rsidRPr="00A32418">
              <w:rPr>
                <w:szCs w:val="19"/>
              </w:rPr>
              <w:softHyphen/>
            </w:r>
            <w:r w:rsidRPr="00A32418">
              <w:rPr>
                <w:szCs w:val="19"/>
              </w:rPr>
              <w:t>het</w:t>
            </w:r>
          </w:p>
        </w:tc>
        <w:tc>
          <w:tcPr>
            <w:tcW w:w="0" w:type="auto"/>
          </w:tcPr>
          <w:p w:rsidR="00E635AD" w:rsidRPr="00A32418" w:rsidRDefault="00A94B58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S</w:t>
            </w:r>
            <w:r w:rsidR="00E635AD" w:rsidRPr="00A32418">
              <w:rPr>
                <w:szCs w:val="19"/>
              </w:rPr>
              <w:t>yftar till att bidra till att målet för den regionala u</w:t>
            </w:r>
            <w:r w:rsidR="00E635AD" w:rsidRPr="00A32418">
              <w:rPr>
                <w:szCs w:val="19"/>
              </w:rPr>
              <w:t>t</w:t>
            </w:r>
            <w:r w:rsidR="00E635AD" w:rsidRPr="00A32418">
              <w:rPr>
                <w:szCs w:val="19"/>
              </w:rPr>
              <w:t>veck</w:t>
            </w:r>
            <w:r w:rsidR="00E635AD" w:rsidRPr="00A32418">
              <w:rPr>
                <w:szCs w:val="19"/>
              </w:rPr>
              <w:softHyphen/>
              <w:t>lings</w:t>
            </w:r>
            <w:r w:rsidR="00E635AD" w:rsidRPr="00A32418">
              <w:rPr>
                <w:szCs w:val="19"/>
              </w:rPr>
              <w:softHyphen/>
              <w:t>poli</w:t>
            </w:r>
            <w:r w:rsidR="00E635AD" w:rsidRPr="00A32418">
              <w:rPr>
                <w:szCs w:val="19"/>
              </w:rPr>
              <w:softHyphen/>
              <w:t>ti</w:t>
            </w:r>
            <w:r w:rsidR="00E635AD" w:rsidRPr="00A32418">
              <w:rPr>
                <w:szCs w:val="19"/>
              </w:rPr>
              <w:softHyphen/>
              <w:t>ken uppnås. Verksamheten ska bedr</w:t>
            </w:r>
            <w:r w:rsidR="00E635AD" w:rsidRPr="00A32418">
              <w:rPr>
                <w:szCs w:val="19"/>
              </w:rPr>
              <w:t>i</w:t>
            </w:r>
            <w:r w:rsidR="00E635AD" w:rsidRPr="00A32418">
              <w:rPr>
                <w:szCs w:val="19"/>
              </w:rPr>
              <w:t>vas i pro</w:t>
            </w:r>
            <w:r w:rsidR="00E635AD" w:rsidRPr="00A32418">
              <w:rPr>
                <w:szCs w:val="19"/>
              </w:rPr>
              <w:softHyphen/>
              <w:t>gramform och stöd kan normalt inte lämnas till e</w:t>
            </w:r>
            <w:r w:rsidR="00E635AD" w:rsidRPr="00A32418">
              <w:rPr>
                <w:szCs w:val="19"/>
              </w:rPr>
              <w:t>n</w:t>
            </w:r>
            <w:r w:rsidR="00E635AD" w:rsidRPr="00A32418">
              <w:rPr>
                <w:szCs w:val="19"/>
              </w:rPr>
              <w:t>skilda företag. Om ett projekt fi</w:t>
            </w:r>
            <w:r w:rsidR="00E635AD" w:rsidRPr="00A32418">
              <w:rPr>
                <w:szCs w:val="19"/>
              </w:rPr>
              <w:softHyphen/>
              <w:t>nan</w:t>
            </w:r>
            <w:r w:rsidR="00E635AD" w:rsidRPr="00A32418">
              <w:rPr>
                <w:szCs w:val="19"/>
              </w:rPr>
              <w:softHyphen/>
              <w:t>sieras delvis med privata me</w:t>
            </w:r>
            <w:r w:rsidR="00E635AD" w:rsidRPr="00A32418">
              <w:rPr>
                <w:szCs w:val="19"/>
              </w:rPr>
              <w:softHyphen/>
              <w:t>del får bidrag lä</w:t>
            </w:r>
            <w:r w:rsidR="00E635AD" w:rsidRPr="00A32418">
              <w:rPr>
                <w:szCs w:val="19"/>
              </w:rPr>
              <w:t>m</w:t>
            </w:r>
            <w:r w:rsidR="00E635AD" w:rsidRPr="00A32418">
              <w:rPr>
                <w:szCs w:val="19"/>
              </w:rPr>
              <w:t>nas med högst 50 % av projektets utgifter.</w:t>
            </w:r>
          </w:p>
          <w:p w:rsidR="003450DF" w:rsidRPr="00A32418" w:rsidRDefault="003450DF" w:rsidP="003450DF">
            <w:pPr>
              <w:pStyle w:val="Normaltindrag"/>
            </w:pPr>
          </w:p>
        </w:tc>
      </w:tr>
      <w:tr w:rsidR="00E635AD" w:rsidRPr="00A32418">
        <w:tc>
          <w:tcPr>
            <w:tcW w:w="0" w:type="auto"/>
          </w:tcPr>
          <w:p w:rsidR="00E635AD" w:rsidRPr="00A32418" w:rsidRDefault="00E635AD" w:rsidP="00E635AD">
            <w:pPr>
              <w:jc w:val="left"/>
              <w:rPr>
                <w:szCs w:val="19"/>
              </w:rPr>
            </w:pPr>
            <w:r w:rsidRPr="00A32418">
              <w:rPr>
                <w:szCs w:val="19"/>
              </w:rPr>
              <w:t>Regionalt utvec</w:t>
            </w:r>
            <w:r w:rsidRPr="00A32418">
              <w:rPr>
                <w:szCs w:val="19"/>
              </w:rPr>
              <w:t>k</w:t>
            </w:r>
            <w:r w:rsidRPr="00A32418">
              <w:rPr>
                <w:szCs w:val="19"/>
              </w:rPr>
              <w:t>lings</w:t>
            </w:r>
            <w:r w:rsidRPr="00A32418">
              <w:rPr>
                <w:szCs w:val="19"/>
              </w:rPr>
              <w:softHyphen/>
              <w:t>bidrag</w:t>
            </w:r>
          </w:p>
        </w:tc>
        <w:tc>
          <w:tcPr>
            <w:tcW w:w="0" w:type="auto"/>
          </w:tcPr>
          <w:p w:rsidR="00E635AD" w:rsidRPr="00A32418" w:rsidRDefault="00A94B58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S</w:t>
            </w:r>
            <w:r w:rsidR="00E635AD" w:rsidRPr="00A32418">
              <w:rPr>
                <w:szCs w:val="19"/>
              </w:rPr>
              <w:t>yftar till att främja ekonomisk tillväxt och en sam</w:t>
            </w:r>
            <w:r w:rsidR="00E635AD" w:rsidRPr="00A32418">
              <w:rPr>
                <w:szCs w:val="19"/>
              </w:rPr>
              <w:softHyphen/>
              <w:t>hälls</w:t>
            </w:r>
            <w:r w:rsidR="00E635AD" w:rsidRPr="00A32418">
              <w:rPr>
                <w:szCs w:val="19"/>
              </w:rPr>
              <w:softHyphen/>
              <w:t>eko</w:t>
            </w:r>
            <w:r w:rsidR="00E635AD" w:rsidRPr="00A32418">
              <w:rPr>
                <w:szCs w:val="19"/>
              </w:rPr>
              <w:softHyphen/>
              <w:t>nomiskt och i övrigt lämplig lokalisering av näring</w:t>
            </w:r>
            <w:r w:rsidR="00E635AD" w:rsidRPr="00A32418">
              <w:rPr>
                <w:szCs w:val="19"/>
              </w:rPr>
              <w:t>s</w:t>
            </w:r>
            <w:r w:rsidR="00E635AD" w:rsidRPr="00A32418">
              <w:rPr>
                <w:szCs w:val="19"/>
              </w:rPr>
              <w:t>livet. Kan beviljas till nyinvesteringar i byggn</w:t>
            </w:r>
            <w:r w:rsidR="00E635AD" w:rsidRPr="00A32418">
              <w:rPr>
                <w:szCs w:val="19"/>
              </w:rPr>
              <w:t>a</w:t>
            </w:r>
            <w:r w:rsidR="00E635AD" w:rsidRPr="00A32418">
              <w:rPr>
                <w:szCs w:val="19"/>
              </w:rPr>
              <w:t>der och maskiner eller investeringar i ut</w:t>
            </w:r>
            <w:r w:rsidR="00E635AD" w:rsidRPr="00A32418">
              <w:rPr>
                <w:szCs w:val="19"/>
              </w:rPr>
              <w:softHyphen/>
              <w:t>bildning, ko</w:t>
            </w:r>
            <w:r w:rsidR="00E635AD" w:rsidRPr="00A32418">
              <w:rPr>
                <w:szCs w:val="19"/>
              </w:rPr>
              <w:t>n</w:t>
            </w:r>
            <w:r w:rsidR="00E635AD" w:rsidRPr="00A32418">
              <w:rPr>
                <w:szCs w:val="19"/>
              </w:rPr>
              <w:t xml:space="preserve">sulttjänster, forskning och utveckling m.m. </w:t>
            </w:r>
          </w:p>
          <w:p w:rsidR="00E635AD" w:rsidRPr="00A32418" w:rsidRDefault="00E635AD" w:rsidP="00E635AD">
            <w:pPr>
              <w:pStyle w:val="Normaltindrag"/>
            </w:pPr>
            <w:r w:rsidRPr="00A32418">
              <w:t>Minst 40 % av de arbetstillfällen som tillkommer till följd av bidr</w:t>
            </w:r>
            <w:r w:rsidRPr="00A32418">
              <w:t>a</w:t>
            </w:r>
            <w:r w:rsidRPr="00A32418">
              <w:t>get ska förbehållas vartdera könet.</w:t>
            </w:r>
          </w:p>
          <w:p w:rsidR="003450DF" w:rsidRPr="00A32418" w:rsidRDefault="003450DF" w:rsidP="00E635AD">
            <w:pPr>
              <w:pStyle w:val="Normaltindrag"/>
            </w:pPr>
          </w:p>
        </w:tc>
      </w:tr>
      <w:tr w:rsidR="00E635AD" w:rsidRPr="00A32418">
        <w:tc>
          <w:tcPr>
            <w:tcW w:w="0" w:type="auto"/>
          </w:tcPr>
          <w:p w:rsidR="00E635AD" w:rsidRPr="00A32418" w:rsidRDefault="00E635AD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Landsbygdsstöd</w:t>
            </w:r>
          </w:p>
        </w:tc>
        <w:tc>
          <w:tcPr>
            <w:tcW w:w="0" w:type="auto"/>
          </w:tcPr>
          <w:p w:rsidR="00E635AD" w:rsidRPr="00A32418" w:rsidRDefault="00A94B58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S</w:t>
            </w:r>
            <w:r w:rsidR="00E635AD" w:rsidRPr="00A32418">
              <w:rPr>
                <w:szCs w:val="19"/>
              </w:rPr>
              <w:t>yftar till att främja investeringar, ökad sysselsät</w:t>
            </w:r>
            <w:r w:rsidR="00E635AD" w:rsidRPr="00A32418">
              <w:rPr>
                <w:szCs w:val="19"/>
              </w:rPr>
              <w:t>t</w:t>
            </w:r>
            <w:r w:rsidR="00E635AD" w:rsidRPr="00A32418">
              <w:rPr>
                <w:szCs w:val="19"/>
              </w:rPr>
              <w:t>ning och tillväxt. Stödet kan lämnas till privatägda små och medel</w:t>
            </w:r>
            <w:r w:rsidR="00E635AD" w:rsidRPr="00A32418">
              <w:rPr>
                <w:szCs w:val="19"/>
              </w:rPr>
              <w:softHyphen/>
              <w:t>stora företag, samt till stora företag om de ingår i ett sam</w:t>
            </w:r>
            <w:r w:rsidR="00E635AD" w:rsidRPr="00A32418">
              <w:rPr>
                <w:szCs w:val="19"/>
              </w:rPr>
              <w:softHyphen/>
              <w:t>verkansprojekt med små eller medelst</w:t>
            </w:r>
            <w:r w:rsidR="00E635AD" w:rsidRPr="00A32418">
              <w:rPr>
                <w:szCs w:val="19"/>
              </w:rPr>
              <w:t>o</w:t>
            </w:r>
            <w:r w:rsidR="00E635AD" w:rsidRPr="00A32418">
              <w:rPr>
                <w:szCs w:val="19"/>
              </w:rPr>
              <w:t xml:space="preserve">ra företag. </w:t>
            </w:r>
          </w:p>
          <w:p w:rsidR="007629E6" w:rsidRPr="00A32418" w:rsidRDefault="007629E6" w:rsidP="007629E6">
            <w:pPr>
              <w:pStyle w:val="Normaltindrag"/>
            </w:pPr>
          </w:p>
        </w:tc>
      </w:tr>
      <w:tr w:rsidR="00E635AD" w:rsidRPr="00A32418">
        <w:tc>
          <w:tcPr>
            <w:tcW w:w="0" w:type="auto"/>
          </w:tcPr>
          <w:p w:rsidR="00E635AD" w:rsidRPr="00A32418" w:rsidRDefault="00E635AD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Sysselsättnings</w:t>
            </w:r>
            <w:r w:rsidR="003450DF" w:rsidRPr="00A32418">
              <w:rPr>
                <w:szCs w:val="19"/>
              </w:rPr>
              <w:softHyphen/>
            </w:r>
            <w:r w:rsidRPr="00A32418">
              <w:rPr>
                <w:szCs w:val="19"/>
              </w:rPr>
              <w:t>bidrag</w:t>
            </w:r>
          </w:p>
        </w:tc>
        <w:tc>
          <w:tcPr>
            <w:tcW w:w="0" w:type="auto"/>
          </w:tcPr>
          <w:p w:rsidR="00E635AD" w:rsidRPr="00A32418" w:rsidRDefault="00A94B58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H</w:t>
            </w:r>
            <w:r w:rsidR="00E635AD" w:rsidRPr="00A32418">
              <w:rPr>
                <w:szCs w:val="19"/>
              </w:rPr>
              <w:t>ar samma syfte som det regionala utvecklingsbidr</w:t>
            </w:r>
            <w:r w:rsidR="00E635AD" w:rsidRPr="00A32418">
              <w:rPr>
                <w:szCs w:val="19"/>
              </w:rPr>
              <w:t>a</w:t>
            </w:r>
            <w:r w:rsidR="00E635AD" w:rsidRPr="00A32418">
              <w:rPr>
                <w:szCs w:val="19"/>
              </w:rPr>
              <w:t>get. St</w:t>
            </w:r>
            <w:r w:rsidR="00E635AD" w:rsidRPr="00A32418">
              <w:rPr>
                <w:szCs w:val="19"/>
              </w:rPr>
              <w:t>ö</w:t>
            </w:r>
            <w:r w:rsidR="00E635AD" w:rsidRPr="00A32418">
              <w:rPr>
                <w:szCs w:val="19"/>
              </w:rPr>
              <w:t>det kan lämnas till företag, myndigheter, vissa orga</w:t>
            </w:r>
            <w:r w:rsidR="00E635AD" w:rsidRPr="00A32418">
              <w:rPr>
                <w:szCs w:val="19"/>
              </w:rPr>
              <w:softHyphen/>
              <w:t>nisationer och kommu</w:t>
            </w:r>
            <w:r w:rsidR="00E635AD" w:rsidRPr="00A32418">
              <w:rPr>
                <w:szCs w:val="19"/>
              </w:rPr>
              <w:softHyphen/>
              <w:t>ner. Bidraget kan endast lämnas om det leder till en faktisk ökning av ant</w:t>
            </w:r>
            <w:r w:rsidR="00E635AD" w:rsidRPr="00A32418">
              <w:rPr>
                <w:szCs w:val="19"/>
              </w:rPr>
              <w:t>a</w:t>
            </w:r>
            <w:r w:rsidR="00E635AD" w:rsidRPr="00A32418">
              <w:rPr>
                <w:szCs w:val="19"/>
              </w:rPr>
              <w:t xml:space="preserve">let anställda. </w:t>
            </w:r>
          </w:p>
          <w:p w:rsidR="00E635AD" w:rsidRPr="00A32418" w:rsidRDefault="00E635AD" w:rsidP="00E635AD">
            <w:pPr>
              <w:pStyle w:val="Normaltindrag"/>
            </w:pPr>
            <w:r w:rsidRPr="00A32418">
              <w:t>Minst 40 % av de arbetstillfällen som tillkommer till följd av bidr</w:t>
            </w:r>
            <w:r w:rsidRPr="00A32418">
              <w:t>a</w:t>
            </w:r>
            <w:r w:rsidRPr="00A32418">
              <w:t>get ska förbehållas vartdera könet.</w:t>
            </w:r>
          </w:p>
          <w:p w:rsidR="003450DF" w:rsidRPr="00A32418" w:rsidRDefault="003450DF" w:rsidP="00E635AD">
            <w:pPr>
              <w:pStyle w:val="Normaltindrag"/>
            </w:pPr>
          </w:p>
        </w:tc>
      </w:tr>
      <w:tr w:rsidR="00E635AD" w:rsidRPr="00A32418">
        <w:tc>
          <w:tcPr>
            <w:tcW w:w="0" w:type="auto"/>
          </w:tcPr>
          <w:p w:rsidR="00E635AD" w:rsidRPr="00A32418" w:rsidRDefault="00E635AD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Såddfinansiering</w:t>
            </w:r>
          </w:p>
        </w:tc>
        <w:tc>
          <w:tcPr>
            <w:tcW w:w="0" w:type="auto"/>
          </w:tcPr>
          <w:p w:rsidR="00E635AD" w:rsidRPr="00A32418" w:rsidRDefault="00A94B58" w:rsidP="001D617E">
            <w:pPr>
              <w:rPr>
                <w:szCs w:val="19"/>
              </w:rPr>
            </w:pPr>
            <w:r w:rsidRPr="00A32418">
              <w:rPr>
                <w:szCs w:val="19"/>
              </w:rPr>
              <w:t>S</w:t>
            </w:r>
            <w:r w:rsidR="00E635AD" w:rsidRPr="00A32418">
              <w:rPr>
                <w:szCs w:val="19"/>
              </w:rPr>
              <w:t>yftar till att förnya näringslivet genom att finansiera utveck</w:t>
            </w:r>
            <w:r w:rsidR="00E635AD" w:rsidRPr="00A32418">
              <w:rPr>
                <w:szCs w:val="19"/>
              </w:rPr>
              <w:softHyphen/>
              <w:t>ling av tekniska produktidéer med stor til</w:t>
            </w:r>
            <w:r w:rsidR="00E635AD" w:rsidRPr="00A32418">
              <w:rPr>
                <w:szCs w:val="19"/>
              </w:rPr>
              <w:t>l</w:t>
            </w:r>
            <w:r w:rsidR="00E635AD" w:rsidRPr="00A32418">
              <w:rPr>
                <w:szCs w:val="19"/>
              </w:rPr>
              <w:t>växt</w:t>
            </w:r>
            <w:r w:rsidR="00E635AD" w:rsidRPr="00A32418">
              <w:rPr>
                <w:szCs w:val="19"/>
              </w:rPr>
              <w:softHyphen/>
              <w:t xml:space="preserve">potential. </w:t>
            </w:r>
          </w:p>
          <w:p w:rsidR="003450DF" w:rsidRPr="00A32418" w:rsidRDefault="003450DF" w:rsidP="003450DF">
            <w:pPr>
              <w:pStyle w:val="Normaltindrag"/>
            </w:pPr>
          </w:p>
        </w:tc>
      </w:tr>
    </w:tbl>
    <w:p w:rsidR="00E635AD" w:rsidRPr="00A32418" w:rsidRDefault="00E635AD" w:rsidP="003450DF">
      <w:pPr>
        <w:pStyle w:val="Rubrik3"/>
        <w:rPr>
          <w:noProof w:val="0"/>
        </w:rPr>
      </w:pPr>
      <w:bookmarkStart w:id="14" w:name="_Toc112138663"/>
      <w:r w:rsidRPr="00A32418">
        <w:rPr>
          <w:noProof w:val="0"/>
        </w:rPr>
        <w:t>Många myndigheter fördelar stödet</w:t>
      </w:r>
      <w:bookmarkEnd w:id="14"/>
      <w:r w:rsidRPr="00A32418">
        <w:rPr>
          <w:noProof w:val="0"/>
        </w:rPr>
        <w:t xml:space="preserve"> </w:t>
      </w:r>
    </w:p>
    <w:p w:rsidR="00E635AD" w:rsidRPr="00A32418" w:rsidRDefault="00E635AD" w:rsidP="00E635AD">
      <w:r w:rsidRPr="00A32418">
        <w:t>De statliga myndigheter som har till uppgift att fördela de regionala stöden är samtliga länsstyrelser, självstyrelse- och samverkansorgan</w:t>
      </w:r>
      <w:r w:rsidR="00A94B58" w:rsidRPr="00A32418">
        <w:rPr>
          <w:rStyle w:val="Fotnotsreferens"/>
        </w:rPr>
        <w:footnoteReference w:id="1"/>
      </w:r>
      <w:r w:rsidRPr="00A32418">
        <w:t xml:space="preserve"> samt Nutek.</w:t>
      </w:r>
    </w:p>
    <w:p w:rsidR="00E635AD" w:rsidRPr="00A32418" w:rsidRDefault="00E635AD" w:rsidP="003450DF">
      <w:pPr>
        <w:pStyle w:val="Normaltindrag"/>
      </w:pPr>
      <w:r w:rsidRPr="00A32418">
        <w:t>Nutek har också till uppgift att följa den regionalpolitiska stödgivningen och till rege</w:t>
      </w:r>
      <w:r w:rsidRPr="00A32418">
        <w:softHyphen/>
        <w:t>ringen rapportera iakttagelser av betydelse. Vidare ska Nutek följa upp och spri</w:t>
      </w:r>
      <w:r w:rsidRPr="00A32418">
        <w:softHyphen/>
        <w:t>da erfarenheter från den regionalpolitiska stödgivningen, bl.a. ge</w:t>
      </w:r>
      <w:r w:rsidRPr="00A32418">
        <w:softHyphen/>
        <w:t xml:space="preserve">nom utbildning. </w:t>
      </w:r>
    </w:p>
    <w:p w:rsidR="00E635AD" w:rsidRPr="00A32418" w:rsidRDefault="00E635AD" w:rsidP="003450DF">
      <w:pPr>
        <w:pStyle w:val="Normaltindrag"/>
      </w:pPr>
      <w:r w:rsidRPr="00A32418">
        <w:t>Flera av stödmyndigheterna har relativt små belopp att fördela. Till viss del kan stödmyndigheterna välja mellan de olika stödformerna. Detta har enligt Riks</w:t>
      </w:r>
      <w:r w:rsidRPr="00A32418">
        <w:softHyphen/>
        <w:t>revisionen inne</w:t>
      </w:r>
      <w:r w:rsidRPr="00A32418">
        <w:softHyphen/>
        <w:t>bu</w:t>
      </w:r>
      <w:r w:rsidRPr="00A32418">
        <w:softHyphen/>
        <w:t>rit att projektverksamheten blivit den alltmer domine</w:t>
      </w:r>
      <w:r w:rsidRPr="00A32418">
        <w:softHyphen/>
        <w:t>rande formen av regio</w:t>
      </w:r>
      <w:r w:rsidRPr="00A32418">
        <w:softHyphen/>
        <w:t xml:space="preserve">nal stödgivning. </w:t>
      </w:r>
    </w:p>
    <w:p w:rsidR="00E635AD" w:rsidRPr="00A32418" w:rsidRDefault="00E635AD" w:rsidP="003450DF">
      <w:pPr>
        <w:pStyle w:val="Rubrik3"/>
        <w:rPr>
          <w:noProof w:val="0"/>
        </w:rPr>
      </w:pPr>
      <w:bookmarkStart w:id="15" w:name="_Toc112138664"/>
      <w:r w:rsidRPr="00A32418">
        <w:rPr>
          <w:noProof w:val="0"/>
        </w:rPr>
        <w:t>Regionalpolitiken har förändrats gradvis</w:t>
      </w:r>
      <w:bookmarkEnd w:id="15"/>
      <w:r w:rsidRPr="00A32418">
        <w:rPr>
          <w:noProof w:val="0"/>
        </w:rPr>
        <w:t xml:space="preserve"> </w:t>
      </w:r>
    </w:p>
    <w:p w:rsidR="00E635AD" w:rsidRPr="00A32418" w:rsidRDefault="00E635AD" w:rsidP="00E635AD">
      <w:r w:rsidRPr="00A32418">
        <w:t>Riksrevisionen noterar att regionalpolitiken sedan sin tillkomst har för</w:t>
      </w:r>
      <w:r w:rsidRPr="00A32418">
        <w:softHyphen/>
        <w:t>änd</w:t>
      </w:r>
      <w:r w:rsidRPr="00A32418">
        <w:softHyphen/>
        <w:t xml:space="preserve">rats gradvis, </w:t>
      </w:r>
      <w:r w:rsidR="00A94B58" w:rsidRPr="00A32418">
        <w:t>v</w:t>
      </w:r>
      <w:r w:rsidRPr="00A32418">
        <w:t xml:space="preserve">ad gäller </w:t>
      </w:r>
      <w:r w:rsidR="00A94B58" w:rsidRPr="00A32418">
        <w:t xml:space="preserve">såväl </w:t>
      </w:r>
      <w:r w:rsidRPr="00A32418">
        <w:t>geografisk omfattning som innehåll. Från att främst ha varit inriktad på regionalpolitiskt prioriterade områden har poli</w:t>
      </w:r>
      <w:r w:rsidRPr="00A32418">
        <w:softHyphen/>
        <w:t>tiken ko</w:t>
      </w:r>
      <w:r w:rsidRPr="00A32418">
        <w:t>m</w:t>
      </w:r>
      <w:r w:rsidRPr="00A32418">
        <w:t>mit att omfatta alla delar av landet, dock fortfarande med tyngd</w:t>
      </w:r>
      <w:r w:rsidRPr="00A32418">
        <w:softHyphen/>
        <w:t>punkt lagd på regi</w:t>
      </w:r>
      <w:r w:rsidRPr="00A32418">
        <w:t>o</w:t>
      </w:r>
      <w:r w:rsidRPr="00A32418">
        <w:t>nalpolitiskt prio</w:t>
      </w:r>
      <w:r w:rsidRPr="00A32418">
        <w:softHyphen/>
        <w:t>ri</w:t>
      </w:r>
      <w:r w:rsidRPr="00A32418">
        <w:softHyphen/>
        <w:t>terade områden. Politiken bedrivs i dag i huvudsak inom ramen för till</w:t>
      </w:r>
      <w:r w:rsidRPr="00A32418">
        <w:softHyphen/>
        <w:t xml:space="preserve">växtprogrammen. </w:t>
      </w:r>
    </w:p>
    <w:p w:rsidR="00E635AD" w:rsidRPr="00A32418" w:rsidRDefault="00E635AD" w:rsidP="003450DF">
      <w:pPr>
        <w:pStyle w:val="Normaltindrag"/>
      </w:pPr>
      <w:r w:rsidRPr="00A32418">
        <w:t>Regionala tillväxtavtal, numera tillväxtprogram, infördes i Sverige efter ett riksdagsbeslut 1998. Programmen genomförs genom projekt som finansi</w:t>
      </w:r>
      <w:r w:rsidRPr="00A32418">
        <w:softHyphen/>
        <w:t>e</w:t>
      </w:r>
      <w:r w:rsidRPr="00A32418">
        <w:softHyphen/>
        <w:t>ras av både offentliga och privata medel. De statliga medlen finansierar pro</w:t>
      </w:r>
      <w:r w:rsidRPr="00A32418">
        <w:softHyphen/>
        <w:t xml:space="preserve">grammen till drygt 40 </w:t>
      </w:r>
      <w:r w:rsidR="00A94B58" w:rsidRPr="00A32418">
        <w:t>%</w:t>
      </w:r>
      <w:r w:rsidRPr="00A32418">
        <w:t xml:space="preserve">. </w:t>
      </w:r>
    </w:p>
    <w:p w:rsidR="00E635AD" w:rsidRPr="00A32418" w:rsidRDefault="00E635AD" w:rsidP="003450DF">
      <w:pPr>
        <w:pStyle w:val="Normaltindrag"/>
      </w:pPr>
      <w:r w:rsidRPr="00A32418">
        <w:t>Riksdagen har genomgående ställt sig bakom den av regeringen initierade avvecklingen av politikområdet Regionalpolitik. Riksdagen har också ställt sig bakom det övergripande målet för det nya politikområdet Regional u</w:t>
      </w:r>
      <w:r w:rsidRPr="00A32418">
        <w:t>t</w:t>
      </w:r>
      <w:r w:rsidRPr="00A32418">
        <w:t>veck</w:t>
      </w:r>
      <w:r w:rsidRPr="00A32418">
        <w:softHyphen/>
      </w:r>
      <w:r w:rsidRPr="00A32418">
        <w:softHyphen/>
      </w:r>
      <w:r w:rsidRPr="00A32418">
        <w:softHyphen/>
        <w:t>lingspolitik. Detta har formulerats som ”väl fungerande och hållbara lokala arbetsmarknadsregioner med en god servicenivå i alla delar av lan</w:t>
      </w:r>
      <w:r w:rsidRPr="00A32418">
        <w:softHyphen/>
        <w:t>det”. Den regionala utvecklingspolitiken ska bidra till en hållbar utveck</w:t>
      </w:r>
      <w:r w:rsidRPr="00A32418">
        <w:softHyphen/>
        <w:t>ling i tre dime</w:t>
      </w:r>
      <w:r w:rsidRPr="00A32418">
        <w:t>n</w:t>
      </w:r>
      <w:r w:rsidRPr="00A32418">
        <w:t>sioner – ekologisk, ekonomisk och social – som ses som lika bety</w:t>
      </w:r>
      <w:r w:rsidRPr="00A32418">
        <w:softHyphen/>
        <w:t>delsefulla och ömsesidigt beroende av varandra. Den ekonomiska di</w:t>
      </w:r>
      <w:r w:rsidRPr="00A32418">
        <w:softHyphen/>
        <w:t>men</w:t>
      </w:r>
      <w:r w:rsidRPr="00A32418">
        <w:softHyphen/>
        <w:t>sio</w:t>
      </w:r>
      <w:r w:rsidRPr="00A32418">
        <w:softHyphen/>
        <w:t xml:space="preserve">nen ska vara fokuserad på tillväxt i ekonomin. </w:t>
      </w:r>
    </w:p>
    <w:p w:rsidR="00E635AD" w:rsidRPr="00A32418" w:rsidRDefault="00E635AD" w:rsidP="003450DF">
      <w:pPr>
        <w:pStyle w:val="Normaltindrag"/>
      </w:pPr>
      <w:r w:rsidRPr="00A32418">
        <w:t>Regering och riksdag har redovisat flera skäl till den nya inriktningen. Det handlar om en förändrad omvärld, med ökad in</w:t>
      </w:r>
      <w:r w:rsidRPr="00A32418">
        <w:softHyphen/>
        <w:t>ter</w:t>
      </w:r>
      <w:r w:rsidRPr="00A32418">
        <w:softHyphen/>
        <w:t>na</w:t>
      </w:r>
      <w:r w:rsidRPr="00A32418">
        <w:softHyphen/>
        <w:t>tio</w:t>
      </w:r>
      <w:r w:rsidRPr="00A32418">
        <w:softHyphen/>
        <w:t>nalisering och en insikt om behovet av att utveckla nya sam</w:t>
      </w:r>
      <w:r w:rsidRPr="00A32418">
        <w:softHyphen/>
        <w:t>ar</w:t>
      </w:r>
      <w:r w:rsidRPr="00A32418">
        <w:softHyphen/>
        <w:t>bets</w:t>
      </w:r>
      <w:r w:rsidRPr="00A32418">
        <w:softHyphen/>
        <w:t>for</w:t>
      </w:r>
      <w:r w:rsidRPr="00A32418">
        <w:softHyphen/>
        <w:t>mer. Tillväxten har där</w:t>
      </w:r>
      <w:r w:rsidRPr="00A32418">
        <w:softHyphen/>
        <w:t>för i ökad grad betonats som en förut</w:t>
      </w:r>
      <w:r w:rsidRPr="00A32418">
        <w:softHyphen/>
        <w:t>sättning för en fram</w:t>
      </w:r>
      <w:r w:rsidRPr="00A32418">
        <w:softHyphen/>
        <w:t>gångsrik regional utveckling</w:t>
      </w:r>
      <w:r w:rsidRPr="00A32418">
        <w:t>s</w:t>
      </w:r>
      <w:r w:rsidRPr="00A32418">
        <w:t>politik. De regionala tillväxtavtalen skulle enligt näringsutskottet komma att utgöra en bas i det långsiktiga arbetet för en hållbar regional ut</w:t>
      </w:r>
      <w:r w:rsidRPr="00A32418">
        <w:softHyphen/>
        <w:t xml:space="preserve">veckling. </w:t>
      </w:r>
    </w:p>
    <w:p w:rsidR="00E635AD" w:rsidRPr="00A32418" w:rsidRDefault="00E635AD" w:rsidP="003450DF">
      <w:pPr>
        <w:pStyle w:val="Rubrik3"/>
        <w:rPr>
          <w:noProof w:val="0"/>
        </w:rPr>
      </w:pPr>
      <w:bookmarkStart w:id="16" w:name="_Toc112138665"/>
      <w:r w:rsidRPr="00A32418">
        <w:rPr>
          <w:noProof w:val="0"/>
        </w:rPr>
        <w:t>Regionalpolitikens inriktning rymmer en paradox</w:t>
      </w:r>
      <w:bookmarkEnd w:id="16"/>
    </w:p>
    <w:p w:rsidR="00E635AD" w:rsidRPr="00A32418" w:rsidRDefault="001D617E" w:rsidP="00E635AD">
      <w:r w:rsidRPr="00A32418">
        <w:t xml:space="preserve">I betänkanden som godkänts av riksdagen har näringsutskottet </w:t>
      </w:r>
      <w:r w:rsidR="00E635AD" w:rsidRPr="00A32418">
        <w:t>vid flera tillfä</w:t>
      </w:r>
      <w:r w:rsidR="00E635AD" w:rsidRPr="00A32418">
        <w:t>l</w:t>
      </w:r>
      <w:r w:rsidR="00E635AD" w:rsidRPr="00A32418">
        <w:t xml:space="preserve">len </w:t>
      </w:r>
      <w:r w:rsidRPr="00A32418">
        <w:t xml:space="preserve">framfört </w:t>
      </w:r>
      <w:r w:rsidR="00E635AD" w:rsidRPr="00A32418">
        <w:t>att målen för en verksamhet måste vara välformulerade, mä</w:t>
      </w:r>
      <w:r w:rsidR="00E635AD" w:rsidRPr="00A32418">
        <w:t>t</w:t>
      </w:r>
      <w:r w:rsidR="00E635AD" w:rsidRPr="00A32418">
        <w:t>bara och uppföljningsbara för att resul</w:t>
      </w:r>
      <w:r w:rsidR="00E635AD" w:rsidRPr="00A32418">
        <w:softHyphen/>
        <w:t>tat</w:t>
      </w:r>
      <w:r w:rsidR="00E635AD" w:rsidRPr="00A32418">
        <w:softHyphen/>
        <w:t>styrningen ska bli mening</w:t>
      </w:r>
      <w:r w:rsidR="00E635AD" w:rsidRPr="00A32418">
        <w:t>s</w:t>
      </w:r>
      <w:r w:rsidR="00E635AD" w:rsidRPr="00A32418">
        <w:t>full och målen kunna ställas i relation till kostnaderna. Dessutom borde utvärdering</w:t>
      </w:r>
      <w:r w:rsidR="00E635AD" w:rsidRPr="00A32418">
        <w:t>s</w:t>
      </w:r>
      <w:r w:rsidR="00E635AD" w:rsidRPr="00A32418">
        <w:t>arbetet bedrivas enligt vissa rikt</w:t>
      </w:r>
      <w:r w:rsidR="00E635AD" w:rsidRPr="00A32418">
        <w:softHyphen/>
        <w:t>linjer som har preciserats i tio punkter. Näringsu</w:t>
      </w:r>
      <w:r w:rsidR="00E635AD" w:rsidRPr="00A32418">
        <w:t>t</w:t>
      </w:r>
      <w:r w:rsidR="00E635AD" w:rsidRPr="00A32418">
        <w:t>skottet har vid olika till</w:t>
      </w:r>
      <w:r w:rsidR="00E635AD" w:rsidRPr="00A32418">
        <w:softHyphen/>
        <w:t xml:space="preserve">fällen framfört tveksamhet till möjligheten att följa upp de allmänt hållna mål som regeringen formulerat </w:t>
      </w:r>
      <w:r w:rsidRPr="00A32418">
        <w:t xml:space="preserve">och lagt fram </w:t>
      </w:r>
      <w:r w:rsidR="00E635AD" w:rsidRPr="00A32418">
        <w:t>för rik</w:t>
      </w:r>
      <w:r w:rsidR="00E635AD" w:rsidRPr="00A32418">
        <w:t>s</w:t>
      </w:r>
      <w:r w:rsidR="00E635AD" w:rsidRPr="00A32418">
        <w:t>dagen.</w:t>
      </w:r>
    </w:p>
    <w:p w:rsidR="00E635AD" w:rsidRPr="00A32418" w:rsidRDefault="00E635AD" w:rsidP="009F28E3">
      <w:pPr>
        <w:pStyle w:val="Normaltindrag"/>
      </w:pPr>
      <w:r w:rsidRPr="00A32418">
        <w:t>Det finns enligt Riksrevisionen en paradox inbyggd i den regionala utveck</w:t>
      </w:r>
      <w:r w:rsidRPr="00A32418">
        <w:softHyphen/>
        <w:t>lingspolitiken. Å ena sidan ska de aktuella stödformerna bidra till att upp</w:t>
      </w:r>
      <w:r w:rsidRPr="00A32418">
        <w:softHyphen/>
        <w:t>fyl</w:t>
      </w:r>
      <w:r w:rsidRPr="00A32418">
        <w:softHyphen/>
        <w:t>la ambitiösa mål som ökad tillväxt i alla delar av landet och väl fungerande arbetsmarknadsregioner. Å andra sidan framhåller regeringen hur margi</w:t>
      </w:r>
      <w:r w:rsidRPr="00A32418">
        <w:softHyphen/>
        <w:t>nel</w:t>
      </w:r>
      <w:r w:rsidRPr="00A32418">
        <w:softHyphen/>
        <w:t>la effekterna av de regionala stöden är i förhållande till andra politikom</w:t>
      </w:r>
      <w:r w:rsidRPr="00A32418">
        <w:softHyphen/>
        <w:t>rå</w:t>
      </w:r>
      <w:r w:rsidRPr="00A32418">
        <w:softHyphen/>
        <w:t>den och att stöd</w:t>
      </w:r>
      <w:r w:rsidRPr="00A32418">
        <w:softHyphen/>
      </w:r>
      <w:r w:rsidRPr="00A32418">
        <w:softHyphen/>
      </w:r>
      <w:r w:rsidRPr="00A32418">
        <w:softHyphen/>
        <w:t>for</w:t>
      </w:r>
      <w:r w:rsidRPr="00A32418">
        <w:softHyphen/>
        <w:t>merna på sikt bör minskas.</w:t>
      </w:r>
    </w:p>
    <w:p w:rsidR="007629E6" w:rsidRPr="00A32418" w:rsidRDefault="007629E6" w:rsidP="007629E6">
      <w:pPr>
        <w:pStyle w:val="Rubrik3"/>
        <w:rPr>
          <w:noProof w:val="0"/>
        </w:rPr>
      </w:pPr>
      <w:bookmarkStart w:id="17" w:name="_Toc112138666"/>
      <w:r w:rsidRPr="00A32418">
        <w:rPr>
          <w:noProof w:val="0"/>
        </w:rPr>
        <w:t>Stödens effekter är svåra att utvärdera</w:t>
      </w:r>
      <w:bookmarkEnd w:id="17"/>
      <w:r w:rsidRPr="00A32418">
        <w:rPr>
          <w:noProof w:val="0"/>
        </w:rPr>
        <w:t xml:space="preserve"> </w:t>
      </w:r>
    </w:p>
    <w:p w:rsidR="007629E6" w:rsidRPr="00A32418" w:rsidRDefault="007629E6" w:rsidP="007629E6">
      <w:r w:rsidRPr="00A32418">
        <w:t>Riksrevisionens granskning syftar inte till att utvärdera effekterna av de reg</w:t>
      </w:r>
      <w:r w:rsidRPr="00A32418">
        <w:t>i</w:t>
      </w:r>
      <w:r w:rsidRPr="00A32418">
        <w:t xml:space="preserve">onala stöden. I rapporten sammanfattas dock vissa försök till effektmätningar som gjorts av andra organ, </w:t>
      </w:r>
      <w:r w:rsidR="00BC2F27" w:rsidRPr="00A32418">
        <w:t>nämligen</w:t>
      </w:r>
      <w:r w:rsidRPr="00A32418">
        <w:t xml:space="preserve"> länsstyrelserna</w:t>
      </w:r>
      <w:r w:rsidR="00BC2F27" w:rsidRPr="00A32418">
        <w:t>, Nutek</w:t>
      </w:r>
      <w:r w:rsidRPr="00A32418">
        <w:t xml:space="preserve"> och Instit</w:t>
      </w:r>
      <w:r w:rsidRPr="00A32418">
        <w:t>u</w:t>
      </w:r>
      <w:r w:rsidRPr="00A32418">
        <w:t>tet för til</w:t>
      </w:r>
      <w:r w:rsidRPr="00A32418">
        <w:t>l</w:t>
      </w:r>
      <w:r w:rsidRPr="00A32418">
        <w:t>växtpolitis</w:t>
      </w:r>
      <w:r w:rsidR="00285781" w:rsidRPr="00A32418">
        <w:t>k</w:t>
      </w:r>
      <w:r w:rsidRPr="00A32418">
        <w:t xml:space="preserve">a studier (ITPS). </w:t>
      </w:r>
    </w:p>
    <w:p w:rsidR="007629E6" w:rsidRPr="00A32418" w:rsidRDefault="00BC2F27" w:rsidP="007629E6">
      <w:pPr>
        <w:pStyle w:val="Normaltindrag"/>
      </w:pPr>
      <w:r w:rsidRPr="00A32418">
        <w:t xml:space="preserve">Enligt </w:t>
      </w:r>
      <w:r w:rsidR="007629E6" w:rsidRPr="00A32418">
        <w:t>Riksrevisionen förefaller det möjligt att mäta vissa kortsiktiga effe</w:t>
      </w:r>
      <w:r w:rsidR="007629E6" w:rsidRPr="00A32418">
        <w:t>k</w:t>
      </w:r>
      <w:r w:rsidR="007629E6" w:rsidRPr="00A32418">
        <w:t>ter av företagsstöden. Däremot är det sv</w:t>
      </w:r>
      <w:r w:rsidR="0074773D" w:rsidRPr="00A32418">
        <w:t>å</w:t>
      </w:r>
      <w:r w:rsidR="007629E6" w:rsidRPr="00A32418">
        <w:t>rare att få en uppfattning om effe</w:t>
      </w:r>
      <w:r w:rsidR="007629E6" w:rsidRPr="00A32418">
        <w:t>k</w:t>
      </w:r>
      <w:r w:rsidR="007629E6" w:rsidRPr="00A32418">
        <w:t>ter</w:t>
      </w:r>
      <w:r w:rsidRPr="00A32418">
        <w:softHyphen/>
      </w:r>
      <w:r w:rsidR="007629E6" w:rsidRPr="00A32418">
        <w:t>na kvarstår på sikt. Det är förenat med mätproblem att uppskatta de lån</w:t>
      </w:r>
      <w:r w:rsidR="007629E6" w:rsidRPr="00A32418">
        <w:t>g</w:t>
      </w:r>
      <w:r w:rsidR="007629E6" w:rsidRPr="00A32418">
        <w:t>siktiga effekterna. Dels finns ett kausalitetsprobl</w:t>
      </w:r>
      <w:r w:rsidR="00BF4279" w:rsidRPr="00A32418">
        <w:t>e</w:t>
      </w:r>
      <w:r w:rsidR="007629E6" w:rsidRPr="00A32418">
        <w:t xml:space="preserve">m – det är svårt att veta hur stor del av en viss uppmätt förändring som beror på stödet och hur stor del som beror på andra faktorer – dels är det svårt att </w:t>
      </w:r>
      <w:r w:rsidR="00A94B58" w:rsidRPr="00A32418">
        <w:t xml:space="preserve">överföra </w:t>
      </w:r>
      <w:r w:rsidR="007629E6" w:rsidRPr="00A32418">
        <w:t xml:space="preserve">resultaten från </w:t>
      </w:r>
      <w:r w:rsidR="00285781" w:rsidRPr="00A32418">
        <w:t>före</w:t>
      </w:r>
      <w:r w:rsidRPr="00A32418">
        <w:softHyphen/>
      </w:r>
      <w:r w:rsidR="00285781" w:rsidRPr="00A32418">
        <w:t xml:space="preserve">tags- </w:t>
      </w:r>
      <w:r w:rsidR="007629E6" w:rsidRPr="00A32418">
        <w:t xml:space="preserve">till </w:t>
      </w:r>
      <w:r w:rsidR="00285781" w:rsidRPr="00A32418">
        <w:t>samhälls</w:t>
      </w:r>
      <w:r w:rsidR="007629E6" w:rsidRPr="00A32418">
        <w:t>nivå eftersom man inte vet hur stöden har påverkat det o</w:t>
      </w:r>
      <w:r w:rsidR="007629E6" w:rsidRPr="00A32418">
        <w:t>m</w:t>
      </w:r>
      <w:r w:rsidR="007629E6" w:rsidRPr="00A32418">
        <w:t xml:space="preserve">givande näringslivet. </w:t>
      </w:r>
    </w:p>
    <w:p w:rsidR="00285781" w:rsidRPr="00A32418" w:rsidRDefault="00285781" w:rsidP="007629E6">
      <w:pPr>
        <w:pStyle w:val="Normaltindrag"/>
      </w:pPr>
      <w:r w:rsidRPr="00A32418">
        <w:t>Vad gäller projektverksamheten framhåller Riksrevisionen att det är svårt att mäta effekterna av verksamheten eftersom projekten är av olika karaktär och spänner över flera utgiftsområden</w:t>
      </w:r>
      <w:r w:rsidR="00A94B58" w:rsidRPr="00A32418">
        <w:t>,</w:t>
      </w:r>
      <w:r w:rsidRPr="00A32418">
        <w:t xml:space="preserve"> som kultur, utbildning och kommun</w:t>
      </w:r>
      <w:r w:rsidRPr="00A32418">
        <w:t>i</w:t>
      </w:r>
      <w:r w:rsidRPr="00A32418">
        <w:t xml:space="preserve">kationer. </w:t>
      </w:r>
      <w:r w:rsidR="000F6B1D" w:rsidRPr="00A32418">
        <w:t xml:space="preserve">Medfinansiering i projektverksamheten härrör främst från offentliga källor. Detta kan jämföras med företagsstöden där det krävs minst 50 </w:t>
      </w:r>
      <w:r w:rsidR="00A94B58" w:rsidRPr="00A32418">
        <w:t>%</w:t>
      </w:r>
      <w:r w:rsidR="000F6B1D" w:rsidRPr="00A32418">
        <w:t xml:space="preserve"> me</w:t>
      </w:r>
      <w:r w:rsidR="000F6B1D" w:rsidRPr="00A32418">
        <w:t>d</w:t>
      </w:r>
      <w:r w:rsidR="000F6B1D" w:rsidRPr="00A32418">
        <w:t xml:space="preserve">finansiering av det stödsökande företaget. </w:t>
      </w:r>
      <w:r w:rsidRPr="00A32418">
        <w:t>Projektverksamhetens breda inrik</w:t>
      </w:r>
      <w:r w:rsidRPr="00A32418">
        <w:t>t</w:t>
      </w:r>
      <w:r w:rsidRPr="00A32418">
        <w:t>ning gör det också svårt att fastställa g</w:t>
      </w:r>
      <w:r w:rsidRPr="00A32418">
        <w:t>e</w:t>
      </w:r>
      <w:r w:rsidRPr="00A32418">
        <w:t xml:space="preserve">nerella indikatorer. </w:t>
      </w:r>
    </w:p>
    <w:p w:rsidR="00B90A9B" w:rsidRPr="00A32418" w:rsidRDefault="00B90A9B" w:rsidP="00B90A9B">
      <w:pPr>
        <w:pStyle w:val="Rubrik3"/>
        <w:rPr>
          <w:noProof w:val="0"/>
        </w:rPr>
      </w:pPr>
      <w:bookmarkStart w:id="18" w:name="_Toc112138667"/>
      <w:r w:rsidRPr="00A32418">
        <w:rPr>
          <w:noProof w:val="0"/>
        </w:rPr>
        <w:t xml:space="preserve">Förslag från ITPS om </w:t>
      </w:r>
      <w:r w:rsidR="003231CD" w:rsidRPr="00A32418">
        <w:rPr>
          <w:noProof w:val="0"/>
        </w:rPr>
        <w:t xml:space="preserve">uppföljningar och </w:t>
      </w:r>
      <w:r w:rsidR="00F17A8C" w:rsidRPr="00A32418">
        <w:rPr>
          <w:noProof w:val="0"/>
        </w:rPr>
        <w:t>effektutvärderingar</w:t>
      </w:r>
      <w:bookmarkEnd w:id="18"/>
    </w:p>
    <w:p w:rsidR="00B90A9B" w:rsidRPr="00A32418" w:rsidRDefault="005A1C33" w:rsidP="00B90A9B">
      <w:r w:rsidRPr="00A32418">
        <w:t xml:space="preserve">Av Riksrevisionens rapport framgår också att </w:t>
      </w:r>
      <w:r w:rsidR="00B90A9B" w:rsidRPr="00A32418">
        <w:t>ITPS har haft ett regeringsup</w:t>
      </w:r>
      <w:r w:rsidR="00B90A9B" w:rsidRPr="00A32418">
        <w:t>p</w:t>
      </w:r>
      <w:r w:rsidR="00B90A9B" w:rsidRPr="00A32418">
        <w:t>drag att an</w:t>
      </w:r>
      <w:r w:rsidR="00B90A9B" w:rsidRPr="00A32418">
        <w:t>a</w:t>
      </w:r>
      <w:r w:rsidR="00B90A9B" w:rsidRPr="00A32418">
        <w:t>lysera hela den regionala utvecklingspolitiken o</w:t>
      </w:r>
      <w:r w:rsidR="00A94B58" w:rsidRPr="00A32418">
        <w:t>c</w:t>
      </w:r>
      <w:r w:rsidR="00B90A9B" w:rsidRPr="00A32418">
        <w:t>h föreslå hur den</w:t>
      </w:r>
      <w:r w:rsidR="00A94B58" w:rsidRPr="00A32418">
        <w:softHyphen/>
      </w:r>
      <w:r w:rsidR="00B90A9B" w:rsidRPr="00A32418">
        <w:t xml:space="preserve">na ska följas upp och effektutvärderas.  I sin rapport </w:t>
      </w:r>
      <w:r w:rsidR="00B90A9B" w:rsidRPr="00A32418">
        <w:rPr>
          <w:i/>
        </w:rPr>
        <w:t>Regional utvecklingspol</w:t>
      </w:r>
      <w:r w:rsidR="00B90A9B" w:rsidRPr="00A32418">
        <w:rPr>
          <w:i/>
        </w:rPr>
        <w:t>i</w:t>
      </w:r>
      <w:r w:rsidR="00B90A9B" w:rsidRPr="00A32418">
        <w:rPr>
          <w:i/>
        </w:rPr>
        <w:t xml:space="preserve">tik – hur följa upp och utvärdera? </w:t>
      </w:r>
      <w:r w:rsidRPr="00A32418">
        <w:t>som</w:t>
      </w:r>
      <w:r w:rsidR="00B90A9B" w:rsidRPr="00A32418">
        <w:t xml:space="preserve"> publicerad</w:t>
      </w:r>
      <w:r w:rsidRPr="00A32418">
        <w:t>es</w:t>
      </w:r>
      <w:r w:rsidR="00B90A9B" w:rsidRPr="00A32418">
        <w:t xml:space="preserve"> den 31 maj 2004 har ITPS föreslagit en modell med tre olika uppföljnings- och utvärderingsi</w:t>
      </w:r>
      <w:r w:rsidR="00B90A9B" w:rsidRPr="00A32418">
        <w:t>n</w:t>
      </w:r>
      <w:r w:rsidR="00B90A9B" w:rsidRPr="00A32418">
        <w:t>strument:</w:t>
      </w:r>
    </w:p>
    <w:p w:rsidR="00B90A9B" w:rsidRPr="00A32418" w:rsidRDefault="00B90A9B" w:rsidP="00B90A9B">
      <w:pPr>
        <w:pStyle w:val="Normaltindrag"/>
        <w:numPr>
          <w:ilvl w:val="0"/>
          <w:numId w:val="7"/>
        </w:numPr>
        <w:tabs>
          <w:tab w:val="clear" w:pos="947"/>
          <w:tab w:val="num" w:pos="360"/>
        </w:tabs>
        <w:ind w:left="360"/>
      </w:pPr>
      <w:r w:rsidRPr="00A32418">
        <w:rPr>
          <w:i/>
        </w:rPr>
        <w:t>Regionala hänsyn inom sektorspolitiken</w:t>
      </w:r>
      <w:r w:rsidRPr="00A32418">
        <w:t xml:space="preserve"> </w:t>
      </w:r>
      <w:r w:rsidR="005A1C33" w:rsidRPr="00A32418">
        <w:t xml:space="preserve">bör enligt ITPS </w:t>
      </w:r>
      <w:r w:rsidRPr="00A32418">
        <w:t>följ</w:t>
      </w:r>
      <w:r w:rsidR="005A1C33" w:rsidRPr="00A32418">
        <w:t>a</w:t>
      </w:r>
      <w:r w:rsidRPr="00A32418">
        <w:t>s upp med ett antal indikatorer. En nationell aktör föreslås ta fram indikatormater</w:t>
      </w:r>
      <w:r w:rsidR="00AD5B1C" w:rsidRPr="00A32418">
        <w:t>i</w:t>
      </w:r>
      <w:r w:rsidRPr="00A32418">
        <w:t>a</w:t>
      </w:r>
      <w:r w:rsidRPr="00A32418">
        <w:t>let som också kan fungera som analysunderlag för länen och som disku</w:t>
      </w:r>
      <w:r w:rsidRPr="00A32418">
        <w:t>s</w:t>
      </w:r>
      <w:r w:rsidRPr="00A32418">
        <w:t>sionsunderlag i di</w:t>
      </w:r>
      <w:r w:rsidRPr="00A32418">
        <w:t>a</w:t>
      </w:r>
      <w:r w:rsidRPr="00A32418">
        <w:t xml:space="preserve">log mellan regeringen och regionerna. </w:t>
      </w:r>
    </w:p>
    <w:p w:rsidR="00B90A9B" w:rsidRPr="00A32418" w:rsidRDefault="00B90A9B" w:rsidP="00B90A9B">
      <w:pPr>
        <w:pStyle w:val="Normaltindrag"/>
        <w:numPr>
          <w:ilvl w:val="0"/>
          <w:numId w:val="7"/>
        </w:numPr>
        <w:tabs>
          <w:tab w:val="clear" w:pos="947"/>
          <w:tab w:val="num" w:pos="360"/>
        </w:tabs>
        <w:ind w:left="360"/>
      </w:pPr>
      <w:r w:rsidRPr="00A32418">
        <w:rPr>
          <w:i/>
        </w:rPr>
        <w:t>Kapitalförsörjningen i form av företagsstöd</w:t>
      </w:r>
      <w:r w:rsidR="003231CD" w:rsidRPr="00A32418">
        <w:t xml:space="preserve"> </w:t>
      </w:r>
      <w:r w:rsidR="005A1C33" w:rsidRPr="00A32418">
        <w:t xml:space="preserve">bör också </w:t>
      </w:r>
      <w:r w:rsidR="003231CD" w:rsidRPr="00A32418">
        <w:t>följ</w:t>
      </w:r>
      <w:r w:rsidR="005A1C33" w:rsidRPr="00A32418">
        <w:t>a</w:t>
      </w:r>
      <w:r w:rsidR="003231CD" w:rsidRPr="00A32418">
        <w:t>s</w:t>
      </w:r>
      <w:r w:rsidRPr="00A32418">
        <w:t xml:space="preserve"> upp och effektutvärderas av en nationell aktör. Resultat av utvärderingar bör p</w:t>
      </w:r>
      <w:r w:rsidRPr="00A32418">
        <w:t>å</w:t>
      </w:r>
      <w:r w:rsidRPr="00A32418">
        <w:t>verka framtida medelsfördelning  mellan olika typer av företag</w:t>
      </w:r>
      <w:r w:rsidRPr="00A32418">
        <w:t>s</w:t>
      </w:r>
      <w:r w:rsidRPr="00A32418">
        <w:t xml:space="preserve">stöd. </w:t>
      </w:r>
    </w:p>
    <w:p w:rsidR="00B90A9B" w:rsidRPr="00A32418" w:rsidRDefault="00B90A9B" w:rsidP="00B90A9B">
      <w:pPr>
        <w:pStyle w:val="Normaltindrag"/>
        <w:numPr>
          <w:ilvl w:val="0"/>
          <w:numId w:val="7"/>
        </w:numPr>
        <w:tabs>
          <w:tab w:val="clear" w:pos="947"/>
          <w:tab w:val="num" w:pos="360"/>
        </w:tabs>
        <w:ind w:left="360"/>
      </w:pPr>
      <w:r w:rsidRPr="00A32418">
        <w:rPr>
          <w:i/>
        </w:rPr>
        <w:t>Programlagda utvecklingsprojekt</w:t>
      </w:r>
      <w:r w:rsidRPr="00A32418">
        <w:t xml:space="preserve"> utvärderas </w:t>
      </w:r>
      <w:r w:rsidR="005A1C33" w:rsidRPr="00A32418">
        <w:t xml:space="preserve">enligt ITPS </w:t>
      </w:r>
      <w:r w:rsidRPr="00A32418">
        <w:t>med fördel på  re</w:t>
      </w:r>
      <w:r w:rsidR="00BF4279" w:rsidRPr="00A32418">
        <w:softHyphen/>
      </w:r>
      <w:r w:rsidRPr="00A32418">
        <w:t>g</w:t>
      </w:r>
      <w:r w:rsidRPr="00A32418">
        <w:t>i</w:t>
      </w:r>
      <w:r w:rsidRPr="00A32418">
        <w:t xml:space="preserve">onal nivå och då främst genom processnära utvärderingar. </w:t>
      </w:r>
    </w:p>
    <w:p w:rsidR="00AD5B1C" w:rsidRPr="00A32418" w:rsidRDefault="00AD5B1C" w:rsidP="00A7604C">
      <w:r w:rsidRPr="00A32418">
        <w:t>Under år 2005 har regeringen gett ITPS i uppdrag att upprä</w:t>
      </w:r>
      <w:r w:rsidRPr="00A32418">
        <w:t>t</w:t>
      </w:r>
      <w:r w:rsidRPr="00A32418">
        <w:t>ta en databas med geografiska indikatorer för regionala analyser som kontinuerligt uppdat</w:t>
      </w:r>
      <w:r w:rsidRPr="00A32418">
        <w:t>e</w:t>
      </w:r>
      <w:r w:rsidRPr="00A32418">
        <w:t>ras. Detta ska ske med utgångspunkt i institutets förslag på indikatorer för den reg</w:t>
      </w:r>
      <w:r w:rsidRPr="00A32418">
        <w:t>i</w:t>
      </w:r>
      <w:r w:rsidRPr="00A32418">
        <w:t>onala utvecklingspolitiken.</w:t>
      </w:r>
    </w:p>
    <w:p w:rsidR="00E635AD" w:rsidRPr="00A32418" w:rsidRDefault="00E635AD" w:rsidP="009F28E3">
      <w:pPr>
        <w:pStyle w:val="Rubrik2"/>
      </w:pPr>
      <w:bookmarkStart w:id="19" w:name="_Toc112138668"/>
      <w:r w:rsidRPr="00A32418">
        <w:t>Riksrevisionens slutsatser</w:t>
      </w:r>
      <w:bookmarkEnd w:id="19"/>
    </w:p>
    <w:p w:rsidR="00E635AD" w:rsidRPr="00A32418" w:rsidRDefault="00E635AD" w:rsidP="00E635AD">
      <w:r w:rsidRPr="00A32418">
        <w:t xml:space="preserve">Den sammanfattade slutsats som Riksrevisionen drar av sin granskning är att varken mål- och resultatstyrningen eller de förordningar som reglerar </w:t>
      </w:r>
      <w:r w:rsidR="005A1C33" w:rsidRPr="00A32418">
        <w:t>de regi</w:t>
      </w:r>
      <w:r w:rsidR="005A1C33" w:rsidRPr="00A32418">
        <w:t>o</w:t>
      </w:r>
      <w:r w:rsidR="005A1C33" w:rsidRPr="00A32418">
        <w:t xml:space="preserve">nala </w:t>
      </w:r>
      <w:r w:rsidRPr="00A32418">
        <w:t>stöden fullt ut har anpassats till den nya tillväxt</w:t>
      </w:r>
      <w:r w:rsidRPr="00A32418">
        <w:softHyphen/>
        <w:t>inrikt</w:t>
      </w:r>
      <w:r w:rsidRPr="00A32418">
        <w:softHyphen/>
        <w:t>ning</w:t>
      </w:r>
      <w:r w:rsidRPr="00A32418">
        <w:softHyphen/>
        <w:t>en. Målen är inte til</w:t>
      </w:r>
      <w:r w:rsidRPr="00A32418">
        <w:t>l</w:t>
      </w:r>
      <w:r w:rsidRPr="00A32418">
        <w:t>räckligt konkreta för att kunna följas upp. Åter</w:t>
      </w:r>
      <w:r w:rsidRPr="00A32418">
        <w:softHyphen/>
        <w:t>rap</w:t>
      </w:r>
      <w:r w:rsidRPr="00A32418">
        <w:softHyphen/>
        <w:t>por</w:t>
      </w:r>
      <w:r w:rsidRPr="00A32418">
        <w:softHyphen/>
        <w:t>te</w:t>
      </w:r>
      <w:r w:rsidRPr="00A32418">
        <w:softHyphen/>
        <w:t>ringskraven är alltför ensidiga och avser endast effekter</w:t>
      </w:r>
      <w:r w:rsidR="003231CD" w:rsidRPr="00A32418">
        <w:t>nas förväntade storlek</w:t>
      </w:r>
      <w:r w:rsidRPr="00A32418">
        <w:t>. Det finns också brister i rege</w:t>
      </w:r>
      <w:r w:rsidRPr="00A32418">
        <w:softHyphen/>
        <w:t>ringens årliga åte</w:t>
      </w:r>
      <w:r w:rsidRPr="00A32418">
        <w:t>r</w:t>
      </w:r>
      <w:r w:rsidRPr="00A32418">
        <w:t xml:space="preserve">rapportering till riksdagen om effekterna av stöden. </w:t>
      </w:r>
    </w:p>
    <w:p w:rsidR="00E635AD" w:rsidRPr="00A32418" w:rsidRDefault="00E635AD" w:rsidP="009F28E3">
      <w:pPr>
        <w:pStyle w:val="Rubrik3"/>
        <w:rPr>
          <w:noProof w:val="0"/>
        </w:rPr>
      </w:pPr>
      <w:bookmarkStart w:id="20" w:name="_Toc112138669"/>
      <w:r w:rsidRPr="00A32418">
        <w:rPr>
          <w:noProof w:val="0"/>
        </w:rPr>
        <w:t>Målen har inte fått en tydlig tillväxtinriktning</w:t>
      </w:r>
      <w:bookmarkEnd w:id="20"/>
    </w:p>
    <w:p w:rsidR="00E635AD" w:rsidRPr="00A32418" w:rsidRDefault="00E635AD" w:rsidP="00E635AD">
      <w:r w:rsidRPr="00A32418">
        <w:t>Begreppen hållbar utveckling och tillväxt har enligt Riksrevisionen blivit ce</w:t>
      </w:r>
      <w:r w:rsidRPr="00A32418">
        <w:t>n</w:t>
      </w:r>
      <w:r w:rsidRPr="00A32418">
        <w:t>trala i den mer tillväxtinriktade regionalpolitiken. Dessa begrepp in</w:t>
      </w:r>
      <w:r w:rsidRPr="00A32418">
        <w:softHyphen/>
        <w:t>be</w:t>
      </w:r>
      <w:r w:rsidRPr="00A32418">
        <w:softHyphen/>
        <w:t>griper en eko</w:t>
      </w:r>
      <w:r w:rsidRPr="00A32418">
        <w:softHyphen/>
        <w:t>no</w:t>
      </w:r>
      <w:r w:rsidRPr="00A32418">
        <w:softHyphen/>
        <w:t xml:space="preserve">misk, en social och en ekologisk dimension. </w:t>
      </w:r>
    </w:p>
    <w:p w:rsidR="00E635AD" w:rsidRPr="00A32418" w:rsidRDefault="00E635AD" w:rsidP="009F28E3">
      <w:pPr>
        <w:pStyle w:val="Normaltindrag"/>
      </w:pPr>
      <w:r w:rsidRPr="00A32418">
        <w:t>Riksrevisionens slutsats är att de mål som formulerats för de olika stöden  inte har fått någon tydligare inrikt</w:t>
      </w:r>
      <w:r w:rsidRPr="00A32418">
        <w:softHyphen/>
        <w:t>ning mot att skapa tillväxt. I målformu</w:t>
      </w:r>
      <w:r w:rsidRPr="00A32418">
        <w:softHyphen/>
        <w:t>le</w:t>
      </w:r>
      <w:r w:rsidRPr="00A32418">
        <w:softHyphen/>
        <w:t>ringarna finns en fortsatt betoning av sys</w:t>
      </w:r>
      <w:r w:rsidRPr="00A32418">
        <w:softHyphen/>
        <w:t>sel</w:t>
      </w:r>
      <w:r w:rsidRPr="00A32418">
        <w:softHyphen/>
        <w:t>sättnings</w:t>
      </w:r>
      <w:r w:rsidRPr="00A32418">
        <w:softHyphen/>
        <w:t>effekter. Detta har på</w:t>
      </w:r>
      <w:r w:rsidRPr="00A32418">
        <w:softHyphen/>
        <w:t>tagliga likh</w:t>
      </w:r>
      <w:r w:rsidRPr="00A32418">
        <w:t>e</w:t>
      </w:r>
      <w:r w:rsidRPr="00A32418">
        <w:t>ter med det synsätt som tidigare gällde inom regional</w:t>
      </w:r>
      <w:r w:rsidRPr="00A32418">
        <w:softHyphen/>
        <w:t>poli</w:t>
      </w:r>
      <w:r w:rsidRPr="00A32418">
        <w:softHyphen/>
        <w:t xml:space="preserve">tiken. </w:t>
      </w:r>
    </w:p>
    <w:p w:rsidR="00E635AD" w:rsidRPr="00A32418" w:rsidRDefault="00E635AD" w:rsidP="009F28E3">
      <w:pPr>
        <w:pStyle w:val="Normaltindrag"/>
      </w:pPr>
      <w:r w:rsidRPr="00A32418">
        <w:t>De stödgivande myndigheterna anser att stödgivningen fått en ökad til</w:t>
      </w:r>
      <w:r w:rsidRPr="00A32418">
        <w:t>l</w:t>
      </w:r>
      <w:r w:rsidRPr="00A32418">
        <w:t>växt</w:t>
      </w:r>
      <w:r w:rsidRPr="00A32418">
        <w:softHyphen/>
        <w:t>inriktning genom de s.k. tillväxt</w:t>
      </w:r>
      <w:r w:rsidRPr="00A32418">
        <w:softHyphen/>
        <w:t>programmen, men myndighe</w:t>
      </w:r>
      <w:r w:rsidRPr="00A32418">
        <w:softHyphen/>
        <w:t>terna har sam</w:t>
      </w:r>
      <w:r w:rsidRPr="00A32418">
        <w:softHyphen/>
        <w:t>tidigt svårt att peka ut vad som har prioriterats annorlunda i dagens stöd</w:t>
      </w:r>
      <w:r w:rsidRPr="00A32418">
        <w:softHyphen/>
        <w:t>giv</w:t>
      </w:r>
      <w:r w:rsidRPr="00A32418">
        <w:softHyphen/>
        <w:t>ning jämfört med tidigare. Myn</w:t>
      </w:r>
      <w:r w:rsidRPr="00A32418">
        <w:softHyphen/>
      </w:r>
      <w:r w:rsidRPr="00A32418">
        <w:softHyphen/>
      </w:r>
      <w:r w:rsidRPr="00A32418">
        <w:softHyphen/>
        <w:t>digheterna har svårt att redo</w:t>
      </w:r>
      <w:r w:rsidRPr="00A32418">
        <w:softHyphen/>
        <w:t>visa en konkret innebörd av begreppet tillväxt i samband med stödgiv</w:t>
      </w:r>
      <w:r w:rsidRPr="00A32418">
        <w:softHyphen/>
        <w:t>ning</w:t>
      </w:r>
      <w:r w:rsidRPr="00A32418">
        <w:softHyphen/>
        <w:t>en. Sys</w:t>
      </w:r>
      <w:r w:rsidRPr="00A32418">
        <w:softHyphen/>
        <w:t>sel</w:t>
      </w:r>
      <w:r w:rsidRPr="00A32418">
        <w:softHyphen/>
      </w:r>
      <w:r w:rsidRPr="00A32418">
        <w:softHyphen/>
        <w:t>sätt</w:t>
      </w:r>
      <w:r w:rsidRPr="00A32418">
        <w:softHyphen/>
        <w:t>nings</w:t>
      </w:r>
      <w:r w:rsidRPr="00A32418">
        <w:softHyphen/>
        <w:t>ökningar uppfattas av stödgivarna som det viktigaste att uppnå med den reg</w:t>
      </w:r>
      <w:r w:rsidRPr="00A32418">
        <w:t>i</w:t>
      </w:r>
      <w:r w:rsidRPr="00A32418">
        <w:t>onala stöd</w:t>
      </w:r>
      <w:r w:rsidRPr="00A32418">
        <w:softHyphen/>
        <w:t xml:space="preserve">givningen. </w:t>
      </w:r>
    </w:p>
    <w:p w:rsidR="00E635AD" w:rsidRPr="00A32418" w:rsidRDefault="00E635AD" w:rsidP="009F28E3">
      <w:pPr>
        <w:pStyle w:val="Rubrik3"/>
        <w:rPr>
          <w:noProof w:val="0"/>
        </w:rPr>
      </w:pPr>
      <w:bookmarkStart w:id="21" w:name="_Toc112138670"/>
      <w:r w:rsidRPr="00A32418">
        <w:rPr>
          <w:noProof w:val="0"/>
        </w:rPr>
        <w:t>Stödformerna saknar uppföljningsbara mål</w:t>
      </w:r>
      <w:bookmarkEnd w:id="21"/>
    </w:p>
    <w:p w:rsidR="00E635AD" w:rsidRPr="00A32418" w:rsidRDefault="00E635AD" w:rsidP="00E635AD">
      <w:r w:rsidRPr="00A32418">
        <w:t>Rege</w:t>
      </w:r>
      <w:r w:rsidRPr="00A32418">
        <w:softHyphen/>
        <w:t>ringens mål- och resultatstyrning innebär mål på tre nivåer</w:t>
      </w:r>
      <w:r w:rsidR="00A7604C" w:rsidRPr="00A32418">
        <w:t>:</w:t>
      </w:r>
      <w:r w:rsidRPr="00A32418">
        <w:t xml:space="preserve"> po</w:t>
      </w:r>
      <w:r w:rsidRPr="00A32418">
        <w:softHyphen/>
        <w:t>li</w:t>
      </w:r>
      <w:r w:rsidRPr="00A32418">
        <w:softHyphen/>
        <w:t>tik</w:t>
      </w:r>
      <w:r w:rsidRPr="00A32418">
        <w:softHyphen/>
        <w:t>om</w:t>
      </w:r>
      <w:r w:rsidRPr="00A32418">
        <w:softHyphen/>
        <w:t>råde, verksamhetsområde och verksamhetsgren. Riksrevisionens slutsats är att den fastställda målstrukturen inte utnyttjas för att formulera tydliga och mä</w:t>
      </w:r>
      <w:r w:rsidRPr="00A32418">
        <w:t>t</w:t>
      </w:r>
      <w:r w:rsidRPr="00A32418">
        <w:t>bara mål för de aktuella stödformerna. De un</w:t>
      </w:r>
      <w:r w:rsidRPr="00A32418">
        <w:softHyphen/>
        <w:t>der</w:t>
      </w:r>
      <w:r w:rsidRPr="00A32418">
        <w:softHyphen/>
      </w:r>
      <w:r w:rsidRPr="00A32418">
        <w:softHyphen/>
        <w:t>liggande målen för verk</w:t>
      </w:r>
      <w:r w:rsidRPr="00A32418">
        <w:softHyphen/>
        <w:t>samhetsgrenarna är sällan nedbrutna och tydli</w:t>
      </w:r>
      <w:r w:rsidRPr="00A32418">
        <w:softHyphen/>
        <w:t>gare än de mål som gäller för verksamhetsområdena. Målen är inte heller till</w:t>
      </w:r>
      <w:r w:rsidRPr="00A32418">
        <w:softHyphen/>
        <w:t>räckligt tydliga för att vara upp</w:t>
      </w:r>
      <w:r w:rsidRPr="00A32418">
        <w:softHyphen/>
        <w:t>följningsbara. Riksdagens och regeringens egna kriterier, om att mål ska vara specifika, mätbara, accepterade, realis</w:t>
      </w:r>
      <w:r w:rsidRPr="00A32418">
        <w:softHyphen/>
        <w:t>tis</w:t>
      </w:r>
      <w:r w:rsidRPr="00A32418">
        <w:softHyphen/>
        <w:t>ka och tidsatta, är därmed inte up</w:t>
      </w:r>
      <w:r w:rsidRPr="00A32418">
        <w:t>p</w:t>
      </w:r>
      <w:r w:rsidRPr="00A32418">
        <w:t>fyllda. Vidare framhåller Riksrevisionen att de berörda myndigheterna, Nutek och länsstyrelserna, har olika mål för sin stödgivning även då de hand</w:t>
      </w:r>
      <w:r w:rsidRPr="00A32418">
        <w:softHyphen/>
      </w:r>
      <w:r w:rsidRPr="00A32418">
        <w:softHyphen/>
        <w:t>lägger samma stödformer.</w:t>
      </w:r>
    </w:p>
    <w:p w:rsidR="00E635AD" w:rsidRPr="00A32418" w:rsidRDefault="00E635AD" w:rsidP="00E304B7">
      <w:pPr>
        <w:pStyle w:val="Rubrik3"/>
        <w:rPr>
          <w:noProof w:val="0"/>
        </w:rPr>
      </w:pPr>
      <w:bookmarkStart w:id="22" w:name="_Toc112138671"/>
      <w:r w:rsidRPr="00A32418">
        <w:rPr>
          <w:noProof w:val="0"/>
        </w:rPr>
        <w:t>Regeringens återrapporteringskrav har brister</w:t>
      </w:r>
      <w:bookmarkEnd w:id="22"/>
    </w:p>
    <w:p w:rsidR="00E635AD" w:rsidRPr="00A32418" w:rsidRDefault="00E635AD" w:rsidP="00E635AD">
      <w:r w:rsidRPr="00A32418">
        <w:t>Granskningen visar att det finns flera brister i regeringens krav på myndig</w:t>
      </w:r>
      <w:r w:rsidRPr="00A32418">
        <w:softHyphen/>
        <w:t>he</w:t>
      </w:r>
      <w:r w:rsidRPr="00A32418">
        <w:softHyphen/>
        <w:t>ternas återrapportering av företagsstöden. Rapporteringen är främst inrik</w:t>
      </w:r>
      <w:r w:rsidRPr="00A32418">
        <w:softHyphen/>
        <w:t>tad på två aspekter av den sociala dimensionen, nämligen sysselsättning och jämställdhet. Ekonomiska tillväxtfaktorer har hittills mätts enbart för ett av st</w:t>
      </w:r>
      <w:r w:rsidRPr="00A32418">
        <w:t>ö</w:t>
      </w:r>
      <w:r w:rsidRPr="00A32418">
        <w:t>den</w:t>
      </w:r>
      <w:r w:rsidR="00A7604C" w:rsidRPr="00A32418">
        <w:t xml:space="preserve"> </w:t>
      </w:r>
      <w:r w:rsidRPr="00A32418">
        <w:t xml:space="preserve">och den ekologiska dimensionen mäts inte alls i dag. </w:t>
      </w:r>
    </w:p>
    <w:p w:rsidR="00E635AD" w:rsidRPr="00A32418" w:rsidRDefault="00E635AD" w:rsidP="00E304B7">
      <w:pPr>
        <w:pStyle w:val="Normaltindrag"/>
      </w:pPr>
      <w:r w:rsidRPr="00A32418">
        <w:t>En ytterligare brist som noteras av Riksrevisionen är att det faktiska utfa</w:t>
      </w:r>
      <w:r w:rsidRPr="00A32418">
        <w:t>l</w:t>
      </w:r>
      <w:r w:rsidRPr="00A32418">
        <w:t>let av företagsstöden inte redovisas, utan endast förväntade värden. I vissa fall används också förväntade värden i två steg: först en förväntad sysselsätt</w:t>
      </w:r>
      <w:r w:rsidRPr="00A32418">
        <w:softHyphen/>
        <w:t>nings</w:t>
      </w:r>
      <w:r w:rsidRPr="00A32418">
        <w:softHyphen/>
      </w:r>
      <w:r w:rsidRPr="00A32418">
        <w:softHyphen/>
      </w:r>
      <w:r w:rsidRPr="00A32418">
        <w:softHyphen/>
      </w:r>
      <w:r w:rsidRPr="00A32418">
        <w:softHyphen/>
      </w:r>
      <w:r w:rsidRPr="00A32418">
        <w:softHyphen/>
        <w:t xml:space="preserve">ökning och sedan hur denna förväntas fördela sig på kön. </w:t>
      </w:r>
    </w:p>
    <w:p w:rsidR="00E635AD" w:rsidRPr="00A32418" w:rsidRDefault="00E635AD" w:rsidP="00593651">
      <w:pPr>
        <w:pStyle w:val="Normaltindrag"/>
      </w:pPr>
      <w:r w:rsidRPr="00A32418">
        <w:t>Återrapporteringen av projektverksamheten, det ekonomiskt största stödet, är enligt Riksrevisionen närmast obefintlig. Det saknas grundläggande upp</w:t>
      </w:r>
      <w:r w:rsidRPr="00A32418">
        <w:softHyphen/>
        <w:t>gifter om verksamheten. Det är i dag t.ex. inte möjligt att få fram sam</w:t>
      </w:r>
      <w:r w:rsidRPr="00A32418">
        <w:softHyphen/>
        <w:t>lade upp</w:t>
      </w:r>
      <w:r w:rsidRPr="00A32418">
        <w:softHyphen/>
        <w:t>gifter om i vilken grad projektmedlen medfinansieras av andra aktörer eller i vilken utsträckning medfinansiseringen är offentlig eller privat. Vida</w:t>
      </w:r>
      <w:r w:rsidRPr="00A32418">
        <w:softHyphen/>
        <w:t xml:space="preserve">re saknas en analys av utfallet i förhållande till målen såväl på aggregerad nivå som för de enskilda länsstyrelsernas stödgivning. </w:t>
      </w:r>
    </w:p>
    <w:p w:rsidR="00E635AD" w:rsidRPr="00A32418" w:rsidRDefault="00E635AD" w:rsidP="00593651">
      <w:pPr>
        <w:pStyle w:val="Rubrik3"/>
        <w:rPr>
          <w:noProof w:val="0"/>
        </w:rPr>
      </w:pPr>
      <w:bookmarkStart w:id="23" w:name="_Toc112138672"/>
      <w:r w:rsidRPr="00A32418">
        <w:rPr>
          <w:noProof w:val="0"/>
        </w:rPr>
        <w:t>Stödförordningarna är inte anpassade till målen</w:t>
      </w:r>
      <w:bookmarkEnd w:id="23"/>
      <w:r w:rsidRPr="00A32418">
        <w:rPr>
          <w:noProof w:val="0"/>
        </w:rPr>
        <w:t xml:space="preserve"> </w:t>
      </w:r>
    </w:p>
    <w:p w:rsidR="00E635AD" w:rsidRPr="00A32418" w:rsidRDefault="00E635AD" w:rsidP="00E635AD">
      <w:r w:rsidRPr="00A32418">
        <w:t>Mål- och resultatstyrningen innehåller också andra målformuleringar och and</w:t>
      </w:r>
      <w:r w:rsidRPr="00A32418">
        <w:softHyphen/>
        <w:t>ra målstrukturer än stödförordningarna. Den inbördes rela</w:t>
      </w:r>
      <w:r w:rsidRPr="00A32418">
        <w:softHyphen/>
        <w:t>tionen mellan målen och förordningarna blir därmed oklar. Vidare finns svårighe</w:t>
      </w:r>
      <w:r w:rsidRPr="00A32418">
        <w:softHyphen/>
        <w:t>ter med att anal</w:t>
      </w:r>
      <w:r w:rsidRPr="00A32418">
        <w:t>y</w:t>
      </w:r>
      <w:r w:rsidRPr="00A32418">
        <w:t>sera stöd</w:t>
      </w:r>
      <w:r w:rsidRPr="00A32418">
        <w:softHyphen/>
        <w:t>giv</w:t>
      </w:r>
      <w:r w:rsidRPr="00A32418">
        <w:softHyphen/>
        <w:t>ningens effekter för mål inom jäm</w:t>
      </w:r>
      <w:r w:rsidRPr="00A32418">
        <w:softHyphen/>
        <w:t>ställd</w:t>
      </w:r>
      <w:r w:rsidRPr="00A32418">
        <w:softHyphen/>
        <w:t>hetspolitiken. En</w:t>
      </w:r>
      <w:r w:rsidRPr="00A32418">
        <w:softHyphen/>
        <w:t>ligt de förordningar som gäller för regionalt utveck</w:t>
      </w:r>
      <w:r w:rsidRPr="00A32418">
        <w:softHyphen/>
        <w:t>lings</w:t>
      </w:r>
      <w:r w:rsidRPr="00A32418">
        <w:softHyphen/>
        <w:t>bidrag och syss</w:t>
      </w:r>
      <w:r w:rsidRPr="00A32418">
        <w:softHyphen/>
        <w:t>el</w:t>
      </w:r>
      <w:r w:rsidRPr="00A32418">
        <w:softHyphen/>
        <w:t xml:space="preserve">sättningsbidrag ska minst 40 </w:t>
      </w:r>
      <w:r w:rsidR="00A7604C" w:rsidRPr="00A32418">
        <w:t xml:space="preserve">% </w:t>
      </w:r>
      <w:r w:rsidRPr="00A32418">
        <w:t>av de nya ar</w:t>
      </w:r>
      <w:r w:rsidRPr="00A32418">
        <w:softHyphen/>
        <w:t>bets</w:t>
      </w:r>
      <w:r w:rsidRPr="00A32418">
        <w:softHyphen/>
        <w:t>tillfällena i varje en</w:t>
      </w:r>
      <w:r w:rsidRPr="00A32418">
        <w:softHyphen/>
        <w:t>skilt stö</w:t>
      </w:r>
      <w:r w:rsidRPr="00A32418">
        <w:t>d</w:t>
      </w:r>
      <w:r w:rsidRPr="00A32418">
        <w:t>ärende tillfalla vartdera könet. Riksrevisio</w:t>
      </w:r>
      <w:r w:rsidRPr="00A32418">
        <w:softHyphen/>
        <w:t>nen framhåller att detta krav i</w:t>
      </w:r>
      <w:r w:rsidRPr="00A32418">
        <w:t>n</w:t>
      </w:r>
      <w:r w:rsidRPr="00A32418">
        <w:t>skränker möjligheterna i stöd</w:t>
      </w:r>
      <w:r w:rsidRPr="00A32418">
        <w:softHyphen/>
        <w:t>givningen. Kravet anses inte möjligt att följa upp i varje enskilt fall och har i stället kommit att fungera som ett mål på aggreg</w:t>
      </w:r>
      <w:r w:rsidRPr="00A32418">
        <w:t>e</w:t>
      </w:r>
      <w:r w:rsidRPr="00A32418">
        <w:t xml:space="preserve">rad nivå. </w:t>
      </w:r>
    </w:p>
    <w:p w:rsidR="00E635AD" w:rsidRPr="00A32418" w:rsidRDefault="00E635AD" w:rsidP="00593651">
      <w:pPr>
        <w:pStyle w:val="Rubrik3"/>
        <w:rPr>
          <w:noProof w:val="0"/>
        </w:rPr>
      </w:pPr>
      <w:bookmarkStart w:id="24" w:name="_Toc112138673"/>
      <w:r w:rsidRPr="00A32418">
        <w:rPr>
          <w:noProof w:val="0"/>
        </w:rPr>
        <w:t>Återrapporteringen till riksdagen är otillräcklig</w:t>
      </w:r>
      <w:bookmarkEnd w:id="24"/>
      <w:r w:rsidRPr="00A32418">
        <w:rPr>
          <w:noProof w:val="0"/>
        </w:rPr>
        <w:t xml:space="preserve"> </w:t>
      </w:r>
    </w:p>
    <w:p w:rsidR="00E635AD" w:rsidRPr="00A32418" w:rsidRDefault="00E635AD" w:rsidP="00E635AD">
      <w:r w:rsidRPr="00A32418">
        <w:t>Regeringens återrapportering till riksdagen innehåller ingen redovisning av de samlade effekterna av de regionala företags</w:t>
      </w:r>
      <w:r w:rsidRPr="00A32418">
        <w:softHyphen/>
      </w:r>
      <w:r w:rsidRPr="00A32418">
        <w:softHyphen/>
        <w:t>stöden. Enligt Riks</w:t>
      </w:r>
      <w:r w:rsidRPr="00A32418">
        <w:softHyphen/>
        <w:t>revisio</w:t>
      </w:r>
      <w:r w:rsidRPr="00A32418">
        <w:softHyphen/>
        <w:t>nen är detta i huvudsak en kon</w:t>
      </w:r>
      <w:r w:rsidRPr="00A32418">
        <w:softHyphen/>
        <w:t>se</w:t>
      </w:r>
      <w:r w:rsidRPr="00A32418">
        <w:softHyphen/>
        <w:t>kvens av de nämnda bristerna i återrappor</w:t>
      </w:r>
      <w:r w:rsidRPr="00A32418">
        <w:softHyphen/>
        <w:t>te</w:t>
      </w:r>
      <w:r w:rsidRPr="00A32418">
        <w:softHyphen/>
        <w:t>ring</w:t>
      </w:r>
      <w:r w:rsidRPr="00A32418">
        <w:softHyphen/>
      </w:r>
      <w:r w:rsidRPr="00A32418">
        <w:softHyphen/>
      </w:r>
      <w:r w:rsidRPr="00A32418">
        <w:softHyphen/>
        <w:t>en från myndigheterna till regeringen. Vidare saknas ett redo</w:t>
      </w:r>
      <w:r w:rsidRPr="00A32418">
        <w:softHyphen/>
        <w:t>vis</w:t>
      </w:r>
      <w:r w:rsidRPr="00A32418">
        <w:softHyphen/>
        <w:t>nings</w:t>
      </w:r>
      <w:r w:rsidRPr="00A32418">
        <w:softHyphen/>
        <w:t>sys</w:t>
      </w:r>
      <w:r w:rsidRPr="00A32418">
        <w:softHyphen/>
        <w:t>tem som kan koppla ihop utgifter ett visst år med senare års resultat. Re</w:t>
      </w:r>
      <w:r w:rsidRPr="00A32418">
        <w:softHyphen/>
        <w:t>ge</w:t>
      </w:r>
      <w:r w:rsidRPr="00A32418">
        <w:softHyphen/>
      </w:r>
      <w:r w:rsidRPr="00A32418">
        <w:softHyphen/>
        <w:t>ringens årliga information till riksdagen innehåller i första hand upp</w:t>
      </w:r>
      <w:r w:rsidRPr="00A32418">
        <w:softHyphen/>
        <w:t>gif</w:t>
      </w:r>
      <w:r w:rsidRPr="00A32418">
        <w:softHyphen/>
        <w:t>ter om de stöd som beslutats under året. En</w:t>
      </w:r>
      <w:r w:rsidRPr="00A32418">
        <w:softHyphen/>
        <w:t>ligt Riksrevisionen är detta en brist då effekterna av stödgivningen även påverkas av beslut fattade under tidi</w:t>
      </w:r>
      <w:r w:rsidRPr="00A32418">
        <w:softHyphen/>
        <w:t>ga</w:t>
      </w:r>
      <w:r w:rsidRPr="00A32418">
        <w:softHyphen/>
        <w:t>re år. Någon sep</w:t>
      </w:r>
      <w:r w:rsidRPr="00A32418">
        <w:t>a</w:t>
      </w:r>
      <w:r w:rsidRPr="00A32418">
        <w:t xml:space="preserve">rat redovisning av projektverksamheten lämnas inte till riksdagen, trots de stora belopp som anslås till denna verksamhet. </w:t>
      </w:r>
    </w:p>
    <w:p w:rsidR="00E635AD" w:rsidRPr="00A32418" w:rsidRDefault="00E635AD" w:rsidP="00593651">
      <w:pPr>
        <w:pStyle w:val="Rubrik2"/>
      </w:pPr>
      <w:bookmarkStart w:id="25" w:name="_Toc112138674"/>
      <w:r w:rsidRPr="00A32418">
        <w:t>Riksrevisionens rekommendationer</w:t>
      </w:r>
      <w:bookmarkEnd w:id="25"/>
    </w:p>
    <w:p w:rsidR="00E635AD" w:rsidRPr="00A32418" w:rsidRDefault="00E635AD" w:rsidP="00E635AD">
      <w:r w:rsidRPr="00A32418">
        <w:t xml:space="preserve">Riksrevisionen har utformat ett antal rekommendationer som </w:t>
      </w:r>
      <w:r w:rsidR="00911ED8" w:rsidRPr="00A32418">
        <w:t xml:space="preserve">avser </w:t>
      </w:r>
      <w:r w:rsidR="00583DB8" w:rsidRPr="00A32418">
        <w:t>regerin</w:t>
      </w:r>
      <w:r w:rsidR="00583DB8" w:rsidRPr="00A32418">
        <w:t>g</w:t>
      </w:r>
      <w:r w:rsidR="00583DB8" w:rsidRPr="00A32418">
        <w:t xml:space="preserve">ens </w:t>
      </w:r>
      <w:r w:rsidR="00911ED8" w:rsidRPr="00A32418">
        <w:t>styrning och återrapportering av de</w:t>
      </w:r>
      <w:r w:rsidRPr="00A32418">
        <w:t xml:space="preserve"> regionala stöden. Enligt Riksrevisi</w:t>
      </w:r>
      <w:r w:rsidRPr="00A32418">
        <w:t>o</w:t>
      </w:r>
      <w:r w:rsidRPr="00A32418">
        <w:t>nen bör regeringen över</w:t>
      </w:r>
      <w:r w:rsidRPr="00A32418">
        <w:softHyphen/>
        <w:t>väga fö</w:t>
      </w:r>
      <w:r w:rsidRPr="00A32418">
        <w:t>l</w:t>
      </w:r>
      <w:r w:rsidRPr="00A32418">
        <w:t xml:space="preserve">jande: </w:t>
      </w:r>
    </w:p>
    <w:p w:rsidR="00E635AD" w:rsidRPr="00A32418" w:rsidRDefault="00E635AD" w:rsidP="00A7604C">
      <w:pPr>
        <w:numPr>
          <w:ilvl w:val="0"/>
          <w:numId w:val="11"/>
        </w:numPr>
        <w:tabs>
          <w:tab w:val="clear" w:pos="720"/>
          <w:tab w:val="num" w:pos="360"/>
        </w:tabs>
        <w:spacing w:before="0" w:line="240" w:lineRule="auto"/>
        <w:ind w:left="360"/>
        <w:rPr>
          <w:szCs w:val="19"/>
        </w:rPr>
      </w:pPr>
      <w:r w:rsidRPr="00A32418">
        <w:rPr>
          <w:szCs w:val="19"/>
        </w:rPr>
        <w:t>Att formulera mer konkreta och uppföljningsbara mål för stödfo</w:t>
      </w:r>
      <w:r w:rsidRPr="00A32418">
        <w:rPr>
          <w:szCs w:val="19"/>
        </w:rPr>
        <w:t>r</w:t>
      </w:r>
      <w:r w:rsidRPr="00A32418">
        <w:rPr>
          <w:szCs w:val="19"/>
        </w:rPr>
        <w:t>merna särskilt på verksamhetsgrensnivån. De uppföljningsbara m</w:t>
      </w:r>
      <w:r w:rsidRPr="00A32418">
        <w:rPr>
          <w:szCs w:val="19"/>
        </w:rPr>
        <w:t>å</w:t>
      </w:r>
      <w:r w:rsidRPr="00A32418">
        <w:rPr>
          <w:szCs w:val="19"/>
        </w:rPr>
        <w:t xml:space="preserve">len bör även bättre spegla de olika aspekterna av begreppet hållbar tillväxt. </w:t>
      </w:r>
    </w:p>
    <w:p w:rsidR="00E635AD" w:rsidRPr="00A32418" w:rsidRDefault="00E635AD" w:rsidP="00A7604C">
      <w:pPr>
        <w:numPr>
          <w:ilvl w:val="0"/>
          <w:numId w:val="11"/>
        </w:numPr>
        <w:tabs>
          <w:tab w:val="clear" w:pos="720"/>
          <w:tab w:val="num" w:pos="360"/>
        </w:tabs>
        <w:spacing w:before="0" w:line="240" w:lineRule="auto"/>
        <w:ind w:left="360"/>
        <w:rPr>
          <w:szCs w:val="19"/>
        </w:rPr>
      </w:pPr>
      <w:r w:rsidRPr="00A32418">
        <w:rPr>
          <w:szCs w:val="19"/>
        </w:rPr>
        <w:t>Att formulera målen så att de är lika för alla myndigheter som besl</w:t>
      </w:r>
      <w:r w:rsidRPr="00A32418">
        <w:rPr>
          <w:szCs w:val="19"/>
        </w:rPr>
        <w:t>u</w:t>
      </w:r>
      <w:r w:rsidRPr="00A32418">
        <w:rPr>
          <w:szCs w:val="19"/>
        </w:rPr>
        <w:t xml:space="preserve">tar om ett visst stöd. </w:t>
      </w:r>
    </w:p>
    <w:p w:rsidR="00AD5B1C" w:rsidRPr="00A32418" w:rsidRDefault="00E635AD" w:rsidP="00A7604C">
      <w:pPr>
        <w:numPr>
          <w:ilvl w:val="0"/>
          <w:numId w:val="11"/>
        </w:numPr>
        <w:tabs>
          <w:tab w:val="clear" w:pos="720"/>
          <w:tab w:val="num" w:pos="360"/>
        </w:tabs>
        <w:spacing w:before="0" w:line="240" w:lineRule="auto"/>
        <w:ind w:left="360"/>
      </w:pPr>
      <w:r w:rsidRPr="00A32418">
        <w:t>Att utveckla återrapporteringskraven för företagsstöd så att den eko</w:t>
      </w:r>
      <w:r w:rsidRPr="00A32418">
        <w:softHyphen/>
        <w:t>no</w:t>
      </w:r>
      <w:r w:rsidRPr="00A32418">
        <w:softHyphen/>
        <w:t>miska och den ekologiska dimensionen ingår i återra</w:t>
      </w:r>
      <w:r w:rsidRPr="00A32418">
        <w:t>p</w:t>
      </w:r>
      <w:r w:rsidRPr="00A32418">
        <w:t xml:space="preserve">porteringen. </w:t>
      </w:r>
    </w:p>
    <w:p w:rsidR="00AD5B1C" w:rsidRPr="00A32418" w:rsidRDefault="00E635AD" w:rsidP="00A7604C">
      <w:pPr>
        <w:numPr>
          <w:ilvl w:val="0"/>
          <w:numId w:val="11"/>
        </w:numPr>
        <w:tabs>
          <w:tab w:val="clear" w:pos="720"/>
          <w:tab w:val="num" w:pos="360"/>
        </w:tabs>
        <w:spacing w:before="0" w:line="240" w:lineRule="auto"/>
        <w:ind w:left="360"/>
      </w:pPr>
      <w:r w:rsidRPr="00A32418">
        <w:t>Att utveckla återrapporteringskraven och indikatorerna för företags</w:t>
      </w:r>
      <w:r w:rsidRPr="00A32418">
        <w:softHyphen/>
        <w:t>stö</w:t>
      </w:r>
      <w:r w:rsidRPr="00A32418">
        <w:softHyphen/>
        <w:t xml:space="preserve">den så att dessa består av krav på redovisning av verkliga utfall. </w:t>
      </w:r>
    </w:p>
    <w:p w:rsidR="00AD5B1C" w:rsidRPr="00A32418" w:rsidRDefault="00E635AD" w:rsidP="00A7604C">
      <w:pPr>
        <w:numPr>
          <w:ilvl w:val="0"/>
          <w:numId w:val="11"/>
        </w:numPr>
        <w:tabs>
          <w:tab w:val="clear" w:pos="720"/>
          <w:tab w:val="num" w:pos="360"/>
        </w:tabs>
        <w:spacing w:before="0" w:line="240" w:lineRule="auto"/>
        <w:ind w:left="360"/>
      </w:pPr>
      <w:r w:rsidRPr="00A32418">
        <w:t>Att utforma återrapporteringskraven för projektverksamheten på ett så</w:t>
      </w:r>
      <w:r w:rsidR="00A7604C" w:rsidRPr="00A32418">
        <w:softHyphen/>
      </w:r>
      <w:r w:rsidRPr="00A32418">
        <w:t>dant sätt att de kan ge en samlad bild av utfallet av de anslagsmedel som an</w:t>
      </w:r>
      <w:r w:rsidR="00A7604C" w:rsidRPr="00A32418">
        <w:softHyphen/>
      </w:r>
      <w:r w:rsidRPr="00A32418">
        <w:t>vänds till pro</w:t>
      </w:r>
      <w:r w:rsidRPr="00A32418">
        <w:softHyphen/>
        <w:t>jektverksamhet. Det bör t.ex. redovisas hur stor del av projektmedlen som är offentligt finansierade och där offentlig sektor är mot</w:t>
      </w:r>
      <w:r w:rsidR="00A7604C" w:rsidRPr="00A32418">
        <w:softHyphen/>
      </w:r>
      <w:r w:rsidRPr="00A32418">
        <w:t xml:space="preserve">tagare av stödet. </w:t>
      </w:r>
    </w:p>
    <w:p w:rsidR="00AD5B1C" w:rsidRPr="00A32418" w:rsidRDefault="00E635AD" w:rsidP="00A7604C">
      <w:pPr>
        <w:numPr>
          <w:ilvl w:val="0"/>
          <w:numId w:val="11"/>
        </w:numPr>
        <w:tabs>
          <w:tab w:val="clear" w:pos="720"/>
          <w:tab w:val="num" w:pos="360"/>
        </w:tabs>
        <w:spacing w:before="0" w:line="240" w:lineRule="auto"/>
        <w:ind w:left="360"/>
      </w:pPr>
      <w:r w:rsidRPr="00A32418">
        <w:t>Att bättre anpassa innehållet i förordningarna för stödformerna till mål- och resultatstyrningen. Vidare bör övervägas att utforma kön</w:t>
      </w:r>
      <w:r w:rsidRPr="00A32418">
        <w:t>s</w:t>
      </w:r>
      <w:r w:rsidRPr="00A32418">
        <w:t>kvote</w:t>
      </w:r>
      <w:r w:rsidRPr="00A32418">
        <w:softHyphen/>
        <w:t>rings</w:t>
      </w:r>
      <w:r w:rsidRPr="00A32418">
        <w:softHyphen/>
      </w:r>
      <w:r w:rsidRPr="00A32418">
        <w:softHyphen/>
      </w:r>
      <w:r w:rsidRPr="00A32418">
        <w:softHyphen/>
        <w:t>villkoret i förordningarna för regionalt utvecklingsbidrag och sysselsät</w:t>
      </w:r>
      <w:r w:rsidRPr="00A32418">
        <w:t>t</w:t>
      </w:r>
      <w:r w:rsidRPr="00A32418">
        <w:t>ningsbidrag som ett mål på a</w:t>
      </w:r>
      <w:r w:rsidRPr="00A32418">
        <w:t>g</w:t>
      </w:r>
      <w:r w:rsidRPr="00A32418">
        <w:t xml:space="preserve">gregerad nivå. </w:t>
      </w:r>
    </w:p>
    <w:p w:rsidR="00E635AD" w:rsidRPr="00A32418" w:rsidRDefault="00E635AD" w:rsidP="00A7604C">
      <w:pPr>
        <w:numPr>
          <w:ilvl w:val="0"/>
          <w:numId w:val="11"/>
        </w:numPr>
        <w:tabs>
          <w:tab w:val="clear" w:pos="720"/>
          <w:tab w:val="num" w:pos="360"/>
        </w:tabs>
        <w:spacing w:before="0" w:line="240" w:lineRule="auto"/>
        <w:ind w:left="360"/>
        <w:rPr>
          <w:szCs w:val="19"/>
        </w:rPr>
      </w:pPr>
      <w:r w:rsidRPr="00A32418">
        <w:rPr>
          <w:szCs w:val="19"/>
        </w:rPr>
        <w:t>Att utveckla den årliga informationen till riksdagen rörande både f</w:t>
      </w:r>
      <w:r w:rsidRPr="00A32418">
        <w:rPr>
          <w:szCs w:val="19"/>
        </w:rPr>
        <w:t>ö</w:t>
      </w:r>
      <w:r w:rsidRPr="00A32418">
        <w:rPr>
          <w:szCs w:val="19"/>
        </w:rPr>
        <w:t>re</w:t>
      </w:r>
      <w:r w:rsidRPr="00A32418">
        <w:rPr>
          <w:szCs w:val="19"/>
        </w:rPr>
        <w:softHyphen/>
        <w:t>tags</w:t>
      </w:r>
      <w:r w:rsidRPr="00A32418">
        <w:rPr>
          <w:szCs w:val="19"/>
        </w:rPr>
        <w:softHyphen/>
      </w:r>
      <w:r w:rsidRPr="00A32418">
        <w:rPr>
          <w:szCs w:val="19"/>
        </w:rPr>
        <w:softHyphen/>
        <w:t>stöd och projektverksamhet så att resultat och effekter i förhållande till uppsatta mål redovisas. I detta ligger också att utveckla r</w:t>
      </w:r>
      <w:r w:rsidRPr="00A32418">
        <w:rPr>
          <w:szCs w:val="19"/>
        </w:rPr>
        <w:t>e</w:t>
      </w:r>
      <w:r w:rsidRPr="00A32418">
        <w:rPr>
          <w:szCs w:val="19"/>
        </w:rPr>
        <w:t>dovisnings</w:t>
      </w:r>
      <w:r w:rsidRPr="00A32418">
        <w:rPr>
          <w:szCs w:val="19"/>
        </w:rPr>
        <w:softHyphen/>
        <w:t>systemen så att infor</w:t>
      </w:r>
      <w:r w:rsidRPr="00A32418">
        <w:rPr>
          <w:szCs w:val="19"/>
        </w:rPr>
        <w:softHyphen/>
        <w:t>ma</w:t>
      </w:r>
      <w:r w:rsidRPr="00A32418">
        <w:rPr>
          <w:szCs w:val="19"/>
        </w:rPr>
        <w:softHyphen/>
      </w:r>
      <w:r w:rsidRPr="00A32418">
        <w:rPr>
          <w:szCs w:val="19"/>
        </w:rPr>
        <w:softHyphen/>
      </w:r>
      <w:r w:rsidRPr="00A32418">
        <w:rPr>
          <w:szCs w:val="19"/>
        </w:rPr>
        <w:softHyphen/>
      </w:r>
      <w:r w:rsidRPr="00A32418">
        <w:rPr>
          <w:szCs w:val="19"/>
        </w:rPr>
        <w:softHyphen/>
      </w:r>
      <w:r w:rsidRPr="00A32418">
        <w:rPr>
          <w:szCs w:val="19"/>
        </w:rPr>
        <w:softHyphen/>
        <w:t xml:space="preserve">tion ges om stöd beslutade under tidigare år. </w:t>
      </w:r>
    </w:p>
    <w:p w:rsidR="00FB646E" w:rsidRPr="00A32418" w:rsidRDefault="00FB646E" w:rsidP="00A7604C"/>
    <w:p w:rsidR="00FB646E" w:rsidRPr="00A32418" w:rsidRDefault="00FB646E" w:rsidP="00FB646E">
      <w:pPr>
        <w:pStyle w:val="Normaltindrag"/>
        <w:sectPr w:rsidR="00FB646E" w:rsidRPr="00A3241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FB646E" w:rsidRPr="00A32418" w:rsidRDefault="00FB646E" w:rsidP="00FB646E">
      <w:pPr>
        <w:pStyle w:val="Rubrik1"/>
        <w:rPr>
          <w:noProof w:val="0"/>
        </w:rPr>
      </w:pPr>
      <w:bookmarkStart w:id="26" w:name="_Toc112138675"/>
      <w:r w:rsidRPr="00A32418">
        <w:rPr>
          <w:noProof w:val="0"/>
        </w:rPr>
        <w:t>Styrelsens överväganden</w:t>
      </w:r>
      <w:bookmarkEnd w:id="26"/>
    </w:p>
    <w:p w:rsidR="00FB646E" w:rsidRPr="00A32418" w:rsidRDefault="00890B0C" w:rsidP="00FB646E">
      <w:r w:rsidRPr="00A32418">
        <w:t>Riksrevisionens styrelse har funnit att slutsatserna av den granskning som Riksrevisi</w:t>
      </w:r>
      <w:r w:rsidR="00A16D0C" w:rsidRPr="00A32418">
        <w:t>o</w:t>
      </w:r>
      <w:r w:rsidRPr="00A32418">
        <w:t xml:space="preserve">nen redovisat i rapporten </w:t>
      </w:r>
      <w:r w:rsidR="00A7604C" w:rsidRPr="00A32418">
        <w:t>RiR 2005:6</w:t>
      </w:r>
      <w:r w:rsidRPr="00A32418">
        <w:t xml:space="preserve"> </w:t>
      </w:r>
      <w:r w:rsidRPr="00A32418">
        <w:rPr>
          <w:i/>
        </w:rPr>
        <w:t>Regionala stöd – styrs de mot ökad tillväxt?</w:t>
      </w:r>
      <w:r w:rsidRPr="00A32418">
        <w:t xml:space="preserve"> bör överlämnas till riksdagen i form av en redogörelse. I anslu</w:t>
      </w:r>
      <w:r w:rsidRPr="00A32418">
        <w:t>t</w:t>
      </w:r>
      <w:r w:rsidRPr="00A32418">
        <w:t xml:space="preserve">ning härtill </w:t>
      </w:r>
      <w:r w:rsidR="001F6430" w:rsidRPr="00A32418">
        <w:t>vill styrelsen anföra följande.</w:t>
      </w:r>
    </w:p>
    <w:p w:rsidR="009C0860" w:rsidRPr="00A32418" w:rsidRDefault="004D3581" w:rsidP="00F82799">
      <w:pPr>
        <w:pStyle w:val="Normaltindrag"/>
      </w:pPr>
      <w:r w:rsidRPr="00A32418">
        <w:t>Ett huvudresultat av Riksrevisionens granskning är att de regionala stöden inte styrs på ett konsekvent sätt, bl.a. därför att målen är otydliga. Målrelat</w:t>
      </w:r>
      <w:r w:rsidRPr="00A32418">
        <w:t>e</w:t>
      </w:r>
      <w:r w:rsidRPr="00A32418">
        <w:t>rad uppföljning är därför inte möjlig. När det gäll</w:t>
      </w:r>
      <w:r w:rsidR="00F82799" w:rsidRPr="00A32418">
        <w:t>e</w:t>
      </w:r>
      <w:r w:rsidRPr="00A32418">
        <w:t>r den största av stödfo</w:t>
      </w:r>
      <w:r w:rsidRPr="00A32418">
        <w:t>r</w:t>
      </w:r>
      <w:r w:rsidRPr="00A32418">
        <w:t>mer</w:t>
      </w:r>
      <w:r w:rsidR="00A7604C" w:rsidRPr="00A32418">
        <w:softHyphen/>
      </w:r>
      <w:r w:rsidRPr="00A32418">
        <w:t>na – projektverksamheten</w:t>
      </w:r>
      <w:r w:rsidR="00E22572" w:rsidRPr="00A32418">
        <w:t xml:space="preserve"> </w:t>
      </w:r>
      <w:r w:rsidRPr="00A32418">
        <w:t>– saknas t</w:t>
      </w:r>
      <w:r w:rsidR="00A7604C" w:rsidRPr="00A32418">
        <w:t>.</w:t>
      </w:r>
      <w:r w:rsidRPr="00A32418">
        <w:t xml:space="preserve"> o</w:t>
      </w:r>
      <w:r w:rsidR="00A7604C" w:rsidRPr="00A32418">
        <w:t xml:space="preserve">. </w:t>
      </w:r>
      <w:r w:rsidRPr="00A32418">
        <w:t>m</w:t>
      </w:r>
      <w:r w:rsidR="00A7604C" w:rsidRPr="00A32418">
        <w:t>.</w:t>
      </w:r>
      <w:r w:rsidRPr="00A32418">
        <w:t xml:space="preserve"> grundläggande inform</w:t>
      </w:r>
      <w:r w:rsidRPr="00A32418">
        <w:t>a</w:t>
      </w:r>
      <w:r w:rsidRPr="00A32418">
        <w:t xml:space="preserve">tion </w:t>
      </w:r>
      <w:r w:rsidR="00AB37E7" w:rsidRPr="00A32418">
        <w:t>om vad pengarna använt</w:t>
      </w:r>
      <w:r w:rsidR="00F82799" w:rsidRPr="00A32418">
        <w:t xml:space="preserve">s till. </w:t>
      </w:r>
      <w:r w:rsidR="00E22572" w:rsidRPr="00A32418">
        <w:t>En konsekvens av detta är att man inte vet om den tillväxtinriktning av stöden som åsyftades med de beslut som fattades år 1997 resp</w:t>
      </w:r>
      <w:r w:rsidR="00A7604C" w:rsidRPr="00A32418">
        <w:t>ektive</w:t>
      </w:r>
      <w:r w:rsidR="00E22572" w:rsidRPr="00A32418">
        <w:t xml:space="preserve"> 2001 har fått något genomslag i praktiken. </w:t>
      </w:r>
    </w:p>
    <w:p w:rsidR="00F82799" w:rsidRPr="00A32418" w:rsidRDefault="00E22572" w:rsidP="00F82799">
      <w:pPr>
        <w:pStyle w:val="Normaltindrag"/>
      </w:pPr>
      <w:r w:rsidRPr="00A32418">
        <w:t xml:space="preserve">Som följd av oklarheterna rörande projektverksamheten har </w:t>
      </w:r>
      <w:r w:rsidR="00F82799" w:rsidRPr="00A32418">
        <w:t>Riksrevisi</w:t>
      </w:r>
      <w:r w:rsidR="00F82799" w:rsidRPr="00A32418">
        <w:t>o</w:t>
      </w:r>
      <w:r w:rsidR="00F82799" w:rsidRPr="00A32418">
        <w:t xml:space="preserve">nen tagit initiativ till en fördjupad granskning av </w:t>
      </w:r>
      <w:r w:rsidRPr="00A32418">
        <w:t xml:space="preserve">denna typ av stöd. </w:t>
      </w:r>
      <w:r w:rsidR="002470DC" w:rsidRPr="00A32418">
        <w:t>Denna nya gransk</w:t>
      </w:r>
      <w:r w:rsidR="002A6889" w:rsidRPr="00A32418">
        <w:softHyphen/>
      </w:r>
      <w:r w:rsidR="002470DC" w:rsidRPr="00A32418">
        <w:t xml:space="preserve">ning väntas bli klar i </w:t>
      </w:r>
      <w:r w:rsidR="00AA2388" w:rsidRPr="00A32418">
        <w:t>slutet av år 2005</w:t>
      </w:r>
      <w:r w:rsidR="002470DC" w:rsidRPr="00A32418">
        <w:t>.</w:t>
      </w:r>
    </w:p>
    <w:p w:rsidR="00AB37E7" w:rsidRPr="00A32418" w:rsidRDefault="00F82799" w:rsidP="00EC2573">
      <w:pPr>
        <w:pStyle w:val="Normaltindrag"/>
      </w:pPr>
      <w:r w:rsidRPr="00A32418">
        <w:t>Styrelsen</w:t>
      </w:r>
      <w:r w:rsidR="00353DE1" w:rsidRPr="00A32418">
        <w:t xml:space="preserve"> noterar att den regionala utvecklingspolitiken </w:t>
      </w:r>
      <w:r w:rsidR="00185CB6" w:rsidRPr="00A32418">
        <w:t>för närvarande är oklar och att det finns ett behov av ökad tydlighet i den regionala stödgi</w:t>
      </w:r>
      <w:r w:rsidR="00185CB6" w:rsidRPr="00A32418">
        <w:t>v</w:t>
      </w:r>
      <w:r w:rsidR="00185CB6" w:rsidRPr="00A32418">
        <w:t xml:space="preserve">ningen. </w:t>
      </w:r>
      <w:r w:rsidR="005A4044" w:rsidRPr="00A32418">
        <w:t>Styrelsen vill särskilt peka på behovet av uppföljning som grund för politikens utformning</w:t>
      </w:r>
      <w:r w:rsidR="00333FF2" w:rsidRPr="00A32418">
        <w:t xml:space="preserve"> och fortsatta utveckling</w:t>
      </w:r>
      <w:r w:rsidR="005A4044" w:rsidRPr="00A32418">
        <w:t>. Fö</w:t>
      </w:r>
      <w:r w:rsidR="00185CB6" w:rsidRPr="00A32418">
        <w:t>r att begrep</w:t>
      </w:r>
      <w:r w:rsidR="00F8431D" w:rsidRPr="00A32418">
        <w:softHyphen/>
      </w:r>
      <w:r w:rsidR="00185CB6" w:rsidRPr="00A32418">
        <w:t>pet regional u</w:t>
      </w:r>
      <w:r w:rsidR="00185CB6" w:rsidRPr="00A32418">
        <w:t>t</w:t>
      </w:r>
      <w:r w:rsidR="00555B52" w:rsidRPr="00A32418">
        <w:softHyphen/>
      </w:r>
      <w:r w:rsidR="00185CB6" w:rsidRPr="00A32418">
        <w:t>veck</w:t>
      </w:r>
      <w:r w:rsidR="00555B52" w:rsidRPr="00A32418">
        <w:softHyphen/>
      </w:r>
      <w:r w:rsidR="00185CB6" w:rsidRPr="00A32418">
        <w:t>lingspolitik ska få en konkret innebörd</w:t>
      </w:r>
      <w:r w:rsidR="00F8431D" w:rsidRPr="00A32418">
        <w:t xml:space="preserve"> </w:t>
      </w:r>
      <w:r w:rsidR="00185CB6" w:rsidRPr="00A32418">
        <w:t xml:space="preserve">måste politikens </w:t>
      </w:r>
      <w:r w:rsidR="00EC2573" w:rsidRPr="00A32418">
        <w:t>innehåll och in</w:t>
      </w:r>
      <w:r w:rsidR="00555B52" w:rsidRPr="00A32418">
        <w:softHyphen/>
      </w:r>
      <w:r w:rsidR="00EC2573" w:rsidRPr="00A32418">
        <w:t>rikt</w:t>
      </w:r>
      <w:r w:rsidR="00DC79FC" w:rsidRPr="00A32418">
        <w:softHyphen/>
      </w:r>
      <w:r w:rsidR="00EC2573" w:rsidRPr="00A32418">
        <w:t xml:space="preserve">ning </w:t>
      </w:r>
      <w:r w:rsidR="00185CB6" w:rsidRPr="00A32418">
        <w:t>på fältet kunna be</w:t>
      </w:r>
      <w:r w:rsidR="00333FF2" w:rsidRPr="00A32418">
        <w:softHyphen/>
      </w:r>
      <w:r w:rsidR="00185CB6" w:rsidRPr="00A32418">
        <w:t>skri</w:t>
      </w:r>
      <w:r w:rsidR="00333FF2" w:rsidRPr="00A32418">
        <w:softHyphen/>
      </w:r>
      <w:r w:rsidR="00185CB6" w:rsidRPr="00A32418">
        <w:t xml:space="preserve">vas med empiriska data. </w:t>
      </w:r>
      <w:r w:rsidR="00AB37E7" w:rsidRPr="00A32418">
        <w:t xml:space="preserve">Utan uppföljning finns, i ett längre tidsperspektiv, </w:t>
      </w:r>
      <w:r w:rsidR="005A4044" w:rsidRPr="00A32418">
        <w:t>en risk för att politiska målformulering</w:t>
      </w:r>
      <w:r w:rsidR="00EC2573" w:rsidRPr="00A32418">
        <w:softHyphen/>
      </w:r>
      <w:r w:rsidR="005A4044" w:rsidRPr="00A32418">
        <w:softHyphen/>
        <w:t>ar bli to</w:t>
      </w:r>
      <w:r w:rsidR="005A4044" w:rsidRPr="00A32418">
        <w:t>m</w:t>
      </w:r>
      <w:r w:rsidR="005A4044" w:rsidRPr="00A32418">
        <w:t>ma på inn</w:t>
      </w:r>
      <w:r w:rsidR="005A4044" w:rsidRPr="00A32418">
        <w:t>e</w:t>
      </w:r>
      <w:r w:rsidR="00AB37E7" w:rsidRPr="00A32418">
        <w:t>håll.</w:t>
      </w:r>
    </w:p>
    <w:p w:rsidR="00AB37E7" w:rsidRPr="00A32418" w:rsidRDefault="00AB37E7" w:rsidP="00AB37E7">
      <w:pPr>
        <w:pStyle w:val="Normaltindrag"/>
      </w:pPr>
      <w:r w:rsidRPr="00A32418">
        <w:t>Kritiken i Riksrevisionens rapport handlar om tillämpningen av mål- och resultatstyrningen på de regionala stöden. Mål- och resultatstyrningens läm</w:t>
      </w:r>
      <w:r w:rsidRPr="00A32418">
        <w:t>p</w:t>
      </w:r>
      <w:r w:rsidRPr="00A32418">
        <w:t>lighet som styrmo</w:t>
      </w:r>
      <w:r w:rsidRPr="00A32418">
        <w:softHyphen/>
        <w:t>dell för de regio</w:t>
      </w:r>
      <w:r w:rsidRPr="00A32418">
        <w:softHyphen/>
        <w:t>nala stö</w:t>
      </w:r>
      <w:r w:rsidR="005C5B9E" w:rsidRPr="00A32418">
        <w:t>den har dock inte granskats</w:t>
      </w:r>
      <w:r w:rsidRPr="00A32418">
        <w:t>. Styre</w:t>
      </w:r>
      <w:r w:rsidRPr="00A32418">
        <w:t>l</w:t>
      </w:r>
      <w:r w:rsidRPr="00A32418">
        <w:t xml:space="preserve">sen vill här peka på </w:t>
      </w:r>
      <w:r w:rsidR="001F6430" w:rsidRPr="00A32418">
        <w:t xml:space="preserve">att det kan finnas styrmetoder </w:t>
      </w:r>
      <w:r w:rsidRPr="00A32418">
        <w:t>som inte förutsätter deta</w:t>
      </w:r>
      <w:r w:rsidRPr="00A32418">
        <w:t>l</w:t>
      </w:r>
      <w:r w:rsidRPr="00A32418">
        <w:t>je</w:t>
      </w:r>
      <w:r w:rsidR="005C5B9E" w:rsidRPr="00A32418">
        <w:softHyphen/>
      </w:r>
      <w:r w:rsidRPr="00A32418">
        <w:t>rade målformuleringar</w:t>
      </w:r>
      <w:r w:rsidR="005C5B9E" w:rsidRPr="00A32418">
        <w:t>.</w:t>
      </w:r>
      <w:r w:rsidRPr="00A32418">
        <w:t xml:space="preserve"> </w:t>
      </w:r>
      <w:r w:rsidR="005C5B9E" w:rsidRPr="00A32418">
        <w:t>U</w:t>
      </w:r>
      <w:r w:rsidRPr="00A32418">
        <w:t>ppföljningar kan göras även för verksamh</w:t>
      </w:r>
      <w:r w:rsidRPr="00A32418">
        <w:t>e</w:t>
      </w:r>
      <w:r w:rsidRPr="00A32418">
        <w:t>ter med otyd</w:t>
      </w:r>
      <w:r w:rsidRPr="00A32418">
        <w:softHyphen/>
      </w:r>
      <w:r w:rsidRPr="00A32418">
        <w:softHyphen/>
        <w:t>liga eller flerdime</w:t>
      </w:r>
      <w:r w:rsidRPr="00A32418">
        <w:t>n</w:t>
      </w:r>
      <w:r w:rsidRPr="00A32418">
        <w:t xml:space="preserve">sionella mål. </w:t>
      </w:r>
    </w:p>
    <w:p w:rsidR="006B59A9" w:rsidRPr="00A32418" w:rsidRDefault="00E22572" w:rsidP="00FB646E">
      <w:pPr>
        <w:pStyle w:val="Normaltindrag"/>
      </w:pPr>
      <w:r w:rsidRPr="00A32418">
        <w:t>M</w:t>
      </w:r>
      <w:r w:rsidR="00BF47C8" w:rsidRPr="00A32418">
        <w:t xml:space="preserve">ål- och resultatstyrningen har </w:t>
      </w:r>
      <w:r w:rsidR="00C8168E" w:rsidRPr="00A32418">
        <w:t xml:space="preserve">länge </w:t>
      </w:r>
      <w:r w:rsidR="00BF47C8" w:rsidRPr="00A32418">
        <w:t xml:space="preserve">varit föremål för </w:t>
      </w:r>
      <w:r w:rsidR="00C8168E" w:rsidRPr="00A32418">
        <w:t>kritik på såväl pri</w:t>
      </w:r>
      <w:r w:rsidR="00C8168E" w:rsidRPr="00A32418">
        <w:t>n</w:t>
      </w:r>
      <w:r w:rsidR="00C8168E" w:rsidRPr="00A32418">
        <w:t xml:space="preserve">cipiella som praktiska grunder. </w:t>
      </w:r>
      <w:r w:rsidR="00BF47C8" w:rsidRPr="00A32418">
        <w:t>Finansutskot</w:t>
      </w:r>
      <w:r w:rsidR="00C8168E" w:rsidRPr="00A32418">
        <w:softHyphen/>
      </w:r>
      <w:r w:rsidR="00BF47C8" w:rsidRPr="00A32418">
        <w:t xml:space="preserve">tet föreslog </w:t>
      </w:r>
      <w:r w:rsidR="00C8168E" w:rsidRPr="00A32418">
        <w:t xml:space="preserve">därför </w:t>
      </w:r>
      <w:r w:rsidR="00BF47C8" w:rsidRPr="00A32418">
        <w:t>år 2002 att Riksd</w:t>
      </w:r>
      <w:r w:rsidR="00B827BD" w:rsidRPr="00A32418">
        <w:t>agens rev</w:t>
      </w:r>
      <w:r w:rsidR="00B827BD" w:rsidRPr="00A32418">
        <w:t>i</w:t>
      </w:r>
      <w:r w:rsidR="00B827BD" w:rsidRPr="00A32418">
        <w:t>sorer skulle grans</w:t>
      </w:r>
      <w:r w:rsidR="009C0860" w:rsidRPr="00A32418">
        <w:softHyphen/>
      </w:r>
      <w:r w:rsidR="00B827BD" w:rsidRPr="00A32418">
        <w:t>ka</w:t>
      </w:r>
      <w:r w:rsidR="00BF47C8" w:rsidRPr="00A32418">
        <w:t xml:space="preserve"> mål- och resultatstyrningen (</w:t>
      </w:r>
      <w:r w:rsidR="00B827BD" w:rsidRPr="00A32418">
        <w:t>PM 2002-04-17</w:t>
      </w:r>
      <w:r w:rsidR="00BF47C8" w:rsidRPr="00A32418">
        <w:t xml:space="preserve">). </w:t>
      </w:r>
      <w:r w:rsidR="00CB15E7" w:rsidRPr="00A32418">
        <w:t>På grund av den nära förestående ombildningen av den statliga rev</w:t>
      </w:r>
      <w:r w:rsidR="00CB15E7" w:rsidRPr="00A32418">
        <w:t>i</w:t>
      </w:r>
      <w:r w:rsidR="00CB15E7" w:rsidRPr="00A32418">
        <w:t>sionen kom n</w:t>
      </w:r>
      <w:r w:rsidR="00C8168E" w:rsidRPr="00A32418">
        <w:t xml:space="preserve">ågon sådan granskning </w:t>
      </w:r>
      <w:r w:rsidR="00CB15E7" w:rsidRPr="00A32418">
        <w:t>dock inte</w:t>
      </w:r>
      <w:r w:rsidR="00C8168E" w:rsidRPr="00A32418">
        <w:t xml:space="preserve"> att genomföras. </w:t>
      </w:r>
      <w:r w:rsidR="00BF47C8" w:rsidRPr="00A32418">
        <w:t>År 2004 pr</w:t>
      </w:r>
      <w:r w:rsidR="00BF47C8" w:rsidRPr="00A32418">
        <w:t>e</w:t>
      </w:r>
      <w:r w:rsidR="00BF47C8" w:rsidRPr="00A32418">
        <w:t xml:space="preserve">senterades en avhandling som kritiskt </w:t>
      </w:r>
      <w:r w:rsidR="00163917" w:rsidRPr="00A32418">
        <w:t xml:space="preserve">analyserar </w:t>
      </w:r>
      <w:r w:rsidR="001F6430" w:rsidRPr="00A32418">
        <w:t>resultatst</w:t>
      </w:r>
      <w:r w:rsidR="00BF47C8" w:rsidRPr="00A32418">
        <w:t>yrningens fra</w:t>
      </w:r>
      <w:r w:rsidR="00BF47C8" w:rsidRPr="00A32418">
        <w:t>m</w:t>
      </w:r>
      <w:r w:rsidR="00BF47C8" w:rsidRPr="00A32418">
        <w:t>växt i ett historisk</w:t>
      </w:r>
      <w:r w:rsidR="001F6430" w:rsidRPr="00A32418">
        <w:t>t</w:t>
      </w:r>
      <w:r w:rsidR="00BF47C8" w:rsidRPr="00A32418">
        <w:t>-instiu</w:t>
      </w:r>
      <w:r w:rsidR="00C865AA" w:rsidRPr="00A32418">
        <w:softHyphen/>
      </w:r>
      <w:r w:rsidR="00BF47C8" w:rsidRPr="00A32418">
        <w:t>tio</w:t>
      </w:r>
      <w:r w:rsidR="00C865AA" w:rsidRPr="00A32418">
        <w:softHyphen/>
      </w:r>
      <w:r w:rsidR="00BF47C8" w:rsidRPr="00A32418">
        <w:t>nellt pers</w:t>
      </w:r>
      <w:r w:rsidR="009C0860" w:rsidRPr="00A32418">
        <w:softHyphen/>
      </w:r>
      <w:r w:rsidR="00BF47C8" w:rsidRPr="00A32418">
        <w:t>pektiv (</w:t>
      </w:r>
      <w:r w:rsidR="00BF47C8" w:rsidRPr="00A32418">
        <w:rPr>
          <w:i/>
        </w:rPr>
        <w:t>Stat på villovägar</w:t>
      </w:r>
      <w:r w:rsidR="00BF47C8" w:rsidRPr="00A32418">
        <w:t xml:space="preserve"> av Göran Sun</w:t>
      </w:r>
      <w:r w:rsidR="00BF47C8" w:rsidRPr="00A32418">
        <w:t>d</w:t>
      </w:r>
      <w:r w:rsidR="00BF47C8" w:rsidRPr="00A32418">
        <w:t xml:space="preserve">ström). </w:t>
      </w:r>
      <w:r w:rsidR="00673B8F" w:rsidRPr="00A32418">
        <w:t xml:space="preserve">Riksrevisionens egna undersökningar </w:t>
      </w:r>
      <w:r w:rsidR="009C0860" w:rsidRPr="00A32418">
        <w:t xml:space="preserve">tyder på </w:t>
      </w:r>
      <w:r w:rsidR="00BF47C8" w:rsidRPr="00A32418">
        <w:t>att regeringen har svåri</w:t>
      </w:r>
      <w:r w:rsidR="00BF47C8" w:rsidRPr="00A32418">
        <w:t>g</w:t>
      </w:r>
      <w:r w:rsidR="00BF47C8" w:rsidRPr="00A32418">
        <w:t>hete</w:t>
      </w:r>
      <w:r w:rsidR="00673B8F" w:rsidRPr="00A32418">
        <w:t>r att utforma så entydiga och uppföljningsbara mål som mål- och resultatstyrningen förutsätter.</w:t>
      </w:r>
      <w:r w:rsidR="00C865AA" w:rsidRPr="00A32418">
        <w:t xml:space="preserve"> </w:t>
      </w:r>
      <w:r w:rsidR="00BF47C8" w:rsidRPr="00A32418">
        <w:t>Riksrevisionens årliga ra</w:t>
      </w:r>
      <w:r w:rsidR="00BF47C8" w:rsidRPr="00A32418">
        <w:t>p</w:t>
      </w:r>
      <w:r w:rsidR="00BF47C8" w:rsidRPr="00A32418">
        <w:t xml:space="preserve">port för 2005 </w:t>
      </w:r>
      <w:r w:rsidR="00673B8F" w:rsidRPr="00A32418">
        <w:t xml:space="preserve">visar att mer </w:t>
      </w:r>
      <w:r w:rsidR="00C865AA" w:rsidRPr="00A32418">
        <w:t>ä</w:t>
      </w:r>
      <w:r w:rsidR="00673B8F" w:rsidRPr="00A32418">
        <w:t>n hälften av reg</w:t>
      </w:r>
      <w:r w:rsidRPr="00A32418">
        <w:softHyphen/>
      </w:r>
      <w:r w:rsidR="00673B8F" w:rsidRPr="00A32418">
        <w:t>le</w:t>
      </w:r>
      <w:r w:rsidRPr="00A32418">
        <w:softHyphen/>
      </w:r>
      <w:r w:rsidR="00673B8F" w:rsidRPr="00A32418">
        <w:t>rings</w:t>
      </w:r>
      <w:smartTag w:uri="urn:schemas-microsoft-com:office:smarttags" w:element="PersonName">
        <w:r w:rsidR="00673B8F" w:rsidRPr="00A32418">
          <w:t>br</w:t>
        </w:r>
      </w:smartTag>
      <w:r w:rsidR="00673B8F" w:rsidRPr="00A32418">
        <w:t>even innehåller mål som är oty</w:t>
      </w:r>
      <w:r w:rsidR="00673B8F" w:rsidRPr="00A32418">
        <w:t>d</w:t>
      </w:r>
      <w:r w:rsidR="00673B8F" w:rsidRPr="00A32418">
        <w:t>liga och svåra att mäta</w:t>
      </w:r>
      <w:r w:rsidR="00C8168E" w:rsidRPr="00A32418">
        <w:t xml:space="preserve">, och att mer än </w:t>
      </w:r>
      <w:r w:rsidR="002A6889" w:rsidRPr="00A32418">
        <w:t xml:space="preserve">en </w:t>
      </w:r>
      <w:r w:rsidR="00C8168E" w:rsidRPr="00A32418">
        <w:t>tredjedel av reglerings</w:t>
      </w:r>
      <w:smartTag w:uri="urn:schemas-microsoft-com:office:smarttags" w:element="PersonName">
        <w:r w:rsidR="00C8168E" w:rsidRPr="00A32418">
          <w:t>br</w:t>
        </w:r>
      </w:smartTag>
      <w:r w:rsidR="00C8168E" w:rsidRPr="00A32418">
        <w:t>even innehåller otydliga återrapportering</w:t>
      </w:r>
      <w:r w:rsidR="00C8168E" w:rsidRPr="00A32418">
        <w:t>s</w:t>
      </w:r>
      <w:r w:rsidR="00C8168E" w:rsidRPr="00A32418">
        <w:t>krav</w:t>
      </w:r>
      <w:r w:rsidR="00673B8F" w:rsidRPr="00A32418">
        <w:t xml:space="preserve">. </w:t>
      </w:r>
      <w:r w:rsidR="00C8168E" w:rsidRPr="00A32418">
        <w:t xml:space="preserve"> </w:t>
      </w:r>
    </w:p>
    <w:p w:rsidR="00115BB1" w:rsidRPr="00A32418" w:rsidRDefault="00460495" w:rsidP="00FB646E">
      <w:pPr>
        <w:pStyle w:val="Normaltindrag"/>
      </w:pPr>
      <w:r w:rsidRPr="00A32418">
        <w:t xml:space="preserve">De empiriska iakttagelser som gjorts av Riksrevisionen </w:t>
      </w:r>
      <w:r w:rsidR="006F3E8C" w:rsidRPr="00A32418">
        <w:t xml:space="preserve">bör </w:t>
      </w:r>
      <w:r w:rsidR="00C865AA" w:rsidRPr="00A32418">
        <w:t>enligt styre</w:t>
      </w:r>
      <w:r w:rsidR="00C865AA" w:rsidRPr="00A32418">
        <w:t>l</w:t>
      </w:r>
      <w:r w:rsidR="00C865AA" w:rsidRPr="00A32418">
        <w:t xml:space="preserve">sens mening </w:t>
      </w:r>
      <w:r w:rsidRPr="00A32418">
        <w:t xml:space="preserve">beaktas i det fortsatta arbetet med att utveckla styrningen av de regionala stöden. </w:t>
      </w:r>
      <w:r w:rsidR="006F3E8C" w:rsidRPr="00A32418">
        <w:t>Med detta överlämnas denna redogörelse till riksd</w:t>
      </w:r>
      <w:r w:rsidR="006F3E8C" w:rsidRPr="00A32418">
        <w:t>a</w:t>
      </w:r>
      <w:r w:rsidR="006F3E8C" w:rsidRPr="00A32418">
        <w:t xml:space="preserve">gen. </w:t>
      </w:r>
    </w:p>
    <w:p w:rsidR="00115BB1" w:rsidRPr="00A32418" w:rsidRDefault="00115BB1" w:rsidP="00115BB1">
      <w:pPr>
        <w:pStyle w:val="Tryckort"/>
        <w:framePr w:wrap="around"/>
      </w:pPr>
      <w:r w:rsidRPr="00A32418">
        <w:t>Elanders Gotab, Stockholm  2005</w:t>
      </w:r>
    </w:p>
    <w:p w:rsidR="000C6E9C" w:rsidRPr="00A32418" w:rsidRDefault="000C6E9C" w:rsidP="00FB646E">
      <w:pPr>
        <w:pStyle w:val="Normaltindrag"/>
      </w:pPr>
    </w:p>
    <w:sectPr w:rsidR="000C6E9C" w:rsidRPr="00A3241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D2E" w:rsidRPr="00A32418" w:rsidRDefault="00D63D2E">
      <w:r w:rsidRPr="00A32418">
        <w:separator/>
      </w:r>
    </w:p>
  </w:endnote>
  <w:endnote w:type="continuationSeparator" w:id="0">
    <w:p w:rsidR="00D63D2E" w:rsidRPr="00A32418" w:rsidRDefault="00D63D2E">
      <w:r w:rsidRPr="00A324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-Regula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ScalaSansLF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ScalaSans-Italic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t>13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="007049B3" w:rsidRPr="00A32418">
      <w:t>6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="007049B3" w:rsidRPr="00A32418">
      <w:t>11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if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7049B3" w:rsidRPr="00A32418">
      <w:instrText>4</w:instrText>
    </w:r>
    <w:r w:rsidRPr="00A32418">
      <w:fldChar w:fldCharType="end"/>
    </w:r>
    <w:r w:rsidRPr="00A32418">
      <w:instrText xml:space="preserve">/2 </w:instrText>
    </w:r>
    <w:r w:rsidRPr="00A32418">
      <w:fldChar w:fldCharType="separate"/>
    </w:r>
    <w:r w:rsidR="007049B3" w:rsidRPr="00A32418">
      <w:instrText>2</w:instrText>
    </w:r>
    <w:r w:rsidRPr="00A32418">
      <w:fldChar w:fldCharType="end"/>
    </w:r>
    <w:r w:rsidRPr="00A32418">
      <w:instrText xml:space="preserve"> - </w:instrText>
    </w:r>
    <w:r w:rsidRPr="00A32418">
      <w:fldChar w:fldCharType="begin" w:fldLock="1"/>
    </w:r>
    <w:r w:rsidRPr="00A32418">
      <w:instrText xml:space="preserve"> = int(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7049B3" w:rsidRPr="00A32418">
      <w:instrText>4</w:instrText>
    </w:r>
    <w:r w:rsidRPr="00A32418">
      <w:fldChar w:fldCharType="end"/>
    </w:r>
    <w:r w:rsidRPr="00A32418">
      <w:instrText xml:space="preserve">/2) </w:instrText>
    </w:r>
    <w:r w:rsidRPr="00A32418">
      <w:fldChar w:fldCharType="separate"/>
    </w:r>
    <w:r w:rsidR="007049B3" w:rsidRPr="00A32418">
      <w:instrText>2</w:instrText>
    </w:r>
    <w:r w:rsidRPr="00A32418">
      <w:fldChar w:fldCharType="end"/>
    </w:r>
    <w:r w:rsidRPr="00A32418">
      <w:fldChar w:fldCharType="separate"/>
    </w:r>
    <w:r w:rsidR="007049B3" w:rsidRPr="00A32418">
      <w:instrText>0</w:instrText>
    </w:r>
    <w:r w:rsidRPr="00A32418">
      <w:fldChar w:fldCharType="end"/>
    </w:r>
    <w:r w:rsidRPr="00A32418">
      <w:instrText xml:space="preserve"> = 0 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="007049B3" w:rsidRPr="00A32418">
      <w:instrText>4</w:instrText>
    </w:r>
    <w:r w:rsidRPr="00A32418">
      <w:fldChar w:fldCharType="end"/>
    </w:r>
  </w:p>
  <w:p w:rsidR="007049B3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instrText>""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instrText>13</w:instrText>
    </w:r>
    <w:r w:rsidRPr="00A32418">
      <w:fldChar w:fldCharType="end"/>
    </w:r>
    <w:r w:rsidRPr="00A32418">
      <w:instrText>"</w:instrText>
    </w:r>
    <w:r w:rsidR="007049B3" w:rsidRPr="00A32418">
      <w:fldChar w:fldCharType="separate"/>
    </w:r>
    <w:r w:rsidR="007049B3" w:rsidRPr="00A32418">
      <w:t>4</w:t>
    </w:r>
  </w:p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fldChar w:fldCharType="end"/>
    </w:r>
  </w:p>
  <w:p w:rsidR="00B55D97" w:rsidRPr="00A32418" w:rsidRDefault="00B55D97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t>13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="007049B3" w:rsidRPr="00A32418">
      <w:t>13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if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7049B3" w:rsidRPr="00A32418">
      <w:instrText>12</w:instrText>
    </w:r>
    <w:r w:rsidRPr="00A32418">
      <w:fldChar w:fldCharType="end"/>
    </w:r>
    <w:r w:rsidRPr="00A32418">
      <w:instrText xml:space="preserve">/2 </w:instrText>
    </w:r>
    <w:r w:rsidRPr="00A32418">
      <w:fldChar w:fldCharType="separate"/>
    </w:r>
    <w:r w:rsidR="007049B3" w:rsidRPr="00A32418">
      <w:instrText>6</w:instrText>
    </w:r>
    <w:r w:rsidRPr="00A32418">
      <w:fldChar w:fldCharType="end"/>
    </w:r>
    <w:r w:rsidRPr="00A32418">
      <w:instrText xml:space="preserve"> - </w:instrText>
    </w:r>
    <w:r w:rsidRPr="00A32418">
      <w:fldChar w:fldCharType="begin" w:fldLock="1"/>
    </w:r>
    <w:r w:rsidRPr="00A32418">
      <w:instrText xml:space="preserve"> = int(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7049B3" w:rsidRPr="00A32418">
      <w:instrText>12</w:instrText>
    </w:r>
    <w:r w:rsidRPr="00A32418">
      <w:fldChar w:fldCharType="end"/>
    </w:r>
    <w:r w:rsidRPr="00A32418">
      <w:instrText xml:space="preserve">/2) </w:instrText>
    </w:r>
    <w:r w:rsidRPr="00A32418">
      <w:fldChar w:fldCharType="separate"/>
    </w:r>
    <w:r w:rsidR="007049B3" w:rsidRPr="00A32418">
      <w:instrText>6</w:instrText>
    </w:r>
    <w:r w:rsidRPr="00A32418">
      <w:fldChar w:fldCharType="end"/>
    </w:r>
    <w:r w:rsidRPr="00A32418">
      <w:fldChar w:fldCharType="separate"/>
    </w:r>
    <w:r w:rsidR="007049B3" w:rsidRPr="00A32418">
      <w:instrText>0</w:instrText>
    </w:r>
    <w:r w:rsidRPr="00A32418">
      <w:fldChar w:fldCharType="end"/>
    </w:r>
    <w:r w:rsidRPr="00A32418">
      <w:instrText xml:space="preserve"> = 0 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="007049B3" w:rsidRPr="00A32418">
      <w:instrText>12</w:instrText>
    </w:r>
    <w:r w:rsidRPr="00A32418">
      <w:fldChar w:fldCharType="end"/>
    </w:r>
  </w:p>
  <w:p w:rsidR="007049B3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instrText>""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instrText>13</w:instrText>
    </w:r>
    <w:r w:rsidRPr="00A32418">
      <w:fldChar w:fldCharType="end"/>
    </w:r>
    <w:r w:rsidRPr="00A32418">
      <w:instrText>"</w:instrText>
    </w:r>
    <w:r w:rsidR="007049B3" w:rsidRPr="00A32418">
      <w:fldChar w:fldCharType="separate"/>
    </w:r>
    <w:r w:rsidR="007049B3" w:rsidRPr="00A32418">
      <w:t>12</w:t>
    </w:r>
  </w:p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fldChar w:fldCharType="end"/>
    </w:r>
  </w:p>
  <w:p w:rsidR="00B55D97" w:rsidRPr="00A32418" w:rsidRDefault="00B55D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t>13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if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A32418">
      <w:rPr>
        <w:noProof/>
      </w:rPr>
      <w:instrText>1</w:instrText>
    </w:r>
    <w:r w:rsidRPr="00A32418">
      <w:fldChar w:fldCharType="end"/>
    </w:r>
    <w:r w:rsidRPr="00A32418">
      <w:instrText xml:space="preserve">/2 </w:instrText>
    </w:r>
    <w:r w:rsidRPr="00A32418">
      <w:fldChar w:fldCharType="separate"/>
    </w:r>
    <w:r w:rsidR="00A32418">
      <w:rPr>
        <w:noProof/>
      </w:rPr>
      <w:instrText>0,5</w:instrText>
    </w:r>
    <w:r w:rsidRPr="00A32418">
      <w:fldChar w:fldCharType="end"/>
    </w:r>
    <w:r w:rsidRPr="00A32418">
      <w:instrText xml:space="preserve"> - </w:instrText>
    </w:r>
    <w:r w:rsidRPr="00A32418">
      <w:fldChar w:fldCharType="begin" w:fldLock="1"/>
    </w:r>
    <w:r w:rsidRPr="00A32418">
      <w:instrText xml:space="preserve"> = int(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A32418">
      <w:rPr>
        <w:noProof/>
      </w:rPr>
      <w:instrText>1</w:instrText>
    </w:r>
    <w:r w:rsidRPr="00A32418">
      <w:fldChar w:fldCharType="end"/>
    </w:r>
    <w:r w:rsidRPr="00A32418">
      <w:instrText xml:space="preserve">/2) </w:instrText>
    </w:r>
    <w:r w:rsidRPr="00A32418">
      <w:fldChar w:fldCharType="separate"/>
    </w:r>
    <w:r w:rsidR="00A32418">
      <w:rPr>
        <w:noProof/>
      </w:rPr>
      <w:instrText>0</w:instrText>
    </w:r>
    <w:r w:rsidRPr="00A32418">
      <w:fldChar w:fldCharType="end"/>
    </w:r>
    <w:r w:rsidRPr="00A32418">
      <w:fldChar w:fldCharType="separate"/>
    </w:r>
    <w:r w:rsidR="00A32418">
      <w:rPr>
        <w:noProof/>
      </w:rPr>
      <w:instrText>0,5</w:instrText>
    </w:r>
    <w:r w:rsidRPr="00A32418">
      <w:fldChar w:fldCharType="end"/>
    </w:r>
    <w:r w:rsidRPr="00A32418">
      <w:instrText xml:space="preserve"> = 0 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instrText>12</w:instrText>
    </w:r>
    <w:r w:rsidRPr="00A32418">
      <w:fldChar w:fldCharType="end"/>
    </w:r>
  </w:p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instrText>""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="00A32418">
      <w:rPr>
        <w:noProof/>
      </w:rPr>
      <w:instrText>1</w:instrText>
    </w:r>
    <w:r w:rsidRPr="00A32418">
      <w:fldChar w:fldCharType="end"/>
    </w:r>
    <w:r w:rsidRPr="00A32418">
      <w:instrText>"</w:instrText>
    </w:r>
    <w:r w:rsidR="007049B3" w:rsidRPr="00A32418">
      <w:fldChar w:fldCharType="separate"/>
    </w:r>
    <w:r w:rsidR="00A32418">
      <w:rPr>
        <w:noProof/>
      </w:rPr>
      <w:t>1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t>13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t>13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if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7049B3" w:rsidRPr="00A32418">
      <w:instrText>2</w:instrText>
    </w:r>
    <w:r w:rsidRPr="00A32418">
      <w:fldChar w:fldCharType="end"/>
    </w:r>
    <w:r w:rsidRPr="00A32418">
      <w:instrText xml:space="preserve">/2 </w:instrText>
    </w:r>
    <w:r w:rsidRPr="00A32418">
      <w:fldChar w:fldCharType="separate"/>
    </w:r>
    <w:r w:rsidR="007049B3" w:rsidRPr="00A32418">
      <w:instrText>1</w:instrText>
    </w:r>
    <w:r w:rsidRPr="00A32418">
      <w:fldChar w:fldCharType="end"/>
    </w:r>
    <w:r w:rsidRPr="00A32418">
      <w:instrText xml:space="preserve"> - </w:instrText>
    </w:r>
    <w:r w:rsidRPr="00A32418">
      <w:fldChar w:fldCharType="begin" w:fldLock="1"/>
    </w:r>
    <w:r w:rsidRPr="00A32418">
      <w:instrText xml:space="preserve"> = int(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7049B3" w:rsidRPr="00A32418">
      <w:instrText>2</w:instrText>
    </w:r>
    <w:r w:rsidRPr="00A32418">
      <w:fldChar w:fldCharType="end"/>
    </w:r>
    <w:r w:rsidRPr="00A32418">
      <w:instrText xml:space="preserve">/2) </w:instrText>
    </w:r>
    <w:r w:rsidRPr="00A32418">
      <w:fldChar w:fldCharType="separate"/>
    </w:r>
    <w:r w:rsidR="007049B3" w:rsidRPr="00A32418">
      <w:instrText>1</w:instrText>
    </w:r>
    <w:r w:rsidRPr="00A32418">
      <w:fldChar w:fldCharType="end"/>
    </w:r>
    <w:r w:rsidRPr="00A32418">
      <w:fldChar w:fldCharType="separate"/>
    </w:r>
    <w:r w:rsidR="007049B3" w:rsidRPr="00A32418">
      <w:instrText>0</w:instrText>
    </w:r>
    <w:r w:rsidRPr="00A32418">
      <w:fldChar w:fldCharType="end"/>
    </w:r>
    <w:r w:rsidRPr="00A32418">
      <w:instrText xml:space="preserve"> = 0 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="007049B3" w:rsidRPr="00A32418">
      <w:instrText>2</w:instrText>
    </w:r>
    <w:r w:rsidRPr="00A32418">
      <w:fldChar w:fldCharType="end"/>
    </w:r>
  </w:p>
  <w:p w:rsidR="007049B3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instrText>""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instrText>13</w:instrText>
    </w:r>
    <w:r w:rsidRPr="00A32418">
      <w:fldChar w:fldCharType="end"/>
    </w:r>
    <w:r w:rsidRPr="00A32418">
      <w:instrText>"</w:instrText>
    </w:r>
    <w:r w:rsidR="007049B3" w:rsidRPr="00A32418">
      <w:fldChar w:fldCharType="separate"/>
    </w:r>
    <w:r w:rsidR="007049B3" w:rsidRPr="00A32418">
      <w:t>2</w:t>
    </w:r>
  </w:p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fldChar w:fldCharType="end"/>
    </w:r>
  </w:p>
  <w:p w:rsidR="00B55D97" w:rsidRPr="00A32418" w:rsidRDefault="00B55D9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t>13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t>13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fotV"/>
      <w:framePr w:w="8732" w:h="284" w:hRule="exact" w:hSpace="0" w:vSpace="0" w:wrap="around" w:xAlign="inside" w:y="13042" w:anchorLock="0"/>
    </w:pPr>
    <w:r w:rsidRPr="00A32418">
      <w:fldChar w:fldCharType="begin" w:fldLock="1"/>
    </w:r>
    <w:r w:rsidRPr="00A32418">
      <w:instrText xml:space="preserve"> if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= 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7049B3" w:rsidRPr="00A32418">
      <w:instrText>3</w:instrText>
    </w:r>
    <w:r w:rsidRPr="00A32418">
      <w:fldChar w:fldCharType="end"/>
    </w:r>
    <w:r w:rsidRPr="00A32418">
      <w:instrText xml:space="preserve">/2 </w:instrText>
    </w:r>
    <w:r w:rsidRPr="00A32418">
      <w:fldChar w:fldCharType="separate"/>
    </w:r>
    <w:r w:rsidR="007049B3" w:rsidRPr="00A32418">
      <w:instrText>1,5</w:instrText>
    </w:r>
    <w:r w:rsidRPr="00A32418">
      <w:fldChar w:fldCharType="end"/>
    </w:r>
    <w:r w:rsidRPr="00A32418">
      <w:instrText xml:space="preserve"> - </w:instrText>
    </w:r>
    <w:r w:rsidRPr="00A32418">
      <w:fldChar w:fldCharType="begin" w:fldLock="1"/>
    </w:r>
    <w:r w:rsidRPr="00A32418">
      <w:instrText xml:space="preserve"> = int(</w:instrText>
    </w:r>
    <w:r w:rsidRPr="00A32418">
      <w:fldChar w:fldCharType="begin" w:fldLock="1"/>
    </w:r>
    <w:r w:rsidRPr="00A32418">
      <w:instrText xml:space="preserve"> page</w:instrText>
    </w:r>
    <w:r w:rsidRPr="00A32418">
      <w:fldChar w:fldCharType="separate"/>
    </w:r>
    <w:r w:rsidR="007049B3" w:rsidRPr="00A32418">
      <w:instrText>3</w:instrText>
    </w:r>
    <w:r w:rsidRPr="00A32418">
      <w:fldChar w:fldCharType="end"/>
    </w:r>
    <w:r w:rsidRPr="00A32418">
      <w:instrText xml:space="preserve">/2) </w:instrText>
    </w:r>
    <w:r w:rsidRPr="00A32418">
      <w:fldChar w:fldCharType="separate"/>
    </w:r>
    <w:r w:rsidR="007049B3" w:rsidRPr="00A32418">
      <w:instrText>1</w:instrText>
    </w:r>
    <w:r w:rsidRPr="00A32418">
      <w:fldChar w:fldCharType="end"/>
    </w:r>
    <w:r w:rsidRPr="00A32418">
      <w:fldChar w:fldCharType="separate"/>
    </w:r>
    <w:r w:rsidR="007049B3" w:rsidRPr="00A32418">
      <w:instrText>0,5</w:instrText>
    </w:r>
    <w:r w:rsidRPr="00A32418">
      <w:fldChar w:fldCharType="end"/>
    </w:r>
    <w:r w:rsidRPr="00A32418">
      <w:instrText xml:space="preserve"> = 0 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Pr="00A32418">
      <w:instrText>12</w:instrText>
    </w:r>
    <w:r w:rsidRPr="00A32418">
      <w:fldChar w:fldCharType="end"/>
    </w:r>
  </w:p>
  <w:p w:rsidR="00B55D97" w:rsidRPr="00A32418" w:rsidRDefault="00B55D97">
    <w:pPr>
      <w:pStyle w:val="SidfotH"/>
      <w:framePr w:w="8732" w:h="284" w:hRule="exact" w:hSpace="0" w:vSpace="0" w:wrap="around" w:xAlign="inside" w:y="13042" w:anchorLock="0"/>
    </w:pPr>
    <w:r w:rsidRPr="00A32418">
      <w:instrText>""</w:instrText>
    </w:r>
    <w:r w:rsidRPr="00A32418">
      <w:fldChar w:fldCharType="begin" w:fldLock="1"/>
    </w:r>
    <w:r w:rsidRPr="00A32418">
      <w:instrText xml:space="preserve"> P</w:instrText>
    </w:r>
    <w:r w:rsidRPr="00A32418">
      <w:instrText>A</w:instrText>
    </w:r>
    <w:r w:rsidRPr="00A32418">
      <w:instrText xml:space="preserve">GE </w:instrText>
    </w:r>
    <w:r w:rsidRPr="00A32418">
      <w:fldChar w:fldCharType="separate"/>
    </w:r>
    <w:r w:rsidR="007049B3" w:rsidRPr="00A32418">
      <w:instrText>3</w:instrText>
    </w:r>
    <w:r w:rsidRPr="00A32418">
      <w:fldChar w:fldCharType="end"/>
    </w:r>
    <w:r w:rsidRPr="00A32418">
      <w:instrText>"</w:instrText>
    </w:r>
    <w:r w:rsidR="007049B3" w:rsidRPr="00A32418">
      <w:fldChar w:fldCharType="separate"/>
    </w:r>
    <w:r w:rsidR="007049B3" w:rsidRPr="00A32418">
      <w:t>3</w:t>
    </w:r>
    <w:r w:rsidRPr="00A32418">
      <w:fldChar w:fldCharType="end"/>
    </w:r>
  </w:p>
  <w:p w:rsidR="00B55D97" w:rsidRPr="00A32418" w:rsidRDefault="00B55D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D2E" w:rsidRPr="00A32418" w:rsidRDefault="00D63D2E">
      <w:pPr>
        <w:pStyle w:val="Sidfot"/>
      </w:pPr>
    </w:p>
  </w:footnote>
  <w:footnote w:type="continuationSeparator" w:id="0">
    <w:p w:rsidR="00D63D2E" w:rsidRPr="00A32418" w:rsidRDefault="00D63D2E">
      <w:r w:rsidRPr="00A32418">
        <w:continuationSeparator/>
      </w:r>
    </w:p>
  </w:footnote>
  <w:footnote w:id="1">
    <w:p w:rsidR="00B55D97" w:rsidRPr="00A32418" w:rsidRDefault="00B55D97">
      <w:pPr>
        <w:pStyle w:val="Fotnotstext"/>
      </w:pPr>
      <w:r w:rsidRPr="00A32418">
        <w:rPr>
          <w:rStyle w:val="Fotnotsreferens"/>
        </w:rPr>
        <w:footnoteRef/>
      </w:r>
      <w:r w:rsidRPr="00A32418">
        <w:t xml:space="preserve"> I Skåne och Västra Götalands län pågår en försöksverksamhet som innebär att regi</w:t>
      </w:r>
      <w:r w:rsidRPr="00A32418">
        <w:t>o</w:t>
      </w:r>
      <w:r w:rsidRPr="00A32418">
        <w:t xml:space="preserve">nala självstyrelseorgan har övertagit vissa uppgifter från staten. Samverkansorganen utgör en sammanslutning av kommuner till kommunalförbund som fått till uppgift att svara för regionala utvecklingsfrågor.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BetänkandeÅr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2005/06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t>: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Utskott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RRS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BetänkandeNr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3</w:t>
    </w:r>
    <w:r w:rsidRPr="00A32418">
      <w:rPr>
        <w:rStyle w:val="SidhuvudUtskott"/>
      </w:rPr>
      <w:fldChar w:fldCharType="end"/>
    </w:r>
    <w:r w:rsidRPr="00A32418">
      <w:t xml:space="preserve">     </w:t>
    </w:r>
    <w:r w:rsidRPr="00A32418">
      <w:rPr>
        <w:rStyle w:val="SidhuvudBilaga"/>
      </w:rPr>
      <w:t xml:space="preserve"> </w:t>
    </w:r>
    <w:r w:rsidRPr="00A32418">
      <w:rPr>
        <w:rStyle w:val="SidhuvudRubrikReferens"/>
      </w:rPr>
      <w:fldChar w:fldCharType="begin" w:fldLock="1"/>
    </w:r>
    <w:r w:rsidRPr="00A32418">
      <w:rPr>
        <w:rStyle w:val="SidhuvudRubrikReferens"/>
      </w:rPr>
      <w:instrText xml:space="preserve"> StyleREF "Rubrik 1" </w:instrText>
    </w:r>
    <w:r w:rsidRPr="00A32418">
      <w:rPr>
        <w:rStyle w:val="SidhuvudRubrikReferens"/>
      </w:rPr>
      <w:fldChar w:fldCharType="separate"/>
    </w:r>
    <w:r w:rsidRPr="00A32418">
      <w:rPr>
        <w:rStyle w:val="SidhuvudRubrikReferens"/>
      </w:rPr>
      <w:t>Sammanfattning</w:t>
    </w:r>
    <w:r w:rsidRPr="00A32418">
      <w:rPr>
        <w:rStyle w:val="SidhuvudRubrikReferens"/>
      </w:rPr>
      <w:fldChar w:fldCharType="end"/>
    </w:r>
  </w:p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Status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if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"UtkastDatum"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Nej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 = "Ja" "   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PRINTDATE \@ "yyyy-MM-dd HH.mm" 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2000-08-11 16.42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" </w:instrTex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t>2005/06:RRS3</w:t>
    </w:r>
    <w:r w:rsidRPr="00A32418">
      <w:t xml:space="preserve">     </w:t>
    </w:r>
    <w:r w:rsidRPr="00A32418">
      <w:rPr>
        <w:rStyle w:val="SidhuvudBilaga"/>
      </w:rPr>
      <w:t xml:space="preserve"> </w:t>
    </w:r>
    <w:r w:rsidR="007049B3" w:rsidRPr="00A32418">
      <w:rPr>
        <w:rStyle w:val="SidhuvudRubrikReferens"/>
      </w:rPr>
      <w:t>Riksrevisionens granskning</w:t>
    </w:r>
  </w:p>
  <w:p w:rsidR="00B55D97" w:rsidRPr="00A32418" w:rsidRDefault="00B55D97">
    <w:pPr>
      <w:pStyle w:val="SidhuvudKantJmn"/>
      <w:framePr w:w="8732" w:h="567" w:hRule="exact" w:vSpace="0" w:wrap="around" w:vAnchor="page" w:y="341" w:anchorLock="0"/>
    </w:pPr>
  </w:p>
  <w:p w:rsidR="00B55D97" w:rsidRPr="00A32418" w:rsidRDefault="00B55D97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7049B3">
    <w:pPr>
      <w:pStyle w:val="SidhuvudKantUdda"/>
      <w:framePr w:w="8732" w:h="567" w:hRule="exact" w:vSpace="0" w:wrap="around" w:vAnchor="page" w:y="341" w:anchorLock="0"/>
    </w:pPr>
    <w:r w:rsidRPr="00A32418">
      <w:rPr>
        <w:rStyle w:val="SidhuvudRubrikReferens"/>
      </w:rPr>
      <w:t>Riksrevisionens granskning</w:t>
    </w:r>
    <w:r w:rsidR="00B55D97" w:rsidRPr="00A32418">
      <w:rPr>
        <w:rStyle w:val="SidhuvudBilaga"/>
      </w:rPr>
      <w:t xml:space="preserve"> </w:t>
    </w:r>
    <w:r w:rsidR="00B55D97" w:rsidRPr="00A32418">
      <w:t xml:space="preserve">     </w:t>
    </w:r>
    <w:r w:rsidR="00B55D97" w:rsidRPr="00A32418">
      <w:rPr>
        <w:rStyle w:val="SidhuvudUtskott"/>
      </w:rPr>
      <w:t>2005/06:RRS3</w:t>
    </w:r>
  </w:p>
  <w:p w:rsidR="00B55D97" w:rsidRPr="00A32418" w:rsidRDefault="00B55D97">
    <w:pPr>
      <w:pStyle w:val="SidhuvudKantUdda"/>
      <w:framePr w:w="8732" w:h="567" w:hRule="exact" w:vSpace="0" w:wrap="around" w:vAnchor="page" w:y="341" w:anchorLock="0"/>
    </w:pPr>
  </w:p>
  <w:p w:rsidR="00B55D97" w:rsidRPr="00A32418" w:rsidRDefault="00B55D97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9B3" w:rsidRPr="00A32418" w:rsidRDefault="007049B3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t>2005/06:RRS3</w:t>
    </w:r>
    <w:r w:rsidRPr="00A32418">
      <w:t xml:space="preserve">    </w:t>
    </w:r>
  </w:p>
  <w:p w:rsidR="007049B3" w:rsidRPr="00A32418" w:rsidRDefault="007049B3">
    <w:pPr>
      <w:pStyle w:val="SidhuvudKantJmn"/>
      <w:framePr w:w="8732" w:h="567" w:hRule="exact" w:vSpace="0" w:wrap="around" w:vAnchor="page" w:y="341" w:anchorLock="0"/>
    </w:pPr>
  </w:p>
  <w:p w:rsidR="00B55D97" w:rsidRPr="00A32418" w:rsidRDefault="007049B3">
    <w:pPr>
      <w:pStyle w:val="SidhuvudKantUdda"/>
      <w:framePr w:w="8732" w:h="567" w:hRule="exact" w:vSpace="0" w:wrap="around" w:vAnchor="page" w:y="341" w:anchorLock="0"/>
    </w:pPr>
    <w:r w:rsidRPr="00A32418">
      <w:rPr>
        <w:rStyle w:val="SidhuvudRubrikReferens"/>
        <w:smallCaps w:val="0"/>
        <w:spacing w:val="0"/>
        <w:sz w:val="19"/>
      </w:rPr>
      <w:t xml:space="preserve"> </w:t>
    </w:r>
  </w:p>
  <w:p w:rsidR="00B55D97" w:rsidRPr="00A32418" w:rsidRDefault="00B55D97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BetänkandeÅr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2005/06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t>: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Utskott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RRS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BetänkandeNr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3</w:t>
    </w:r>
    <w:r w:rsidRPr="00A32418">
      <w:rPr>
        <w:rStyle w:val="SidhuvudUtskott"/>
      </w:rPr>
      <w:fldChar w:fldCharType="end"/>
    </w:r>
    <w:r w:rsidRPr="00A32418">
      <w:t xml:space="preserve">     </w:t>
    </w:r>
    <w:r w:rsidRPr="00A32418">
      <w:rPr>
        <w:rStyle w:val="SidhuvudBilaga"/>
      </w:rPr>
      <w:t xml:space="preserve"> </w:t>
    </w:r>
    <w:r w:rsidRPr="00A32418">
      <w:rPr>
        <w:rStyle w:val="SidhuvudRubrikReferens"/>
      </w:rPr>
      <w:fldChar w:fldCharType="begin" w:fldLock="1"/>
    </w:r>
    <w:r w:rsidRPr="00A32418">
      <w:rPr>
        <w:rStyle w:val="SidhuvudRubrikReferens"/>
      </w:rPr>
      <w:instrText xml:space="preserve"> StyleREF "Rubrik 1" </w:instrText>
    </w:r>
    <w:r w:rsidRPr="00A32418">
      <w:rPr>
        <w:rStyle w:val="SidhuvudRubrikReferens"/>
      </w:rPr>
      <w:fldChar w:fldCharType="separate"/>
    </w:r>
    <w:r w:rsidRPr="00A32418">
      <w:rPr>
        <w:rStyle w:val="SidhuvudRubrikReferens"/>
      </w:rPr>
      <w:t>Riksrevisionens granskning</w:t>
    </w:r>
    <w:r w:rsidRPr="00A32418">
      <w:rPr>
        <w:rStyle w:val="SidhuvudRubrikReferens"/>
      </w:rPr>
      <w:fldChar w:fldCharType="end"/>
    </w:r>
  </w:p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Status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if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"UtkastDatum"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Nej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 = "Ja" "   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PRINTDATE \@ "yyyy-MM-dd HH.mm" 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2000-08-11 16.42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" </w:instrTex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7049B3">
    <w:pPr>
      <w:pStyle w:val="SidhuvudKantUdda"/>
      <w:framePr w:w="8732" w:h="567" w:hRule="exact" w:vSpace="0" w:wrap="around" w:vAnchor="page" w:y="341" w:anchorLock="0"/>
    </w:pPr>
    <w:r w:rsidRPr="00A32418">
      <w:rPr>
        <w:rStyle w:val="SidhuvudRubrikReferens"/>
      </w:rPr>
      <w:t>Styrelsens överväganden</w:t>
    </w:r>
    <w:r w:rsidR="00B55D97" w:rsidRPr="00A32418">
      <w:rPr>
        <w:rStyle w:val="SidhuvudBilaga"/>
      </w:rPr>
      <w:t xml:space="preserve"> </w:t>
    </w:r>
    <w:r w:rsidR="00B55D97" w:rsidRPr="00A32418">
      <w:t xml:space="preserve">     </w:t>
    </w:r>
    <w:r w:rsidR="00B55D97" w:rsidRPr="00A32418">
      <w:rPr>
        <w:rStyle w:val="SidhuvudUtskott"/>
      </w:rPr>
      <w:t>2005/06:RRS3</w:t>
    </w:r>
  </w:p>
  <w:p w:rsidR="00B55D97" w:rsidRPr="00A32418" w:rsidRDefault="00B55D97">
    <w:pPr>
      <w:pStyle w:val="SidhuvudKantUdda"/>
      <w:framePr w:w="8732" w:h="567" w:hRule="exact" w:vSpace="0" w:wrap="around" w:vAnchor="page" w:y="341" w:anchorLock="0"/>
    </w:pPr>
  </w:p>
  <w:p w:rsidR="00B55D97" w:rsidRPr="00A32418" w:rsidRDefault="00B55D97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9B3" w:rsidRPr="00A32418" w:rsidRDefault="007049B3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t>2005/06:RRS3</w:t>
    </w:r>
    <w:r w:rsidRPr="00A32418">
      <w:t xml:space="preserve">    </w:t>
    </w:r>
  </w:p>
  <w:p w:rsidR="007049B3" w:rsidRPr="00A32418" w:rsidRDefault="007049B3">
    <w:pPr>
      <w:pStyle w:val="SidhuvudKantJmn"/>
      <w:framePr w:w="8732" w:h="567" w:hRule="exact" w:vSpace="0" w:wrap="around" w:vAnchor="page" w:y="341" w:anchorLock="0"/>
    </w:pPr>
  </w:p>
  <w:p w:rsidR="00B55D97" w:rsidRPr="00A32418" w:rsidRDefault="007049B3">
    <w:pPr>
      <w:pStyle w:val="SidhuvudKantUdda"/>
      <w:framePr w:w="8732" w:h="567" w:hRule="exact" w:vSpace="0" w:wrap="around" w:vAnchor="page" w:y="341" w:anchorLock="0"/>
    </w:pPr>
    <w:r w:rsidRPr="00A32418">
      <w:rPr>
        <w:rStyle w:val="SidhuvudRubrikReferens"/>
        <w:smallCaps w:val="0"/>
        <w:spacing w:val="0"/>
        <w:sz w:val="19"/>
      </w:rPr>
      <w:t xml:space="preserve"> </w:t>
    </w:r>
  </w:p>
  <w:p w:rsidR="00B55D97" w:rsidRPr="00A32418" w:rsidRDefault="00B55D97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huvudKantUdda"/>
      <w:framePr w:w="8732" w:h="567" w:hRule="exact" w:vSpace="0" w:wrap="around" w:vAnchor="page" w:y="341" w:anchorLock="0"/>
    </w:pPr>
    <w:r w:rsidRPr="00A32418">
      <w:rPr>
        <w:rStyle w:val="SidhuvudRubrikReferens"/>
      </w:rPr>
      <w:fldChar w:fldCharType="begin" w:fldLock="1"/>
    </w:r>
    <w:r w:rsidRPr="00A32418">
      <w:rPr>
        <w:rStyle w:val="SidhuvudRubrikReferens"/>
      </w:rPr>
      <w:instrText xml:space="preserve"> StyleREF "Rubrik 1" </w:instrText>
    </w:r>
    <w:r w:rsidRPr="00A32418">
      <w:rPr>
        <w:rStyle w:val="SidhuvudRubrikReferens"/>
      </w:rPr>
      <w:fldChar w:fldCharType="separate"/>
    </w:r>
    <w:r w:rsidRPr="00A32418">
      <w:rPr>
        <w:rStyle w:val="SidhuvudRubrikReferens"/>
      </w:rPr>
      <w:t>Sammanfattning</w:t>
    </w:r>
    <w:r w:rsidRPr="00A32418">
      <w:rPr>
        <w:rStyle w:val="SidhuvudRubrikReferens"/>
      </w:rPr>
      <w:fldChar w:fldCharType="end"/>
    </w:r>
    <w:r w:rsidRPr="00A32418">
      <w:rPr>
        <w:rStyle w:val="SidhuvudBilaga"/>
      </w:rPr>
      <w:t xml:space="preserve"> </w:t>
    </w:r>
    <w:r w:rsidRPr="00A32418">
      <w:t xml:space="preserve">     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BetänkandeÅr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2005/06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t>: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</w:instrText>
    </w:r>
    <w:r w:rsidRPr="00A32418">
      <w:instrText xml:space="preserve"> </w:instrText>
    </w:r>
    <w:r w:rsidRPr="00A32418">
      <w:rPr>
        <w:rStyle w:val="SidhuvudUtskott"/>
      </w:rPr>
      <w:instrText>Utskott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RRS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</w:instrText>
    </w:r>
    <w:r w:rsidRPr="00A32418">
      <w:rPr>
        <w:rStyle w:val="SidhuvudUtskott"/>
      </w:rPr>
      <w:instrText>n</w:instrText>
    </w:r>
    <w:r w:rsidRPr="00A32418">
      <w:rPr>
        <w:rStyle w:val="SidhuvudUtskott"/>
      </w:rPr>
      <w:instrText>kandeNr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3</w: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KantUdda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if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"UtkastDatum"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Nej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 = "Ja" "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PRINTDATE \@ "yyyy-MM-dd HH.mm    " 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2000-08-11 16.42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" 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</w:instrText>
    </w:r>
    <w:r w:rsidRPr="00A32418">
      <w:rPr>
        <w:rStyle w:val="SidhuvudUtskott"/>
      </w:rPr>
      <w:instrText>O</w:instrText>
    </w:r>
    <w:r w:rsidRPr="00A32418">
      <w:rPr>
        <w:rStyle w:val="SidhuvudUtskott"/>
      </w:rPr>
      <w:instrText>PERTY Status</w:instrTex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7049B3">
    <w:pPr>
      <w:pStyle w:val="SidhuvudKantUdda"/>
      <w:framePr w:w="8732" w:h="567" w:hRule="exact" w:vSpace="0" w:wrap="around" w:vAnchor="page" w:y="341" w:anchorLock="0"/>
    </w:pPr>
    <w:r w:rsidRPr="00A32418">
      <w:t xml:space="preserve"> </w:t>
    </w:r>
  </w:p>
  <w:p w:rsidR="00B55D97" w:rsidRPr="00A32418" w:rsidRDefault="00B55D97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BetänkandeÅr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2005/06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t>: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Utskott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RRS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BetänkandeNr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3</w:t>
    </w:r>
    <w:r w:rsidRPr="00A32418">
      <w:rPr>
        <w:rStyle w:val="SidhuvudUtskott"/>
      </w:rPr>
      <w:fldChar w:fldCharType="end"/>
    </w:r>
    <w:r w:rsidRPr="00A32418">
      <w:t xml:space="preserve">     </w:t>
    </w:r>
    <w:r w:rsidRPr="00A32418">
      <w:rPr>
        <w:rStyle w:val="SidhuvudBilaga"/>
      </w:rPr>
      <w:t xml:space="preserve"> </w:t>
    </w:r>
    <w:r w:rsidRPr="00A32418">
      <w:rPr>
        <w:rStyle w:val="SidhuvudRubrikReferens"/>
      </w:rPr>
      <w:fldChar w:fldCharType="begin" w:fldLock="1"/>
    </w:r>
    <w:r w:rsidRPr="00A32418">
      <w:rPr>
        <w:rStyle w:val="SidhuvudRubrikReferens"/>
      </w:rPr>
      <w:instrText xml:space="preserve"> StyleREF "Rubrik 1" </w:instrText>
    </w:r>
    <w:r w:rsidRPr="00A32418">
      <w:rPr>
        <w:rStyle w:val="SidhuvudRubrikReferens"/>
      </w:rPr>
      <w:fldChar w:fldCharType="separate"/>
    </w:r>
    <w:r w:rsidRPr="00A32418">
      <w:rPr>
        <w:rStyle w:val="SidhuvudRubrikReferens"/>
      </w:rPr>
      <w:t>Sammanfattning</w:t>
    </w:r>
    <w:r w:rsidRPr="00A32418">
      <w:rPr>
        <w:rStyle w:val="SidhuvudRubrikReferens"/>
      </w:rPr>
      <w:fldChar w:fldCharType="end"/>
    </w:r>
  </w:p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Status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if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"UtkastDatum"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Nej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 = "Ja" "   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PRINTDATE \@ "yyyy-MM-dd HH.mm" 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2000-08-11 16.42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" </w:instrTex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huvudKantUdda"/>
      <w:framePr w:w="8732" w:h="567" w:hRule="exact" w:vSpace="0" w:wrap="around" w:vAnchor="page" w:y="341" w:anchorLock="0"/>
    </w:pPr>
    <w:r w:rsidRPr="00A32418">
      <w:rPr>
        <w:rStyle w:val="SidhuvudRubrikReferens"/>
      </w:rPr>
      <w:fldChar w:fldCharType="begin" w:fldLock="1"/>
    </w:r>
    <w:r w:rsidRPr="00A32418">
      <w:rPr>
        <w:rStyle w:val="SidhuvudRubrikReferens"/>
      </w:rPr>
      <w:instrText xml:space="preserve"> StyleREF "Rubrik 1" </w:instrText>
    </w:r>
    <w:r w:rsidRPr="00A32418">
      <w:rPr>
        <w:rStyle w:val="SidhuvudRubrikReferens"/>
      </w:rPr>
      <w:fldChar w:fldCharType="separate"/>
    </w:r>
    <w:r w:rsidRPr="00A32418">
      <w:rPr>
        <w:rStyle w:val="SidhuvudRubrikReferens"/>
      </w:rPr>
      <w:t>Sammanfattning</w:t>
    </w:r>
    <w:r w:rsidRPr="00A32418">
      <w:rPr>
        <w:rStyle w:val="SidhuvudRubrikReferens"/>
      </w:rPr>
      <w:fldChar w:fldCharType="end"/>
    </w:r>
    <w:r w:rsidRPr="00A32418">
      <w:rPr>
        <w:rStyle w:val="SidhuvudBilaga"/>
      </w:rPr>
      <w:t xml:space="preserve"> </w:t>
    </w:r>
    <w:r w:rsidRPr="00A32418">
      <w:t xml:space="preserve">     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BetänkandeÅr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2005/06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t>: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</w:instrText>
    </w:r>
    <w:r w:rsidRPr="00A32418">
      <w:instrText xml:space="preserve"> </w:instrText>
    </w:r>
    <w:r w:rsidRPr="00A32418">
      <w:rPr>
        <w:rStyle w:val="SidhuvudUtskott"/>
      </w:rPr>
      <w:instrText>Utskott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RRS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</w:instrText>
    </w:r>
    <w:r w:rsidRPr="00A32418">
      <w:rPr>
        <w:rStyle w:val="SidhuvudUtskott"/>
      </w:rPr>
      <w:instrText>n</w:instrText>
    </w:r>
    <w:r w:rsidRPr="00A32418">
      <w:rPr>
        <w:rStyle w:val="SidhuvudUtskott"/>
      </w:rPr>
      <w:instrText>kandeNr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3</w: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KantUdda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if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"UtkastDatum"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Nej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 = "Ja" "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PRINTDATE \@ "yyyy-MM-dd HH.mm    " 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2000-08-11 16.42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" 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</w:instrText>
    </w:r>
    <w:r w:rsidRPr="00A32418">
      <w:rPr>
        <w:rStyle w:val="SidhuvudUtskott"/>
      </w:rPr>
      <w:instrText>O</w:instrText>
    </w:r>
    <w:r w:rsidRPr="00A32418">
      <w:rPr>
        <w:rStyle w:val="SidhuvudUtskott"/>
      </w:rPr>
      <w:instrText>PERTY Status</w:instrTex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9B3" w:rsidRPr="00A32418" w:rsidRDefault="007049B3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t>2005/06:RRS3</w:t>
    </w:r>
    <w:r w:rsidRPr="00A32418">
      <w:t xml:space="preserve">    </w:t>
    </w:r>
  </w:p>
  <w:p w:rsidR="007049B3" w:rsidRPr="00A32418" w:rsidRDefault="007049B3">
    <w:pPr>
      <w:pStyle w:val="SidhuvudKantJmn"/>
      <w:framePr w:w="8732" w:h="567" w:hRule="exact" w:vSpace="0" w:wrap="around" w:vAnchor="page" w:y="341" w:anchorLock="0"/>
    </w:pPr>
  </w:p>
  <w:p w:rsidR="00B55D97" w:rsidRPr="00A32418" w:rsidRDefault="007049B3">
    <w:pPr>
      <w:pStyle w:val="SidhuvudKantUdda"/>
      <w:framePr w:w="8732" w:h="567" w:hRule="exact" w:vSpace="0" w:wrap="around" w:vAnchor="page" w:y="341" w:anchorLock="0"/>
    </w:pPr>
    <w:r w:rsidRPr="00A32418">
      <w:rPr>
        <w:rStyle w:val="SidhuvudRubrikReferens"/>
        <w:smallCaps w:val="0"/>
        <w:spacing w:val="0"/>
        <w:sz w:val="19"/>
      </w:rPr>
      <w:t xml:space="preserve"> </w:t>
    </w:r>
  </w:p>
  <w:p w:rsidR="00B55D97" w:rsidRPr="00A32418" w:rsidRDefault="00B55D97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BetänkandeÅr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2005/06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t>: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Utskott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RRS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BetänkandeNr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3</w:t>
    </w:r>
    <w:r w:rsidRPr="00A32418">
      <w:rPr>
        <w:rStyle w:val="SidhuvudUtskott"/>
      </w:rPr>
      <w:fldChar w:fldCharType="end"/>
    </w:r>
    <w:r w:rsidRPr="00A32418">
      <w:t xml:space="preserve">     </w:t>
    </w:r>
    <w:r w:rsidRPr="00A32418">
      <w:rPr>
        <w:rStyle w:val="SidhuvudBilaga"/>
      </w:rPr>
      <w:t xml:space="preserve"> </w:t>
    </w:r>
    <w:r w:rsidRPr="00A32418">
      <w:rPr>
        <w:rStyle w:val="SidhuvudRubrikReferens"/>
      </w:rPr>
      <w:fldChar w:fldCharType="begin" w:fldLock="1"/>
    </w:r>
    <w:r w:rsidRPr="00A32418">
      <w:rPr>
        <w:rStyle w:val="SidhuvudRubrikReferens"/>
      </w:rPr>
      <w:instrText xml:space="preserve"> StyleREF "Rubrik 1" </w:instrText>
    </w:r>
    <w:r w:rsidRPr="00A32418">
      <w:rPr>
        <w:rStyle w:val="SidhuvudRubrikReferens"/>
      </w:rPr>
      <w:fldChar w:fldCharType="separate"/>
    </w:r>
    <w:r w:rsidRPr="00A32418">
      <w:rPr>
        <w:rStyle w:val="SidhuvudRubrikReferens"/>
      </w:rPr>
      <w:t>Innehållsförteckning</w:t>
    </w:r>
    <w:r w:rsidRPr="00A32418">
      <w:rPr>
        <w:rStyle w:val="SidhuvudRubrikReferens"/>
      </w:rPr>
      <w:fldChar w:fldCharType="end"/>
    </w:r>
  </w:p>
  <w:p w:rsidR="00B55D97" w:rsidRPr="00A32418" w:rsidRDefault="00B55D97">
    <w:pPr>
      <w:pStyle w:val="SidhuvudKantJmn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Status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if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"UtkastDatum"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Nej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 = "Ja" "   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PRINTDATE \@ "yyyy-MM-dd HH.mm" 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2000-08-11 16.42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" </w:instrTex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D97" w:rsidRPr="00A32418" w:rsidRDefault="00B55D97">
    <w:pPr>
      <w:pStyle w:val="SidhuvudKantUdda"/>
      <w:framePr w:w="8732" w:h="567" w:hRule="exact" w:vSpace="0" w:wrap="around" w:vAnchor="page" w:y="341" w:anchorLock="0"/>
    </w:pPr>
    <w:r w:rsidRPr="00A32418">
      <w:rPr>
        <w:rStyle w:val="SidhuvudRubrikReferens"/>
      </w:rPr>
      <w:fldChar w:fldCharType="begin" w:fldLock="1"/>
    </w:r>
    <w:r w:rsidRPr="00A32418">
      <w:rPr>
        <w:rStyle w:val="SidhuvudRubrikReferens"/>
      </w:rPr>
      <w:instrText xml:space="preserve"> StyleREF "Rubrik 1" </w:instrText>
    </w:r>
    <w:r w:rsidRPr="00A32418">
      <w:rPr>
        <w:rStyle w:val="SidhuvudRubrikReferens"/>
      </w:rPr>
      <w:fldChar w:fldCharType="separate"/>
    </w:r>
    <w:r w:rsidRPr="00A32418">
      <w:rPr>
        <w:rStyle w:val="SidhuvudRubrikReferens"/>
      </w:rPr>
      <w:t>Innehållsförteckning</w:t>
    </w:r>
    <w:r w:rsidRPr="00A32418">
      <w:rPr>
        <w:rStyle w:val="SidhuvudRubrikReferens"/>
      </w:rPr>
      <w:fldChar w:fldCharType="end"/>
    </w:r>
    <w:r w:rsidRPr="00A32418">
      <w:rPr>
        <w:rStyle w:val="SidhuvudBilaga"/>
      </w:rPr>
      <w:t xml:space="preserve"> </w:t>
    </w:r>
    <w:r w:rsidRPr="00A32418">
      <w:t xml:space="preserve">     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BetänkandeÅr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2005/06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t>:</w: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</w:instrText>
    </w:r>
    <w:r w:rsidRPr="00A32418">
      <w:instrText xml:space="preserve"> </w:instrText>
    </w:r>
    <w:r w:rsidRPr="00A32418">
      <w:rPr>
        <w:rStyle w:val="SidhuvudUtskott"/>
      </w:rPr>
      <w:instrText>Utskott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RRS</w: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Betä</w:instrText>
    </w:r>
    <w:r w:rsidRPr="00A32418">
      <w:rPr>
        <w:rStyle w:val="SidhuvudUtskott"/>
      </w:rPr>
      <w:instrText>n</w:instrText>
    </w:r>
    <w:r w:rsidRPr="00A32418">
      <w:rPr>
        <w:rStyle w:val="SidhuvudUtskott"/>
      </w:rPr>
      <w:instrText>kandeNr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t>3</w: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KantUdda"/>
      <w:framePr w:w="8732" w:h="567" w:hRule="exact" w:vSpace="0" w:wrap="around" w:vAnchor="page" w:y="341" w:anchorLock="0"/>
    </w:pP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if 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DOCPROPERTY "UtkastDatum"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Nej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 = "Ja" "</w:instrText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PRINTDATE \@ "yyyy-MM-dd HH.mm    " </w:instrText>
    </w:r>
    <w:r w:rsidRPr="00A32418">
      <w:rPr>
        <w:rStyle w:val="SidhuvudUtskott"/>
      </w:rPr>
      <w:fldChar w:fldCharType="separate"/>
    </w:r>
    <w:r w:rsidRPr="00A32418">
      <w:rPr>
        <w:rStyle w:val="SidhuvudUtskott"/>
      </w:rPr>
      <w:instrText>2000-08-11 16.42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instrText xml:space="preserve">" </w:instrText>
    </w:r>
    <w:r w:rsidRPr="00A32418">
      <w:rPr>
        <w:rStyle w:val="SidhuvudUtskott"/>
      </w:rPr>
      <w:fldChar w:fldCharType="end"/>
    </w:r>
    <w:r w:rsidRPr="00A32418">
      <w:rPr>
        <w:rStyle w:val="SidhuvudUtskott"/>
      </w:rPr>
      <w:fldChar w:fldCharType="begin" w:fldLock="1"/>
    </w:r>
    <w:r w:rsidRPr="00A32418">
      <w:rPr>
        <w:rStyle w:val="SidhuvudUtskott"/>
      </w:rPr>
      <w:instrText xml:space="preserve"> DOCPR</w:instrText>
    </w:r>
    <w:r w:rsidRPr="00A32418">
      <w:rPr>
        <w:rStyle w:val="SidhuvudUtskott"/>
      </w:rPr>
      <w:instrText>O</w:instrText>
    </w:r>
    <w:r w:rsidRPr="00A32418">
      <w:rPr>
        <w:rStyle w:val="SidhuvudUtskott"/>
      </w:rPr>
      <w:instrText>PERTY Status</w:instrText>
    </w:r>
    <w:r w:rsidRPr="00A32418">
      <w:rPr>
        <w:rStyle w:val="SidhuvudUtskott"/>
      </w:rPr>
      <w:fldChar w:fldCharType="end"/>
    </w:r>
  </w:p>
  <w:p w:rsidR="00B55D97" w:rsidRPr="00A32418" w:rsidRDefault="00B55D97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9B3" w:rsidRPr="00A32418" w:rsidRDefault="007049B3">
    <w:pPr>
      <w:pStyle w:val="SidhuvudKantUdda"/>
      <w:framePr w:w="8732" w:h="567" w:hRule="exact" w:vSpace="0" w:wrap="around" w:vAnchor="page" w:y="341" w:anchorLock="0"/>
    </w:pPr>
    <w:r w:rsidRPr="00A32418">
      <w:t xml:space="preserve">  </w:t>
    </w:r>
    <w:r w:rsidRPr="00A32418">
      <w:rPr>
        <w:rStyle w:val="SidhuvudUtskott"/>
      </w:rPr>
      <w:t>2005/06:RRS3</w:t>
    </w:r>
  </w:p>
  <w:p w:rsidR="00B55D97" w:rsidRPr="00A32418" w:rsidRDefault="00B55D97">
    <w:pPr>
      <w:pStyle w:val="SidhuvudKantUdda"/>
      <w:framePr w:w="8732" w:h="567" w:hRule="exact" w:vSpace="0" w:wrap="around" w:vAnchor="page" w:y="341" w:anchorLock="0"/>
    </w:pPr>
  </w:p>
  <w:p w:rsidR="00B55D97" w:rsidRPr="00A32418" w:rsidRDefault="00B55D9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088"/>
    <w:multiLevelType w:val="hybridMultilevel"/>
    <w:tmpl w:val="AC1C3C3E"/>
    <w:lvl w:ilvl="0" w:tplc="041D0005">
      <w:start w:val="1"/>
      <w:numFmt w:val="bullet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10A53A43"/>
    <w:multiLevelType w:val="hybridMultilevel"/>
    <w:tmpl w:val="B66256C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282F01"/>
    <w:multiLevelType w:val="multilevel"/>
    <w:tmpl w:val="B662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6C3F006D"/>
    <w:multiLevelType w:val="hybridMultilevel"/>
    <w:tmpl w:val="FFE6A1B2"/>
    <w:lvl w:ilvl="0" w:tplc="3E9A0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E4985"/>
    <w:multiLevelType w:val="hybridMultilevel"/>
    <w:tmpl w:val="39C6D58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20CAD"/>
    <w:multiLevelType w:val="multilevel"/>
    <w:tmpl w:val="FFE6A1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84341"/>
    <w:multiLevelType w:val="hybridMultilevel"/>
    <w:tmpl w:val="C4684508"/>
    <w:lvl w:ilvl="0" w:tplc="EA66F27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036614420">
    <w:abstractNumId w:val="3"/>
  </w:num>
  <w:num w:numId="2" w16cid:durableId="40253708">
    <w:abstractNumId w:val="5"/>
  </w:num>
  <w:num w:numId="3" w16cid:durableId="1236932596">
    <w:abstractNumId w:val="1"/>
  </w:num>
  <w:num w:numId="4" w16cid:durableId="248273927">
    <w:abstractNumId w:val="10"/>
  </w:num>
  <w:num w:numId="5" w16cid:durableId="845944670">
    <w:abstractNumId w:val="7"/>
  </w:num>
  <w:num w:numId="6" w16cid:durableId="834955558">
    <w:abstractNumId w:val="2"/>
  </w:num>
  <w:num w:numId="7" w16cid:durableId="689987681">
    <w:abstractNumId w:val="0"/>
  </w:num>
  <w:num w:numId="8" w16cid:durableId="1084643330">
    <w:abstractNumId w:val="4"/>
  </w:num>
  <w:num w:numId="9" w16cid:durableId="99179110">
    <w:abstractNumId w:val="6"/>
  </w:num>
  <w:num w:numId="10" w16cid:durableId="872770282">
    <w:abstractNumId w:val="8"/>
  </w:num>
  <w:num w:numId="11" w16cid:durableId="1550724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506"/>
  </w:docVars>
  <w:rsids>
    <w:rsidRoot w:val="00FA0ED3"/>
    <w:rsid w:val="0000600B"/>
    <w:rsid w:val="00007428"/>
    <w:rsid w:val="00037057"/>
    <w:rsid w:val="00064B25"/>
    <w:rsid w:val="000827F1"/>
    <w:rsid w:val="000957ED"/>
    <w:rsid w:val="000C6E9C"/>
    <w:rsid w:val="000F6B1D"/>
    <w:rsid w:val="00115BB1"/>
    <w:rsid w:val="001348B2"/>
    <w:rsid w:val="00141E74"/>
    <w:rsid w:val="00163917"/>
    <w:rsid w:val="00165A5E"/>
    <w:rsid w:val="0018515A"/>
    <w:rsid w:val="00185CB6"/>
    <w:rsid w:val="001C3E9E"/>
    <w:rsid w:val="001D617E"/>
    <w:rsid w:val="001E264E"/>
    <w:rsid w:val="001F42BC"/>
    <w:rsid w:val="001F6430"/>
    <w:rsid w:val="0020634B"/>
    <w:rsid w:val="00214593"/>
    <w:rsid w:val="002470DC"/>
    <w:rsid w:val="00250D7B"/>
    <w:rsid w:val="00257AFF"/>
    <w:rsid w:val="00267CCD"/>
    <w:rsid w:val="00285781"/>
    <w:rsid w:val="002A1381"/>
    <w:rsid w:val="002A6889"/>
    <w:rsid w:val="002C55E3"/>
    <w:rsid w:val="002C70C8"/>
    <w:rsid w:val="002F0A87"/>
    <w:rsid w:val="002F1F20"/>
    <w:rsid w:val="002F4D5B"/>
    <w:rsid w:val="003231CD"/>
    <w:rsid w:val="003278A8"/>
    <w:rsid w:val="00333FF2"/>
    <w:rsid w:val="003450DF"/>
    <w:rsid w:val="00353DE1"/>
    <w:rsid w:val="00371595"/>
    <w:rsid w:val="00397BF6"/>
    <w:rsid w:val="003A5C6B"/>
    <w:rsid w:val="003A799F"/>
    <w:rsid w:val="003B3C60"/>
    <w:rsid w:val="003B4CCD"/>
    <w:rsid w:val="003D79D8"/>
    <w:rsid w:val="003E3417"/>
    <w:rsid w:val="003F5B33"/>
    <w:rsid w:val="004276FE"/>
    <w:rsid w:val="0043658A"/>
    <w:rsid w:val="00460495"/>
    <w:rsid w:val="00471647"/>
    <w:rsid w:val="00471E4E"/>
    <w:rsid w:val="00484FC6"/>
    <w:rsid w:val="004B09C6"/>
    <w:rsid w:val="004C4C99"/>
    <w:rsid w:val="004D3581"/>
    <w:rsid w:val="004E3A52"/>
    <w:rsid w:val="00502961"/>
    <w:rsid w:val="00555B52"/>
    <w:rsid w:val="00556EF0"/>
    <w:rsid w:val="005575FC"/>
    <w:rsid w:val="005773D4"/>
    <w:rsid w:val="00583DB8"/>
    <w:rsid w:val="00593651"/>
    <w:rsid w:val="005A12AB"/>
    <w:rsid w:val="005A1C33"/>
    <w:rsid w:val="005A2C00"/>
    <w:rsid w:val="005A4044"/>
    <w:rsid w:val="005C5B9E"/>
    <w:rsid w:val="005D5ED7"/>
    <w:rsid w:val="005E2860"/>
    <w:rsid w:val="00606830"/>
    <w:rsid w:val="00607C54"/>
    <w:rsid w:val="00612606"/>
    <w:rsid w:val="00624382"/>
    <w:rsid w:val="00640FD6"/>
    <w:rsid w:val="00647003"/>
    <w:rsid w:val="00673B8F"/>
    <w:rsid w:val="006826BB"/>
    <w:rsid w:val="006A2F0B"/>
    <w:rsid w:val="006A73F7"/>
    <w:rsid w:val="006B59A9"/>
    <w:rsid w:val="006D0187"/>
    <w:rsid w:val="006E2A78"/>
    <w:rsid w:val="006F3E8C"/>
    <w:rsid w:val="007049B3"/>
    <w:rsid w:val="00711EDD"/>
    <w:rsid w:val="00715EF7"/>
    <w:rsid w:val="00725549"/>
    <w:rsid w:val="0074773D"/>
    <w:rsid w:val="007629E6"/>
    <w:rsid w:val="00781D4F"/>
    <w:rsid w:val="00781E0A"/>
    <w:rsid w:val="007A624F"/>
    <w:rsid w:val="007C1C68"/>
    <w:rsid w:val="007C5ECC"/>
    <w:rsid w:val="007F1AAF"/>
    <w:rsid w:val="0081387E"/>
    <w:rsid w:val="00826B13"/>
    <w:rsid w:val="00826FAF"/>
    <w:rsid w:val="0083721E"/>
    <w:rsid w:val="00851225"/>
    <w:rsid w:val="00853C16"/>
    <w:rsid w:val="008603A2"/>
    <w:rsid w:val="008705EA"/>
    <w:rsid w:val="00871142"/>
    <w:rsid w:val="00872C07"/>
    <w:rsid w:val="00890B0C"/>
    <w:rsid w:val="0090258A"/>
    <w:rsid w:val="009065F8"/>
    <w:rsid w:val="00911ED8"/>
    <w:rsid w:val="00931551"/>
    <w:rsid w:val="0094407F"/>
    <w:rsid w:val="00955EBC"/>
    <w:rsid w:val="009B5247"/>
    <w:rsid w:val="009C0860"/>
    <w:rsid w:val="009F28E3"/>
    <w:rsid w:val="00A062F9"/>
    <w:rsid w:val="00A16D0C"/>
    <w:rsid w:val="00A216D4"/>
    <w:rsid w:val="00A32418"/>
    <w:rsid w:val="00A36E5A"/>
    <w:rsid w:val="00A40D52"/>
    <w:rsid w:val="00A44154"/>
    <w:rsid w:val="00A478F8"/>
    <w:rsid w:val="00A660C7"/>
    <w:rsid w:val="00A7604C"/>
    <w:rsid w:val="00A94B58"/>
    <w:rsid w:val="00AA2388"/>
    <w:rsid w:val="00AA4B57"/>
    <w:rsid w:val="00AB37E7"/>
    <w:rsid w:val="00AD47A3"/>
    <w:rsid w:val="00AD5B1C"/>
    <w:rsid w:val="00AF25D3"/>
    <w:rsid w:val="00AF70D8"/>
    <w:rsid w:val="00AF76EF"/>
    <w:rsid w:val="00B421DE"/>
    <w:rsid w:val="00B55D97"/>
    <w:rsid w:val="00B709AB"/>
    <w:rsid w:val="00B80E81"/>
    <w:rsid w:val="00B827BD"/>
    <w:rsid w:val="00B90A9B"/>
    <w:rsid w:val="00BB5AAC"/>
    <w:rsid w:val="00BC2F27"/>
    <w:rsid w:val="00BE4B5C"/>
    <w:rsid w:val="00BF26A9"/>
    <w:rsid w:val="00BF4279"/>
    <w:rsid w:val="00BF4551"/>
    <w:rsid w:val="00BF47C8"/>
    <w:rsid w:val="00C1366D"/>
    <w:rsid w:val="00C359AA"/>
    <w:rsid w:val="00C42A5C"/>
    <w:rsid w:val="00C475B9"/>
    <w:rsid w:val="00C61DED"/>
    <w:rsid w:val="00C659B0"/>
    <w:rsid w:val="00C8168E"/>
    <w:rsid w:val="00C865AA"/>
    <w:rsid w:val="00CB15E7"/>
    <w:rsid w:val="00CD347C"/>
    <w:rsid w:val="00CE7A2C"/>
    <w:rsid w:val="00D20088"/>
    <w:rsid w:val="00D63D2E"/>
    <w:rsid w:val="00DB20B0"/>
    <w:rsid w:val="00DC79FC"/>
    <w:rsid w:val="00DC7B60"/>
    <w:rsid w:val="00DD2FCA"/>
    <w:rsid w:val="00DE4913"/>
    <w:rsid w:val="00E148E1"/>
    <w:rsid w:val="00E22572"/>
    <w:rsid w:val="00E304B7"/>
    <w:rsid w:val="00E31E8A"/>
    <w:rsid w:val="00E37DB0"/>
    <w:rsid w:val="00E442E6"/>
    <w:rsid w:val="00E46740"/>
    <w:rsid w:val="00E635AD"/>
    <w:rsid w:val="00E65B8E"/>
    <w:rsid w:val="00EC2573"/>
    <w:rsid w:val="00EE7CA1"/>
    <w:rsid w:val="00EF1E7C"/>
    <w:rsid w:val="00F159E5"/>
    <w:rsid w:val="00F17A8C"/>
    <w:rsid w:val="00F23953"/>
    <w:rsid w:val="00F82799"/>
    <w:rsid w:val="00F8431D"/>
    <w:rsid w:val="00F849C8"/>
    <w:rsid w:val="00FA0C3F"/>
    <w:rsid w:val="00FA0ED3"/>
    <w:rsid w:val="00FB0E32"/>
    <w:rsid w:val="00FB646E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0AA6B-FCD9-4D04-BABD-1898D710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Rubrikfigurochtabell">
    <w:name w:val="Rubrik figur och tabell"/>
    <w:rsid w:val="00E635AD"/>
    <w:pPr>
      <w:keepNext/>
      <w:spacing w:before="120" w:after="40" w:line="200" w:lineRule="atLeast"/>
    </w:pPr>
    <w:rPr>
      <w:rFonts w:ascii="ScalaSans-Regular" w:hAnsi="ScalaSans-Regular"/>
      <w:sz w:val="18"/>
      <w:lang w:val="sv-SE" w:eastAsia="en-US"/>
    </w:rPr>
  </w:style>
  <w:style w:type="paragraph" w:customStyle="1" w:styleId="Tabellsiffror">
    <w:name w:val="Tabellsiffror"/>
    <w:basedOn w:val="Normal"/>
    <w:rsid w:val="00E635AD"/>
    <w:pPr>
      <w:spacing w:before="40" w:line="240" w:lineRule="atLeast"/>
      <w:jc w:val="left"/>
    </w:pPr>
    <w:rPr>
      <w:rFonts w:ascii="ScalaSansLF-Regular" w:hAnsi="ScalaSansLF-Regular"/>
      <w:sz w:val="18"/>
      <w:szCs w:val="18"/>
      <w:lang w:eastAsia="en-US"/>
    </w:rPr>
  </w:style>
  <w:style w:type="paragraph" w:customStyle="1" w:styleId="Klla">
    <w:name w:val="Källa"/>
    <w:basedOn w:val="Normal"/>
    <w:next w:val="Normal"/>
    <w:rsid w:val="00E635AD"/>
    <w:pPr>
      <w:spacing w:before="40" w:after="80" w:line="200" w:lineRule="atLeast"/>
      <w:jc w:val="left"/>
    </w:pPr>
    <w:rPr>
      <w:rFonts w:ascii="ScalaSans-Italic" w:hAnsi="ScalaSans-Italic"/>
      <w:sz w:val="16"/>
      <w:szCs w:val="16"/>
      <w:lang w:eastAsia="en-US"/>
    </w:rPr>
  </w:style>
  <w:style w:type="table" w:styleId="Enkeltabell1">
    <w:name w:val="Table Simple 1"/>
    <w:basedOn w:val="Normaltabell"/>
    <w:rsid w:val="00E635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rsid w:val="00E6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3202</Words>
  <Characters>20690</Characters>
  <Application>Microsoft Office Word</Application>
  <DocSecurity>4</DocSecurity>
  <Lines>470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21</vt:i4>
      </vt:variant>
    </vt:vector>
  </HeadingPairs>
  <TitlesOfParts>
    <vt:vector size="22" baseType="lpstr">
      <vt:lpstr>1999/2000:T1</vt:lpstr>
      <vt:lpstr>Sammanfattning</vt:lpstr>
      <vt:lpstr>Innehållsförteckning</vt:lpstr>
      <vt:lpstr>Styrelsens redogörelse</vt:lpstr>
      <vt:lpstr>Riksrevisionens granskning</vt:lpstr>
      <vt:lpstr>    Granskningens bakgrund och inriktning</vt:lpstr>
      <vt:lpstr>        Utgångspunkter</vt:lpstr>
      <vt:lpstr>        Granskningens inriktning</vt:lpstr>
      <vt:lpstr>    De regionala stöden – en bakgrund</vt:lpstr>
      <vt:lpstr>        Många myndigheter fördelar stödet </vt:lpstr>
      <vt:lpstr>        Regionalpolitiken har förändrats gradvis </vt:lpstr>
      <vt:lpstr>        Regionalpolitikens inriktning rymmer en paradox</vt:lpstr>
      <vt:lpstr>        Stödens effekter är svåra att utvärdera </vt:lpstr>
      <vt:lpstr>        Förslag från ITPS om uppföljningar och effektutvärderingar</vt:lpstr>
      <vt:lpstr>    Riksrevisionens slutsatser</vt:lpstr>
      <vt:lpstr>        Målen har inte fått en tydlig tillväxtinriktning</vt:lpstr>
      <vt:lpstr>        Stödformerna saknar uppföljningsbara mål</vt:lpstr>
      <vt:lpstr>        Regeringens återrapporteringskrav har brister</vt:lpstr>
      <vt:lpstr>        Stödförordningarna är inte anpassade till målen </vt:lpstr>
      <vt:lpstr>        Återrapporteringen till riksdagen är otillräcklig </vt:lpstr>
      <vt:lpstr>    Riksrevisionens rekommendationer</vt:lpstr>
      <vt:lpstr>Styrelsens överväganden</vt:lpstr>
    </vt:vector>
  </TitlesOfParts>
  <Company>Riksdagen</Company>
  <LinksUpToDate>false</LinksUpToDate>
  <CharactersWithSpaces>23707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2005-08-31T10:07:00Z</cp:lastPrinted>
  <dcterms:created xsi:type="dcterms:W3CDTF">2025-12-16T22:20:00Z</dcterms:created>
  <dcterms:modified xsi:type="dcterms:W3CDTF">2025-12-16T22:20:00Z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RRS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