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DBD73F" w14:textId="77777777" w:rsidR="00FB32B9" w:rsidRDefault="00244C16" w:rsidP="00FB32B9">
      <w:pPr>
        <w:pStyle w:val="UDrubrik"/>
        <w:tabs>
          <w:tab w:val="left" w:pos="1701"/>
          <w:tab w:val="left" w:pos="1985"/>
        </w:tabs>
        <w:rPr>
          <w:rFonts w:cs="Arial"/>
          <w:sz w:val="28"/>
        </w:rPr>
      </w:pPr>
    </w:p>
    <w:p w14:paraId="4CDBD740" w14:textId="77777777" w:rsidR="00FB32B9" w:rsidRDefault="00244C16" w:rsidP="00FB32B9">
      <w:pPr>
        <w:pStyle w:val="UDrubrik"/>
        <w:tabs>
          <w:tab w:val="left" w:pos="1701"/>
          <w:tab w:val="left" w:pos="1985"/>
        </w:tabs>
        <w:rPr>
          <w:rFonts w:cs="Arial"/>
          <w:sz w:val="28"/>
        </w:rPr>
      </w:pPr>
    </w:p>
    <w:p w14:paraId="4CDBD741" w14:textId="77777777" w:rsidR="00FB32B9" w:rsidRDefault="00244C16" w:rsidP="00FB32B9">
      <w:pPr>
        <w:pStyle w:val="UDrubrik"/>
        <w:tabs>
          <w:tab w:val="left" w:pos="1701"/>
          <w:tab w:val="left" w:pos="1985"/>
        </w:tabs>
        <w:rPr>
          <w:rFonts w:cs="Arial"/>
          <w:sz w:val="28"/>
        </w:rPr>
      </w:pPr>
    </w:p>
    <w:p w14:paraId="4CDBD742" w14:textId="77777777" w:rsidR="00FB32B9" w:rsidRDefault="00244C16" w:rsidP="00FB32B9">
      <w:pPr>
        <w:pStyle w:val="UDrubrik"/>
        <w:tabs>
          <w:tab w:val="left" w:pos="1701"/>
          <w:tab w:val="left" w:pos="1985"/>
        </w:tabs>
        <w:rPr>
          <w:rFonts w:cs="Arial"/>
          <w:sz w:val="28"/>
        </w:rPr>
      </w:pPr>
    </w:p>
    <w:p w14:paraId="4CDBD743" w14:textId="3007C310" w:rsidR="00FB32B9" w:rsidRDefault="00244C16" w:rsidP="00FB32B9">
      <w:pPr>
        <w:pStyle w:val="UDrubrik"/>
        <w:tabs>
          <w:tab w:val="left" w:pos="1701"/>
          <w:tab w:val="left" w:pos="1985"/>
        </w:tabs>
        <w:rPr>
          <w:rFonts w:cs="Arial"/>
          <w:sz w:val="28"/>
        </w:rPr>
      </w:pPr>
      <w:r>
        <w:rPr>
          <w:rFonts w:cs="Arial"/>
          <w:sz w:val="28"/>
        </w:rPr>
        <w:t xml:space="preserve">Troliga A-punkter inför kommande rådsmöten som förväntas godkännas vid </w:t>
      </w:r>
      <w:r>
        <w:rPr>
          <w:rFonts w:cs="Arial"/>
          <w:sz w:val="28"/>
        </w:rPr>
        <w:t xml:space="preserve">Coreper II </w:t>
      </w:r>
      <w:r w:rsidR="005F412E">
        <w:rPr>
          <w:rFonts w:cs="Arial"/>
          <w:sz w:val="28"/>
        </w:rPr>
        <w:t xml:space="preserve">torsdagen den 29 oktober 2015 </w:t>
      </w:r>
      <w:r>
        <w:rPr>
          <w:rFonts w:cs="Arial"/>
          <w:sz w:val="28"/>
        </w:rPr>
        <w:t xml:space="preserve">vecka </w:t>
      </w:r>
      <w:r w:rsidR="005F412E">
        <w:rPr>
          <w:rFonts w:cs="Arial"/>
          <w:sz w:val="28"/>
        </w:rPr>
        <w:t>44.</w:t>
      </w:r>
    </w:p>
    <w:p w14:paraId="4CDBD744" w14:textId="77777777" w:rsidR="00FB32B9" w:rsidRDefault="00244C16" w:rsidP="00FB32B9">
      <w:pPr>
        <w:pStyle w:val="Brdtext"/>
      </w:pPr>
    </w:p>
    <w:p w14:paraId="4CDBD745" w14:textId="45DECC20" w:rsidR="00FB32B9" w:rsidRDefault="00244C16" w:rsidP="00FB32B9">
      <w:pPr>
        <w:pStyle w:val="Brdtext"/>
      </w:pPr>
      <w:r>
        <w:t xml:space="preserve">Överlämnas för skriftligt samråd till </w:t>
      </w:r>
      <w:r w:rsidR="00D8196B">
        <w:t>måndagen den 2 november 2015, kl 09.00.</w:t>
      </w:r>
    </w:p>
    <w:p w14:paraId="4CDBD746" w14:textId="77777777" w:rsidR="00FB32B9" w:rsidRDefault="00244C16">
      <w:pPr>
        <w:ind w:left="0"/>
      </w:pPr>
      <w:r>
        <w:rPr>
          <w:b/>
          <w:bCs/>
        </w:rPr>
        <w:br w:type="page"/>
      </w:r>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4CDBD747" w14:textId="77777777" w:rsidR="00D957FB" w:rsidRPr="00FB32B9" w:rsidRDefault="00244C16">
          <w:pPr>
            <w:pStyle w:val="Innehllsfrteckningsrubrik"/>
            <w:rPr>
              <w:color w:val="auto"/>
            </w:rPr>
          </w:pPr>
          <w:r w:rsidRPr="00FB32B9">
            <w:rPr>
              <w:color w:val="auto"/>
            </w:rPr>
            <w:t>Innehållsförteckning</w:t>
          </w:r>
        </w:p>
        <w:p w14:paraId="4CDBD748" w14:textId="77777777" w:rsidR="00DA7250" w:rsidRPr="00DA7250" w:rsidRDefault="00244C16" w:rsidP="00DA7250">
          <w:pPr>
            <w:rPr>
              <w:lang w:val="en-US" w:eastAsia="ja-JP"/>
            </w:rPr>
          </w:pPr>
        </w:p>
        <w:p w14:paraId="40409889" w14:textId="77777777" w:rsidR="00D8196B" w:rsidRDefault="00244C16">
          <w:pPr>
            <w:pStyle w:val="Innehll1"/>
            <w:tabs>
              <w:tab w:val="left" w:pos="440"/>
              <w:tab w:val="right" w:leader="dot" w:pos="9062"/>
            </w:tabs>
            <w:rPr>
              <w:rFonts w:asciiTheme="minorHAnsi" w:eastAsiaTheme="minorEastAsia" w:hAnsiTheme="minorHAnsi" w:cstheme="minorBidi"/>
              <w:noProof/>
              <w:lang w:eastAsia="sv-SE"/>
            </w:rPr>
          </w:pPr>
          <w:r>
            <w:fldChar w:fldCharType="begin"/>
          </w:r>
          <w:r>
            <w:instrText xml:space="preserve"> TOC \o "1-1" \h \z \u </w:instrText>
          </w:r>
          <w:r>
            <w:fldChar w:fldCharType="separate"/>
          </w:r>
          <w:hyperlink w:anchor="_Toc433873891" w:history="1">
            <w:r w:rsidR="00D8196B" w:rsidRPr="00EE45A5">
              <w:rPr>
                <w:rStyle w:val="Hyperlnk"/>
                <w:noProof/>
              </w:rPr>
              <w:t>1.</w:t>
            </w:r>
            <w:r w:rsidR="00D8196B">
              <w:rPr>
                <w:rFonts w:asciiTheme="minorHAnsi" w:eastAsiaTheme="minorEastAsia" w:hAnsiTheme="minorHAnsi" w:cstheme="minorBidi"/>
                <w:noProof/>
                <w:lang w:eastAsia="sv-SE"/>
              </w:rPr>
              <w:tab/>
            </w:r>
            <w:r w:rsidR="00D8196B" w:rsidRPr="00EE45A5">
              <w:rPr>
                <w:rStyle w:val="Hyperlnk"/>
                <w:noProof/>
              </w:rPr>
              <w:t>Affaire devant la Cour de justice de l'Union européenne Affaire C-459/15 P (Iranian Offshore Engineering &amp;amp; Construction Co. contre le Conseil de l'Union européenne)</w:t>
            </w:r>
            <w:r w:rsidR="00D8196B">
              <w:rPr>
                <w:noProof/>
                <w:webHidden/>
              </w:rPr>
              <w:tab/>
            </w:r>
            <w:r w:rsidR="00D8196B">
              <w:rPr>
                <w:noProof/>
                <w:webHidden/>
              </w:rPr>
              <w:fldChar w:fldCharType="begin"/>
            </w:r>
            <w:r w:rsidR="00D8196B">
              <w:rPr>
                <w:noProof/>
                <w:webHidden/>
              </w:rPr>
              <w:instrText xml:space="preserve"> PAGEREF _Toc433873891 \h </w:instrText>
            </w:r>
            <w:r w:rsidR="00D8196B">
              <w:rPr>
                <w:noProof/>
                <w:webHidden/>
              </w:rPr>
            </w:r>
            <w:r w:rsidR="00D8196B">
              <w:rPr>
                <w:noProof/>
                <w:webHidden/>
              </w:rPr>
              <w:fldChar w:fldCharType="separate"/>
            </w:r>
            <w:r w:rsidR="00D8196B">
              <w:rPr>
                <w:noProof/>
                <w:webHidden/>
              </w:rPr>
              <w:t>3</w:t>
            </w:r>
            <w:r w:rsidR="00D8196B">
              <w:rPr>
                <w:noProof/>
                <w:webHidden/>
              </w:rPr>
              <w:fldChar w:fldCharType="end"/>
            </w:r>
          </w:hyperlink>
        </w:p>
        <w:p w14:paraId="09289A49" w14:textId="77777777" w:rsidR="00D8196B" w:rsidRDefault="00D8196B">
          <w:pPr>
            <w:pStyle w:val="Innehll1"/>
            <w:tabs>
              <w:tab w:val="left" w:pos="440"/>
              <w:tab w:val="right" w:leader="dot" w:pos="9062"/>
            </w:tabs>
            <w:rPr>
              <w:rFonts w:asciiTheme="minorHAnsi" w:eastAsiaTheme="minorEastAsia" w:hAnsiTheme="minorHAnsi" w:cstheme="minorBidi"/>
              <w:noProof/>
              <w:lang w:eastAsia="sv-SE"/>
            </w:rPr>
          </w:pPr>
          <w:hyperlink w:anchor="_Toc433873892" w:history="1">
            <w:r w:rsidRPr="00EE45A5">
              <w:rPr>
                <w:rStyle w:val="Hyperlnk"/>
                <w:noProof/>
              </w:rPr>
              <w:t>2.</w:t>
            </w:r>
            <w:r>
              <w:rPr>
                <w:rFonts w:asciiTheme="minorHAnsi" w:eastAsiaTheme="minorEastAsia" w:hAnsiTheme="minorHAnsi" w:cstheme="minorBidi"/>
                <w:noProof/>
                <w:lang w:eastAsia="sv-SE"/>
              </w:rPr>
              <w:tab/>
            </w:r>
            <w:r w:rsidRPr="00EE45A5">
              <w:rPr>
                <w:rStyle w:val="Hyperlnk"/>
                <w:noProof/>
              </w:rPr>
              <w:t>Affaire devant la Cour de justice de l'Union européenne (Avis 2/15) –Demande d’avis déposée par la Commission européenne, conformément à l’article 218, paragraphe 11, du traité sur le fonctionnement de l’Union européenne, au sujet de la question suivante: L’Union a-t-elle la compétence requise pour signer et conclure seule l’accord de libre-échange avec Singapour?</w:t>
            </w:r>
            <w:r>
              <w:rPr>
                <w:noProof/>
                <w:webHidden/>
              </w:rPr>
              <w:tab/>
            </w:r>
            <w:r>
              <w:rPr>
                <w:noProof/>
                <w:webHidden/>
              </w:rPr>
              <w:fldChar w:fldCharType="begin"/>
            </w:r>
            <w:r>
              <w:rPr>
                <w:noProof/>
                <w:webHidden/>
              </w:rPr>
              <w:instrText xml:space="preserve"> PAGEREF _Toc433873892 \h </w:instrText>
            </w:r>
            <w:r>
              <w:rPr>
                <w:noProof/>
                <w:webHidden/>
              </w:rPr>
            </w:r>
            <w:r>
              <w:rPr>
                <w:noProof/>
                <w:webHidden/>
              </w:rPr>
              <w:fldChar w:fldCharType="separate"/>
            </w:r>
            <w:r>
              <w:rPr>
                <w:noProof/>
                <w:webHidden/>
              </w:rPr>
              <w:t>3</w:t>
            </w:r>
            <w:r>
              <w:rPr>
                <w:noProof/>
                <w:webHidden/>
              </w:rPr>
              <w:fldChar w:fldCharType="end"/>
            </w:r>
          </w:hyperlink>
        </w:p>
        <w:p w14:paraId="75B3A62D" w14:textId="77777777" w:rsidR="00D8196B" w:rsidRDefault="00D8196B">
          <w:pPr>
            <w:pStyle w:val="Innehll1"/>
            <w:tabs>
              <w:tab w:val="left" w:pos="440"/>
              <w:tab w:val="right" w:leader="dot" w:pos="9062"/>
            </w:tabs>
            <w:rPr>
              <w:rFonts w:asciiTheme="minorHAnsi" w:eastAsiaTheme="minorEastAsia" w:hAnsiTheme="minorHAnsi" w:cstheme="minorBidi"/>
              <w:noProof/>
              <w:lang w:eastAsia="sv-SE"/>
            </w:rPr>
          </w:pPr>
          <w:hyperlink w:anchor="_Toc433873893" w:history="1">
            <w:r w:rsidRPr="00EE45A5">
              <w:rPr>
                <w:rStyle w:val="Hyperlnk"/>
                <w:noProof/>
              </w:rPr>
              <w:t>3.</w:t>
            </w:r>
            <w:r>
              <w:rPr>
                <w:rFonts w:asciiTheme="minorHAnsi" w:eastAsiaTheme="minorEastAsia" w:hAnsiTheme="minorHAnsi" w:cstheme="minorBidi"/>
                <w:noProof/>
                <w:lang w:eastAsia="sv-SE"/>
              </w:rPr>
              <w:tab/>
            </w:r>
            <w:r w:rsidRPr="00EE45A5">
              <w:rPr>
                <w:rStyle w:val="Hyperlnk"/>
                <w:noProof/>
              </w:rPr>
              <w:t>Arrêt de la Cour de justice du 8 septembre 2015 dans l'affaire C-44/14 =Légalité de l'article 19 du règlement (UE) n° 1052/2013 du Parlement européen et du Conseil du 22 octobre 2013 portant création du système européen de surveillance des frontières (Eurosur)</w:t>
            </w:r>
            <w:r>
              <w:rPr>
                <w:noProof/>
                <w:webHidden/>
              </w:rPr>
              <w:tab/>
            </w:r>
            <w:r>
              <w:rPr>
                <w:noProof/>
                <w:webHidden/>
              </w:rPr>
              <w:fldChar w:fldCharType="begin"/>
            </w:r>
            <w:r>
              <w:rPr>
                <w:noProof/>
                <w:webHidden/>
              </w:rPr>
              <w:instrText xml:space="preserve"> PAGEREF _Toc433873893 \h </w:instrText>
            </w:r>
            <w:r>
              <w:rPr>
                <w:noProof/>
                <w:webHidden/>
              </w:rPr>
            </w:r>
            <w:r>
              <w:rPr>
                <w:noProof/>
                <w:webHidden/>
              </w:rPr>
              <w:fldChar w:fldCharType="separate"/>
            </w:r>
            <w:r>
              <w:rPr>
                <w:noProof/>
                <w:webHidden/>
              </w:rPr>
              <w:t>4</w:t>
            </w:r>
            <w:r>
              <w:rPr>
                <w:noProof/>
                <w:webHidden/>
              </w:rPr>
              <w:fldChar w:fldCharType="end"/>
            </w:r>
          </w:hyperlink>
        </w:p>
        <w:p w14:paraId="07FB0D61" w14:textId="77777777" w:rsidR="00D8196B" w:rsidRDefault="00D8196B">
          <w:pPr>
            <w:pStyle w:val="Innehll1"/>
            <w:tabs>
              <w:tab w:val="left" w:pos="440"/>
              <w:tab w:val="right" w:leader="dot" w:pos="9062"/>
            </w:tabs>
            <w:rPr>
              <w:rFonts w:asciiTheme="minorHAnsi" w:eastAsiaTheme="minorEastAsia" w:hAnsiTheme="minorHAnsi" w:cstheme="minorBidi"/>
              <w:noProof/>
              <w:lang w:eastAsia="sv-SE"/>
            </w:rPr>
          </w:pPr>
          <w:hyperlink w:anchor="_Toc433873894" w:history="1">
            <w:r w:rsidRPr="00EE45A5">
              <w:rPr>
                <w:rStyle w:val="Hyperlnk"/>
                <w:noProof/>
              </w:rPr>
              <w:t>4.</w:t>
            </w:r>
            <w:r>
              <w:rPr>
                <w:rFonts w:asciiTheme="minorHAnsi" w:eastAsiaTheme="minorEastAsia" w:hAnsiTheme="minorHAnsi" w:cstheme="minorBidi"/>
                <w:noProof/>
                <w:lang w:eastAsia="sv-SE"/>
              </w:rPr>
              <w:tab/>
            </w:r>
            <w:r w:rsidRPr="00EE45A5">
              <w:rPr>
                <w:rStyle w:val="Hyperlnk"/>
                <w:noProof/>
              </w:rPr>
              <w:t>Projet de décision du Conseil portant nomination d'un suppléant suédois du Comité des régions</w:t>
            </w:r>
            <w:r>
              <w:rPr>
                <w:noProof/>
                <w:webHidden/>
              </w:rPr>
              <w:tab/>
            </w:r>
            <w:r>
              <w:rPr>
                <w:noProof/>
                <w:webHidden/>
              </w:rPr>
              <w:fldChar w:fldCharType="begin"/>
            </w:r>
            <w:r>
              <w:rPr>
                <w:noProof/>
                <w:webHidden/>
              </w:rPr>
              <w:instrText xml:space="preserve"> PAGEREF _Toc433873894 \h </w:instrText>
            </w:r>
            <w:r>
              <w:rPr>
                <w:noProof/>
                <w:webHidden/>
              </w:rPr>
            </w:r>
            <w:r>
              <w:rPr>
                <w:noProof/>
                <w:webHidden/>
              </w:rPr>
              <w:fldChar w:fldCharType="separate"/>
            </w:r>
            <w:r>
              <w:rPr>
                <w:noProof/>
                <w:webHidden/>
              </w:rPr>
              <w:t>5</w:t>
            </w:r>
            <w:r>
              <w:rPr>
                <w:noProof/>
                <w:webHidden/>
              </w:rPr>
              <w:fldChar w:fldCharType="end"/>
            </w:r>
          </w:hyperlink>
        </w:p>
        <w:p w14:paraId="453CED79" w14:textId="77777777" w:rsidR="00D8196B" w:rsidRDefault="00D8196B">
          <w:pPr>
            <w:pStyle w:val="Innehll1"/>
            <w:tabs>
              <w:tab w:val="left" w:pos="440"/>
              <w:tab w:val="right" w:leader="dot" w:pos="9062"/>
            </w:tabs>
            <w:rPr>
              <w:rFonts w:asciiTheme="minorHAnsi" w:eastAsiaTheme="minorEastAsia" w:hAnsiTheme="minorHAnsi" w:cstheme="minorBidi"/>
              <w:noProof/>
              <w:lang w:eastAsia="sv-SE"/>
            </w:rPr>
          </w:pPr>
          <w:hyperlink w:anchor="_Toc433873895" w:history="1">
            <w:r w:rsidRPr="00EE45A5">
              <w:rPr>
                <w:rStyle w:val="Hyperlnk"/>
                <w:noProof/>
              </w:rPr>
              <w:t>5.</w:t>
            </w:r>
            <w:r>
              <w:rPr>
                <w:rFonts w:asciiTheme="minorHAnsi" w:eastAsiaTheme="minorEastAsia" w:hAnsiTheme="minorHAnsi" w:cstheme="minorBidi"/>
                <w:noProof/>
                <w:lang w:eastAsia="sv-SE"/>
              </w:rPr>
              <w:tab/>
            </w:r>
            <w:r w:rsidRPr="00EE45A5">
              <w:rPr>
                <w:rStyle w:val="Hyperlnk"/>
                <w:noProof/>
              </w:rPr>
              <w:t>Projet de décision du Conseil portant nomination d'un membre maltais et de deux suppléants maltais du Comité des régions</w:t>
            </w:r>
            <w:r>
              <w:rPr>
                <w:noProof/>
                <w:webHidden/>
              </w:rPr>
              <w:tab/>
            </w:r>
            <w:r>
              <w:rPr>
                <w:noProof/>
                <w:webHidden/>
              </w:rPr>
              <w:fldChar w:fldCharType="begin"/>
            </w:r>
            <w:r>
              <w:rPr>
                <w:noProof/>
                <w:webHidden/>
              </w:rPr>
              <w:instrText xml:space="preserve"> PAGEREF _Toc433873895 \h </w:instrText>
            </w:r>
            <w:r>
              <w:rPr>
                <w:noProof/>
                <w:webHidden/>
              </w:rPr>
            </w:r>
            <w:r>
              <w:rPr>
                <w:noProof/>
                <w:webHidden/>
              </w:rPr>
              <w:fldChar w:fldCharType="separate"/>
            </w:r>
            <w:r>
              <w:rPr>
                <w:noProof/>
                <w:webHidden/>
              </w:rPr>
              <w:t>5</w:t>
            </w:r>
            <w:r>
              <w:rPr>
                <w:noProof/>
                <w:webHidden/>
              </w:rPr>
              <w:fldChar w:fldCharType="end"/>
            </w:r>
          </w:hyperlink>
        </w:p>
        <w:p w14:paraId="4D6F0D61" w14:textId="77777777" w:rsidR="00D8196B" w:rsidRDefault="00D8196B">
          <w:pPr>
            <w:pStyle w:val="Innehll1"/>
            <w:tabs>
              <w:tab w:val="left" w:pos="440"/>
              <w:tab w:val="right" w:leader="dot" w:pos="9062"/>
            </w:tabs>
            <w:rPr>
              <w:rFonts w:asciiTheme="minorHAnsi" w:eastAsiaTheme="minorEastAsia" w:hAnsiTheme="minorHAnsi" w:cstheme="minorBidi"/>
              <w:noProof/>
              <w:lang w:eastAsia="sv-SE"/>
            </w:rPr>
          </w:pPr>
          <w:hyperlink w:anchor="_Toc433873896" w:history="1">
            <w:r w:rsidRPr="00EE45A5">
              <w:rPr>
                <w:rStyle w:val="Hyperlnk"/>
                <w:noProof/>
              </w:rPr>
              <w:t>6.</w:t>
            </w:r>
            <w:r>
              <w:rPr>
                <w:rFonts w:asciiTheme="minorHAnsi" w:eastAsiaTheme="minorEastAsia" w:hAnsiTheme="minorHAnsi" w:cstheme="minorBidi"/>
                <w:noProof/>
                <w:lang w:eastAsia="sv-SE"/>
              </w:rPr>
              <w:tab/>
            </w:r>
            <w:r w:rsidRPr="00EE45A5">
              <w:rPr>
                <w:rStyle w:val="Hyperlnk"/>
                <w:noProof/>
              </w:rPr>
              <w:t>Projet de directive du Parlement européen et du Conseil concernant les services de paiement dans le marché intérieur, modifiant les directives 2002/65/CE, 2009/110/CE et 2013/36/UE et le règlement (UE) n° 1093/2010, et abrogeant la directive 2007/64/CE (première lecture) (AL + D)</w:t>
            </w:r>
            <w:r>
              <w:rPr>
                <w:noProof/>
                <w:webHidden/>
              </w:rPr>
              <w:tab/>
            </w:r>
            <w:r>
              <w:rPr>
                <w:noProof/>
                <w:webHidden/>
              </w:rPr>
              <w:fldChar w:fldCharType="begin"/>
            </w:r>
            <w:r>
              <w:rPr>
                <w:noProof/>
                <w:webHidden/>
              </w:rPr>
              <w:instrText xml:space="preserve"> PAGEREF _Toc433873896 \h </w:instrText>
            </w:r>
            <w:r>
              <w:rPr>
                <w:noProof/>
                <w:webHidden/>
              </w:rPr>
            </w:r>
            <w:r>
              <w:rPr>
                <w:noProof/>
                <w:webHidden/>
              </w:rPr>
              <w:fldChar w:fldCharType="separate"/>
            </w:r>
            <w:r>
              <w:rPr>
                <w:noProof/>
                <w:webHidden/>
              </w:rPr>
              <w:t>5</w:t>
            </w:r>
            <w:r>
              <w:rPr>
                <w:noProof/>
                <w:webHidden/>
              </w:rPr>
              <w:fldChar w:fldCharType="end"/>
            </w:r>
          </w:hyperlink>
        </w:p>
        <w:p w14:paraId="38611496" w14:textId="77777777" w:rsidR="00D8196B" w:rsidRDefault="00D8196B">
          <w:pPr>
            <w:pStyle w:val="Innehll1"/>
            <w:tabs>
              <w:tab w:val="left" w:pos="440"/>
              <w:tab w:val="right" w:leader="dot" w:pos="9062"/>
            </w:tabs>
            <w:rPr>
              <w:rFonts w:asciiTheme="minorHAnsi" w:eastAsiaTheme="minorEastAsia" w:hAnsiTheme="minorHAnsi" w:cstheme="minorBidi"/>
              <w:noProof/>
              <w:lang w:eastAsia="sv-SE"/>
            </w:rPr>
          </w:pPr>
          <w:hyperlink w:anchor="_Toc433873897" w:history="1">
            <w:r w:rsidRPr="00EE45A5">
              <w:rPr>
                <w:rStyle w:val="Hyperlnk"/>
                <w:noProof/>
              </w:rPr>
              <w:t>7.</w:t>
            </w:r>
            <w:r>
              <w:rPr>
                <w:rFonts w:asciiTheme="minorHAnsi" w:eastAsiaTheme="minorEastAsia" w:hAnsiTheme="minorHAnsi" w:cstheme="minorBidi"/>
                <w:noProof/>
                <w:lang w:eastAsia="sv-SE"/>
              </w:rPr>
              <w:tab/>
            </w:r>
            <w:r w:rsidRPr="00EE45A5">
              <w:rPr>
                <w:rStyle w:val="Hyperlnk"/>
                <w:noProof/>
              </w:rPr>
              <w:t>Règlement délégué (UE) de la Commission du 29.9.2015 modifiant l'annexe II du règlement (UE) nº 1233/2011 du Parlement européen et du Conseil relatif à l'application de certaines lignes directrices pour les crédits à l'exportation bénéficiant d'un soutien public</w:t>
            </w:r>
            <w:r>
              <w:rPr>
                <w:noProof/>
                <w:webHidden/>
              </w:rPr>
              <w:tab/>
            </w:r>
            <w:r>
              <w:rPr>
                <w:noProof/>
                <w:webHidden/>
              </w:rPr>
              <w:fldChar w:fldCharType="begin"/>
            </w:r>
            <w:r>
              <w:rPr>
                <w:noProof/>
                <w:webHidden/>
              </w:rPr>
              <w:instrText xml:space="preserve"> PAGEREF _Toc433873897 \h </w:instrText>
            </w:r>
            <w:r>
              <w:rPr>
                <w:noProof/>
                <w:webHidden/>
              </w:rPr>
            </w:r>
            <w:r>
              <w:rPr>
                <w:noProof/>
                <w:webHidden/>
              </w:rPr>
              <w:fldChar w:fldCharType="separate"/>
            </w:r>
            <w:r>
              <w:rPr>
                <w:noProof/>
                <w:webHidden/>
              </w:rPr>
              <w:t>6</w:t>
            </w:r>
            <w:r>
              <w:rPr>
                <w:noProof/>
                <w:webHidden/>
              </w:rPr>
              <w:fldChar w:fldCharType="end"/>
            </w:r>
          </w:hyperlink>
        </w:p>
        <w:p w14:paraId="7F5F89DE" w14:textId="77777777" w:rsidR="00D8196B" w:rsidRDefault="00D8196B">
          <w:pPr>
            <w:pStyle w:val="Innehll1"/>
            <w:tabs>
              <w:tab w:val="left" w:pos="440"/>
              <w:tab w:val="right" w:leader="dot" w:pos="9062"/>
            </w:tabs>
            <w:rPr>
              <w:rFonts w:asciiTheme="minorHAnsi" w:eastAsiaTheme="minorEastAsia" w:hAnsiTheme="minorHAnsi" w:cstheme="minorBidi"/>
              <w:noProof/>
              <w:lang w:eastAsia="sv-SE"/>
            </w:rPr>
          </w:pPr>
          <w:hyperlink w:anchor="_Toc433873898" w:history="1">
            <w:r w:rsidRPr="00EE45A5">
              <w:rPr>
                <w:rStyle w:val="Hyperlnk"/>
                <w:noProof/>
              </w:rPr>
              <w:t>8.</w:t>
            </w:r>
            <w:r>
              <w:rPr>
                <w:rFonts w:asciiTheme="minorHAnsi" w:eastAsiaTheme="minorEastAsia" w:hAnsiTheme="minorHAnsi" w:cstheme="minorBidi"/>
                <w:noProof/>
                <w:lang w:eastAsia="sv-SE"/>
              </w:rPr>
              <w:tab/>
            </w:r>
            <w:r w:rsidRPr="00EE45A5">
              <w:rPr>
                <w:rStyle w:val="Hyperlnk"/>
                <w:noProof/>
              </w:rPr>
              <w:t>Elargissement Négociations d'adhésion avec la Serbie</w:t>
            </w:r>
            <w:r>
              <w:rPr>
                <w:noProof/>
                <w:webHidden/>
              </w:rPr>
              <w:tab/>
            </w:r>
            <w:r>
              <w:rPr>
                <w:noProof/>
                <w:webHidden/>
              </w:rPr>
              <w:fldChar w:fldCharType="begin"/>
            </w:r>
            <w:r>
              <w:rPr>
                <w:noProof/>
                <w:webHidden/>
              </w:rPr>
              <w:instrText xml:space="preserve"> PAGEREF _Toc433873898 \h </w:instrText>
            </w:r>
            <w:r>
              <w:rPr>
                <w:noProof/>
                <w:webHidden/>
              </w:rPr>
            </w:r>
            <w:r>
              <w:rPr>
                <w:noProof/>
                <w:webHidden/>
              </w:rPr>
              <w:fldChar w:fldCharType="separate"/>
            </w:r>
            <w:r>
              <w:rPr>
                <w:noProof/>
                <w:webHidden/>
              </w:rPr>
              <w:t>7</w:t>
            </w:r>
            <w:r>
              <w:rPr>
                <w:noProof/>
                <w:webHidden/>
              </w:rPr>
              <w:fldChar w:fldCharType="end"/>
            </w:r>
          </w:hyperlink>
        </w:p>
        <w:p w14:paraId="0F38FF84" w14:textId="77777777" w:rsidR="00D8196B" w:rsidRDefault="00D8196B">
          <w:pPr>
            <w:pStyle w:val="Innehll1"/>
            <w:tabs>
              <w:tab w:val="left" w:pos="440"/>
              <w:tab w:val="right" w:leader="dot" w:pos="9062"/>
            </w:tabs>
            <w:rPr>
              <w:rFonts w:asciiTheme="minorHAnsi" w:eastAsiaTheme="minorEastAsia" w:hAnsiTheme="minorHAnsi" w:cstheme="minorBidi"/>
              <w:noProof/>
              <w:lang w:eastAsia="sv-SE"/>
            </w:rPr>
          </w:pPr>
          <w:hyperlink w:anchor="_Toc433873899" w:history="1">
            <w:r w:rsidRPr="00EE45A5">
              <w:rPr>
                <w:rStyle w:val="Hyperlnk"/>
                <w:noProof/>
              </w:rPr>
              <w:t>9.</w:t>
            </w:r>
            <w:r>
              <w:rPr>
                <w:rFonts w:asciiTheme="minorHAnsi" w:eastAsiaTheme="minorEastAsia" w:hAnsiTheme="minorHAnsi" w:cstheme="minorBidi"/>
                <w:noProof/>
                <w:lang w:eastAsia="sv-SE"/>
              </w:rPr>
              <w:tab/>
            </w:r>
            <w:r w:rsidRPr="00EE45A5">
              <w:rPr>
                <w:rStyle w:val="Hyperlnk"/>
                <w:noProof/>
              </w:rPr>
              <w:t>Décision du Conseil modifiant la décision 2013/730/PESC à l'appui des activités de désarmement et de maîtrise des armements menées en Europe du Sud-Est par le centre régional pour l'Europe du Sud-Est d'échange d'informations pour la réduction des armes lgères, dans le cadre de la stratégie de l'UE de lutte contre l'accumulation illicite et le trafic des ALPC et de leurs munitions</w:t>
            </w:r>
            <w:r>
              <w:rPr>
                <w:noProof/>
                <w:webHidden/>
              </w:rPr>
              <w:tab/>
            </w:r>
            <w:r>
              <w:rPr>
                <w:noProof/>
                <w:webHidden/>
              </w:rPr>
              <w:fldChar w:fldCharType="begin"/>
            </w:r>
            <w:r>
              <w:rPr>
                <w:noProof/>
                <w:webHidden/>
              </w:rPr>
              <w:instrText xml:space="preserve"> PAGEREF _Toc433873899 \h </w:instrText>
            </w:r>
            <w:r>
              <w:rPr>
                <w:noProof/>
                <w:webHidden/>
              </w:rPr>
            </w:r>
            <w:r>
              <w:rPr>
                <w:noProof/>
                <w:webHidden/>
              </w:rPr>
              <w:fldChar w:fldCharType="separate"/>
            </w:r>
            <w:r>
              <w:rPr>
                <w:noProof/>
                <w:webHidden/>
              </w:rPr>
              <w:t>7</w:t>
            </w:r>
            <w:r>
              <w:rPr>
                <w:noProof/>
                <w:webHidden/>
              </w:rPr>
              <w:fldChar w:fldCharType="end"/>
            </w:r>
          </w:hyperlink>
        </w:p>
        <w:p w14:paraId="4CDBD751" w14:textId="77777777" w:rsidR="00D957FB" w:rsidRDefault="00244C16">
          <w:r>
            <w:rPr>
              <w:b/>
              <w:bCs/>
              <w:noProof/>
            </w:rPr>
            <w:fldChar w:fldCharType="end"/>
          </w:r>
        </w:p>
      </w:sdtContent>
    </w:sdt>
    <w:p w14:paraId="4CDBD752" w14:textId="77777777" w:rsidR="00D957FB" w:rsidRDefault="00244C16">
      <w:pPr>
        <w:ind w:left="0"/>
      </w:pPr>
      <w:r>
        <w:br w:type="page"/>
      </w:r>
    </w:p>
    <w:p w14:paraId="4CDBD753" w14:textId="77777777" w:rsidR="00643D86" w:rsidRDefault="00244C16" w:rsidP="00643D86">
      <w:pPr>
        <w:pStyle w:val="Rubrik1"/>
        <w:numPr>
          <w:ilvl w:val="0"/>
          <w:numId w:val="0"/>
        </w:numPr>
      </w:pPr>
      <w:bookmarkStart w:id="0" w:name="_Toc364854645"/>
    </w:p>
    <w:p w14:paraId="4CDBD754" w14:textId="77777777" w:rsidR="00643D86" w:rsidRDefault="00244C16" w:rsidP="00643D86">
      <w:pPr>
        <w:pStyle w:val="Rubrik1"/>
      </w:pPr>
      <w:bookmarkStart w:id="1" w:name="_Toc433873891"/>
      <w:r>
        <w:rPr>
          <w:noProof/>
        </w:rPr>
        <w:t xml:space="preserve">Affaire devant la </w:t>
      </w:r>
      <w:r>
        <w:rPr>
          <w:noProof/>
        </w:rPr>
        <w:t>Cour de justice de l'Union européenne</w:t>
      </w:r>
      <w:r>
        <w:rPr>
          <w:noProof/>
        </w:rPr>
        <w:br/>
        <w:t>Affaire C-459/15 P (Iranian Offshore Engineering &amp;amp; Construction Co. contre le Conseil de l'Union européenne)</w:t>
      </w:r>
      <w:bookmarkEnd w:id="1"/>
    </w:p>
    <w:p w14:paraId="4CDBD755" w14:textId="32ADC940" w:rsidR="00643D86" w:rsidRDefault="00244C16" w:rsidP="00643D86">
      <w:pPr>
        <w:rPr>
          <w:lang w:val="en-US"/>
        </w:rPr>
      </w:pPr>
      <w:r>
        <w:rPr>
          <w:noProof/>
          <w:lang w:val="en-US"/>
        </w:rPr>
        <w:t>13182</w:t>
      </w:r>
      <w:r>
        <w:rPr>
          <w:lang w:val="en-US"/>
        </w:rPr>
        <w:t>/15 JUR 663 RELEX 836 CFSP/PESC 669 CONOP 130</w:t>
      </w:r>
    </w:p>
    <w:p w14:paraId="4CDBD756" w14:textId="77777777" w:rsidR="00643D86" w:rsidRDefault="00244C16" w:rsidP="00643D86">
      <w:r>
        <w:rPr>
          <w:b/>
        </w:rPr>
        <w:t>Ansvarigt statsråd</w:t>
      </w:r>
      <w:r>
        <w:rPr>
          <w:b/>
        </w:rPr>
        <w:br/>
      </w:r>
      <w:r>
        <w:rPr>
          <w:noProof/>
        </w:rPr>
        <w:t>Margot Wallström</w:t>
      </w:r>
    </w:p>
    <w:p w14:paraId="4CDBD75A" w14:textId="7A4CDB29" w:rsidR="00DF0815" w:rsidRDefault="00244C16" w:rsidP="005F412E">
      <w:r w:rsidRPr="00B44CE2">
        <w:rPr>
          <w:b/>
        </w:rPr>
        <w:t>Annotering</w:t>
      </w:r>
      <w:r>
        <w:rPr>
          <w:b/>
        </w:rPr>
        <w:br/>
      </w:r>
      <w:r>
        <w:rPr>
          <w:b/>
          <w:bCs/>
        </w:rPr>
        <w:t>Avsikt med behandlingen i rådet:</w:t>
      </w:r>
      <w:r>
        <w:t xml:space="preserve"> Information om ett överklagat mål vid EU-domstolen där rådet har utsett ombud. </w:t>
      </w:r>
    </w:p>
    <w:p w14:paraId="4CDBD75B" w14:textId="77777777" w:rsidR="00DF0815" w:rsidRDefault="00244C16">
      <w:pPr>
        <w:spacing w:after="280" w:afterAutospacing="1"/>
      </w:pPr>
      <w:r>
        <w:rPr>
          <w:b/>
          <w:bCs/>
        </w:rPr>
        <w:t>Hur regeringen ställer sig</w:t>
      </w:r>
      <w:r>
        <w:rPr>
          <w:b/>
          <w:bCs/>
        </w:rPr>
        <w:t xml:space="preserve"> till den blivande A-punkten: </w:t>
      </w:r>
      <w:r>
        <w:t xml:space="preserve">Regeringen har ingen erinran mot denna informationspunkt. </w:t>
      </w:r>
    </w:p>
    <w:p w14:paraId="4CDBD75D" w14:textId="63D2F01D" w:rsidR="00FB32B9" w:rsidRDefault="00244C16">
      <w:pPr>
        <w:spacing w:after="280" w:afterAutospacing="1"/>
        <w:rPr>
          <w:noProof/>
        </w:rPr>
      </w:pPr>
      <w:r>
        <w:rPr>
          <w:b/>
          <w:bCs/>
        </w:rPr>
        <w:t xml:space="preserve">Bakgrund: </w:t>
      </w:r>
      <w:r>
        <w:t>Klaganden, Iranian Offshore Engineering &amp; Construction Co, yrkar att domstolen ska ogiltigförklara artikel 1 i rådets beslut 2013/661/Gusp (1) av den 15 nove</w:t>
      </w:r>
      <w:r>
        <w:t>mber 2013 och artikel 1 i rådets genomförandeförordning (EU) nr 1154/2013 (2) av den 15 november 2013, i den mån dessa bestämmelser berör eller kan påverka klaganden och att företagets namn ska raderas från bilagorna till nämnda rättsakter. Företagets tala</w:t>
      </w:r>
      <w:r>
        <w:t>n ogillades av tribunalen.</w:t>
      </w:r>
    </w:p>
    <w:p w14:paraId="4CDBD75E" w14:textId="77777777" w:rsidR="00643D86" w:rsidRDefault="00244C16" w:rsidP="00643D86">
      <w:pPr>
        <w:pStyle w:val="Rubrik1"/>
      </w:pPr>
      <w:bookmarkStart w:id="2" w:name="_Toc433873892"/>
      <w:r>
        <w:rPr>
          <w:noProof/>
        </w:rPr>
        <w:t>Affaire devant la Cour de justice de l'Union européenne (Avis 2/15)</w:t>
      </w:r>
      <w:r>
        <w:rPr>
          <w:noProof/>
        </w:rPr>
        <w:br/>
        <w:t>–Demande d’avis déposée par la Commission européenne, conformément à l’article 218, paragraphe 11, du traité sur le fonctionnement de l’Union européenne, au suj</w:t>
      </w:r>
      <w:r>
        <w:rPr>
          <w:noProof/>
        </w:rPr>
        <w:t>et de la question suivante: L’Union a-t-elle la compétence requise pour signer et conclure seule l’accord de libre-échange avec Singapour?</w:t>
      </w:r>
      <w:bookmarkEnd w:id="2"/>
    </w:p>
    <w:p w14:paraId="0155DB0C" w14:textId="77777777" w:rsidR="005F412E" w:rsidRDefault="00244C16" w:rsidP="00643D86">
      <w:pPr>
        <w:rPr>
          <w:lang w:val="en-US"/>
        </w:rPr>
      </w:pPr>
      <w:r>
        <w:rPr>
          <w:noProof/>
          <w:lang w:val="en-US"/>
        </w:rPr>
        <w:t>=</w:t>
      </w:r>
      <w:r>
        <w:rPr>
          <w:lang w:val="en-US"/>
        </w:rPr>
        <w:t>Autorisation de soumettre des observations écrites au nom du Conseil</w:t>
      </w:r>
    </w:p>
    <w:p w14:paraId="4CDBD75F" w14:textId="0F7E2192" w:rsidR="00643D86" w:rsidRDefault="00244C16" w:rsidP="00643D86">
      <w:pPr>
        <w:rPr>
          <w:lang w:val="en-US"/>
        </w:rPr>
      </w:pPr>
      <w:r>
        <w:rPr>
          <w:noProof/>
          <w:lang w:val="en-US"/>
        </w:rPr>
        <w:t>1317</w:t>
      </w:r>
      <w:r>
        <w:rPr>
          <w:noProof/>
          <w:lang w:val="en-US"/>
        </w:rPr>
        <w:t>7</w:t>
      </w:r>
      <w:r>
        <w:rPr>
          <w:lang w:val="en-US"/>
        </w:rPr>
        <w:t>/15 JUR 662 RELEX 835 COMER 139+ COR 1</w:t>
      </w:r>
    </w:p>
    <w:p w14:paraId="4CDBD760" w14:textId="77777777" w:rsidR="00643D86" w:rsidRDefault="00244C16" w:rsidP="00643D86">
      <w:r>
        <w:rPr>
          <w:b/>
        </w:rPr>
        <w:t>Ansvarigt statsråd</w:t>
      </w:r>
      <w:r>
        <w:rPr>
          <w:b/>
        </w:rPr>
        <w:br/>
      </w:r>
      <w:r>
        <w:rPr>
          <w:noProof/>
        </w:rPr>
        <w:t>Margot Wallström</w:t>
      </w:r>
    </w:p>
    <w:p w14:paraId="4CDBD764" w14:textId="3B3DB02E" w:rsidR="00DF0815" w:rsidRDefault="00244C16" w:rsidP="005F412E">
      <w:r w:rsidRPr="00B44CE2">
        <w:rPr>
          <w:b/>
        </w:rPr>
        <w:t>Annotering</w:t>
      </w:r>
      <w:r>
        <w:rPr>
          <w:b/>
        </w:rPr>
        <w:br/>
      </w:r>
      <w:r>
        <w:rPr>
          <w:b/>
          <w:bCs/>
        </w:rPr>
        <w:t>Avsikt med behandlingen i rådet:</w:t>
      </w:r>
      <w:r>
        <w:t xml:space="preserve"> </w:t>
      </w:r>
      <w:r>
        <w:t xml:space="preserve">Att rådet yttrar sig i ett mål i EU-domstolen i enlighet med tidigare praxis. </w:t>
      </w:r>
    </w:p>
    <w:p w14:paraId="4CDBD766" w14:textId="40FA5239" w:rsidR="00DF0815" w:rsidRDefault="00244C16">
      <w:pPr>
        <w:spacing w:after="280" w:afterAutospacing="1"/>
      </w:pPr>
      <w:r>
        <w:rPr>
          <w:b/>
          <w:bCs/>
        </w:rPr>
        <w:t>Hur regeringen ställer sig till den blivande A-punkten:</w:t>
      </w:r>
      <w:r>
        <w:t xml:space="preserve"> </w:t>
      </w:r>
      <w:r>
        <w:t xml:space="preserve">Kan godkännas. </w:t>
      </w:r>
    </w:p>
    <w:p w14:paraId="4CDBD768" w14:textId="2C2777D2" w:rsidR="00DF0815" w:rsidRDefault="00244C16">
      <w:pPr>
        <w:spacing w:after="280" w:afterAutospacing="1"/>
      </w:pPr>
      <w:r>
        <w:rPr>
          <w:b/>
          <w:bCs/>
        </w:rPr>
        <w:t>Bakgrund:</w:t>
      </w:r>
      <w:r w:rsidR="005F412E">
        <w:rPr>
          <w:b/>
          <w:bCs/>
        </w:rPr>
        <w:t xml:space="preserve"> </w:t>
      </w:r>
      <w:r>
        <w:t>Målet handlar om huruvida frihandelsavtal som EU sluter ska ratificeras av EU självt, eller av</w:t>
      </w:r>
      <w:r>
        <w:t xml:space="preserve"> EU och alla 28 EUMS. Nuvarande ordning är att rådet insisterar på det senare, vilket får till följd att parlamenten i EUs medlemsländer röstar om avtalen efter avslut, i tillägg till rådet och EU-parlamentet. </w:t>
      </w:r>
    </w:p>
    <w:p w14:paraId="4CDBD769" w14:textId="77777777" w:rsidR="00DF0815" w:rsidRDefault="00244C16">
      <w:pPr>
        <w:spacing w:after="280" w:afterAutospacing="1"/>
      </w:pPr>
      <w:r>
        <w:t>Kommissionen yrkar att unionen ska ha exklusi</w:t>
      </w:r>
      <w:r>
        <w:t xml:space="preserve">v befogenhet att underteckna och ingå ett frihandelsavtal med Singapore. </w:t>
      </w:r>
    </w:p>
    <w:p w14:paraId="4CDBD76C" w14:textId="16DF856A" w:rsidR="00FB32B9" w:rsidRDefault="00244C16">
      <w:pPr>
        <w:spacing w:after="280" w:afterAutospacing="1"/>
        <w:rPr>
          <w:noProof/>
        </w:rPr>
      </w:pPr>
      <w:r>
        <w:lastRenderedPageBreak/>
        <w:t>Närmare bestämt att:</w:t>
      </w:r>
      <w:r>
        <w:br/>
        <w:t> (1) Inga bestämmelser i det tilltänkta avtalet faller inom medlemsstaternas</w:t>
      </w:r>
      <w:r>
        <w:br/>
        <w:t>exklusiva befogenhet.</w:t>
      </w:r>
      <w:r>
        <w:br/>
        <w:t>(2) Alla bestämmelser i det tilltänkta avtalet, med undantag f</w:t>
      </w:r>
      <w:r>
        <w:t>ör de som rör</w:t>
      </w:r>
      <w:r>
        <w:br/>
        <w:t>gränsöverskridande transporttjänster och portföljinvesteringar, faller inom</w:t>
      </w:r>
      <w:r>
        <w:br/>
        <w:t>tillämpningsområdet för unionens gemensamma handelspolitik, som</w:t>
      </w:r>
      <w:r>
        <w:br/>
        <w:t>definieras i artikel 207.1 i EUF-fördraget, och därför inom unionens</w:t>
      </w:r>
      <w:r>
        <w:br/>
        <w:t>exklusiva befogenhet i enlighet m</w:t>
      </w:r>
      <w:r>
        <w:t>ed artikel 3.1 i EUF-fördraget.</w:t>
      </w:r>
      <w:r>
        <w:br/>
        <w:t>(3) Bestämmelserna om portföljinvesteringar omfattas, åtminstone till stor del, av de gemensamma bestämmelserna om fri rörlighet för kapital enligt</w:t>
      </w:r>
      <w:r>
        <w:br/>
        <w:t>artikel 63.1 i EUF-fördraget. Unionen har därför exklusiv befogenhet</w:t>
      </w:r>
      <w:r>
        <w:br/>
        <w:t>beträff</w:t>
      </w:r>
      <w:r>
        <w:t>ande dessa bestämmelser enligt artikel 3.2 i EUF-fördraget.</w:t>
      </w:r>
      <w:r>
        <w:br/>
        <w:t>(4) Bestämmelserna om transporttjänster faller inom unionens exklusiva</w:t>
      </w:r>
      <w:r>
        <w:br/>
        <w:t>befogenhet eftersom i) de när det gäller etablering av transportleverantörer</w:t>
      </w:r>
      <w:r>
        <w:br/>
        <w:t>från tredjeländer omfattas av tillämpningsområde</w:t>
      </w:r>
      <w:r>
        <w:t>t för unionens</w:t>
      </w:r>
      <w:r>
        <w:br/>
        <w:t>gemensamma handelspolitik, och ii) när det gäller gränsöverskridande</w:t>
      </w:r>
      <w:r>
        <w:br/>
        <w:t>leveranser och närvaro av fysiska personer, har unionen antagit</w:t>
      </w:r>
      <w:r>
        <w:br/>
        <w:t>gemensamma bestämmelser som i stor utsträckning täcker det berörda</w:t>
      </w:r>
      <w:r>
        <w:br/>
        <w:t>området eller bestämmelser som har anknyt</w:t>
      </w:r>
      <w:r>
        <w:t>ning till åtaganden som unionen</w:t>
      </w:r>
      <w:r>
        <w:br/>
        <w:t>har exklusiv behörighet för.</w:t>
      </w:r>
    </w:p>
    <w:p w14:paraId="4CDBD76D" w14:textId="77777777" w:rsidR="00643D86" w:rsidRDefault="00244C16" w:rsidP="00643D86">
      <w:pPr>
        <w:pStyle w:val="Rubrik1"/>
      </w:pPr>
      <w:bookmarkStart w:id="3" w:name="_Toc433873893"/>
      <w:r>
        <w:rPr>
          <w:noProof/>
        </w:rPr>
        <w:t>Arrêt de la Cour de justice du 8 septembre 2015 dans l'affaire C-44/14</w:t>
      </w:r>
      <w:r>
        <w:rPr>
          <w:noProof/>
        </w:rPr>
        <w:br/>
        <w:t>=Légalité de l'article 19 du règlement (UE) n° 1052/2013 du Parlement européen et du Conseil du 22 octobre 2013 portant c</w:t>
      </w:r>
      <w:r>
        <w:rPr>
          <w:noProof/>
        </w:rPr>
        <w:t>réation du système européen de surveillance des frontières (Eurosur)</w:t>
      </w:r>
      <w:bookmarkEnd w:id="3"/>
    </w:p>
    <w:p w14:paraId="4CDBD76E" w14:textId="18747007" w:rsidR="00643D86" w:rsidRDefault="00244C16" w:rsidP="00643D86">
      <w:pPr>
        <w:rPr>
          <w:lang w:val="en-US"/>
        </w:rPr>
      </w:pPr>
      <w:r>
        <w:rPr>
          <w:noProof/>
          <w:lang w:val="en-US"/>
        </w:rPr>
        <w:t>13287</w:t>
      </w:r>
      <w:r>
        <w:rPr>
          <w:lang w:val="en-US"/>
        </w:rPr>
        <w:t>/15 JUR 676 FRONT 225 JAI 777 SCHENGEN 34 COMIX 511</w:t>
      </w:r>
    </w:p>
    <w:p w14:paraId="4CDBD76F" w14:textId="77777777" w:rsidR="00643D86" w:rsidRDefault="00244C16" w:rsidP="00643D86">
      <w:r>
        <w:rPr>
          <w:b/>
        </w:rPr>
        <w:t>Ansvarigt statsråd</w:t>
      </w:r>
      <w:r>
        <w:rPr>
          <w:b/>
        </w:rPr>
        <w:br/>
      </w:r>
      <w:r>
        <w:rPr>
          <w:noProof/>
        </w:rPr>
        <w:t>Margot Wallström</w:t>
      </w:r>
    </w:p>
    <w:p w14:paraId="4CDBD773" w14:textId="3A615946" w:rsidR="00DF0815" w:rsidRDefault="00244C16" w:rsidP="005F412E">
      <w:r w:rsidRPr="00B44CE2">
        <w:rPr>
          <w:b/>
        </w:rPr>
        <w:t>Annotering</w:t>
      </w:r>
      <w:r>
        <w:rPr>
          <w:b/>
        </w:rPr>
        <w:br/>
      </w:r>
      <w:r>
        <w:rPr>
          <w:b/>
          <w:bCs/>
        </w:rPr>
        <w:t xml:space="preserve">Avsikt med behandlingen i rådet: </w:t>
      </w:r>
      <w:r>
        <w:t xml:space="preserve">Information om en dom som meddelades av EU-domstolen den 8 september 2015 i mål C-44/14, Konungariket Spanien mot Europaparlamentet och Europeiska unionens råd. </w:t>
      </w:r>
    </w:p>
    <w:p w14:paraId="4CDBD774" w14:textId="77777777" w:rsidR="00DF0815" w:rsidRDefault="00244C16">
      <w:pPr>
        <w:spacing w:after="280" w:afterAutospacing="1"/>
      </w:pPr>
      <w:r>
        <w:rPr>
          <w:b/>
          <w:bCs/>
        </w:rPr>
        <w:t xml:space="preserve">Hur regeringen </w:t>
      </w:r>
      <w:r>
        <w:rPr>
          <w:b/>
          <w:bCs/>
        </w:rPr>
        <w:t>ställer sig till den blivande A-punkten:</w:t>
      </w:r>
      <w:r>
        <w:t xml:space="preserve"> Regeringen har ingen erinran mot denna informationspunkt. </w:t>
      </w:r>
    </w:p>
    <w:p w14:paraId="4CDBD776" w14:textId="4DCE1F79" w:rsidR="00FB32B9" w:rsidRDefault="00244C16">
      <w:pPr>
        <w:spacing w:after="280" w:afterAutospacing="1"/>
        <w:rPr>
          <w:noProof/>
        </w:rPr>
      </w:pPr>
      <w:r>
        <w:rPr>
          <w:b/>
          <w:bCs/>
        </w:rPr>
        <w:t>Bakgrund:</w:t>
      </w:r>
      <w:r>
        <w:t xml:space="preserve"> Konungariket Spanien yrkade att EU-domstolen skulle ogiltigförklara artikel 19 i Europaparlamentets och rådets förordning (EU) nr 1052/2013 av den</w:t>
      </w:r>
      <w:r>
        <w:t xml:space="preserve"> 22 oktober 2013 om inrättande av ett europeiskt gränsövervakningssystem (Eurosur). Spanien hävdade att nämnda bestämmelse är oförenlig med artiklarna 4 och 5 i Schengenprotokollet, eftersom det därigenom inrättas ett ad hoc-förfarande – vid sidan om artik</w:t>
      </w:r>
      <w:r>
        <w:t>el 4 i förordningen – för Irlands och Förenade kungarikets deltagande i förordningen genom samarbetsavtal. Domstolen ogillade talan.</w:t>
      </w:r>
    </w:p>
    <w:p w14:paraId="4CDBD777" w14:textId="77777777" w:rsidR="00643D86" w:rsidRDefault="00244C16" w:rsidP="00643D86">
      <w:pPr>
        <w:pStyle w:val="Rubrik1"/>
      </w:pPr>
      <w:bookmarkStart w:id="4" w:name="_Toc433873894"/>
      <w:r>
        <w:rPr>
          <w:noProof/>
        </w:rPr>
        <w:lastRenderedPageBreak/>
        <w:t>Projet de décision du Conseil portant nomination d'un suppléant suédois du Comité des régions</w:t>
      </w:r>
      <w:bookmarkEnd w:id="4"/>
      <w:r>
        <w:rPr>
          <w:noProof/>
        </w:rPr>
        <w:t xml:space="preserve"> </w:t>
      </w:r>
    </w:p>
    <w:p w14:paraId="375ACD24" w14:textId="77777777" w:rsidR="005F412E" w:rsidRDefault="00244C16" w:rsidP="00643D86">
      <w:pPr>
        <w:rPr>
          <w:lang w:val="en-US"/>
        </w:rPr>
      </w:pPr>
      <w:r>
        <w:rPr>
          <w:noProof/>
          <w:lang w:val="en-US"/>
        </w:rPr>
        <w:t>=</w:t>
      </w:r>
      <w:r>
        <w:rPr>
          <w:lang w:val="en-US"/>
        </w:rPr>
        <w:t>Adoption</w:t>
      </w:r>
    </w:p>
    <w:p w14:paraId="4CDBD778" w14:textId="5691C2B6" w:rsidR="00643D86" w:rsidRDefault="00244C16" w:rsidP="00643D86">
      <w:pPr>
        <w:rPr>
          <w:lang w:val="en-US"/>
        </w:rPr>
      </w:pPr>
      <w:r>
        <w:rPr>
          <w:noProof/>
          <w:lang w:val="en-US"/>
        </w:rPr>
        <w:t>12952</w:t>
      </w:r>
      <w:r>
        <w:rPr>
          <w:lang w:val="en-US"/>
        </w:rPr>
        <w:t>/15 CDR 10012950/15 CDR 99</w:t>
      </w:r>
    </w:p>
    <w:p w14:paraId="4CDBD779" w14:textId="77777777" w:rsidR="00643D86" w:rsidRDefault="00244C16" w:rsidP="00643D86">
      <w:r>
        <w:rPr>
          <w:b/>
        </w:rPr>
        <w:t>Ansvarigt statsråd</w:t>
      </w:r>
      <w:r>
        <w:rPr>
          <w:b/>
        </w:rPr>
        <w:br/>
      </w:r>
      <w:r>
        <w:rPr>
          <w:noProof/>
        </w:rPr>
        <w:t>Ardalan Shekarabi</w:t>
      </w:r>
    </w:p>
    <w:p w14:paraId="4CDBD77D" w14:textId="7F2B2B65" w:rsidR="00DF0815" w:rsidRDefault="00244C16" w:rsidP="005F412E">
      <w:r w:rsidRPr="00B44CE2">
        <w:rPr>
          <w:b/>
        </w:rPr>
        <w:t>Annotering</w:t>
      </w:r>
      <w:r>
        <w:rPr>
          <w:b/>
        </w:rPr>
        <w:br/>
      </w:r>
      <w:r w:rsidRPr="005F412E">
        <w:rPr>
          <w:b/>
        </w:rPr>
        <w:t xml:space="preserve">Avsikt med behandlingen i rådet: </w:t>
      </w:r>
      <w:r>
        <w:t>Rådet föreslås besluta om nominering</w:t>
      </w:r>
    </w:p>
    <w:p w14:paraId="4CDBD77E" w14:textId="77777777" w:rsidR="00DF0815" w:rsidRDefault="00244C16">
      <w:pPr>
        <w:spacing w:after="280" w:afterAutospacing="1"/>
      </w:pPr>
      <w:r w:rsidRPr="005F412E">
        <w:rPr>
          <w:b/>
        </w:rPr>
        <w:t>Hur regeringen ställer</w:t>
      </w:r>
      <w:r w:rsidRPr="005F412E">
        <w:rPr>
          <w:b/>
        </w:rPr>
        <w:t xml:space="preserve"> sig till den blivande A-punkten</w:t>
      </w:r>
      <w:r>
        <w:t>: Regeringen har beslutat om nomineringen och ställer sig således bakom denna.</w:t>
      </w:r>
    </w:p>
    <w:p w14:paraId="4CDBD77F" w14:textId="77777777" w:rsidR="00DF0815" w:rsidRDefault="00244C16">
      <w:pPr>
        <w:spacing w:after="280" w:afterAutospacing="1"/>
      </w:pPr>
      <w:r w:rsidRPr="005F412E">
        <w:rPr>
          <w:b/>
        </w:rPr>
        <w:t>Bakgrund:</w:t>
      </w:r>
      <w:r>
        <w:t xml:space="preserve"> I enlighet med artikel 305 i fördraget om EU:s funktionssätt nomineras nya ledamöter och ersättare i Regionkommittén tom 25 januari 202</w:t>
      </w:r>
      <w:r>
        <w:t>0. Ledamöter och ersättare i Regionkommittén består av politiska företrädare för den regionala och lokala nivån som antingen har valts till ett regionalt eller lokalt organ eller är politiskt ansvariga inför en vald församling.</w:t>
      </w:r>
    </w:p>
    <w:p w14:paraId="4CDBD780" w14:textId="77777777" w:rsidR="00DF0815" w:rsidRDefault="00244C16">
      <w:pPr>
        <w:spacing w:after="280" w:afterAutospacing="1"/>
      </w:pPr>
      <w:r>
        <w:t>I Sverige genomfördes allmän</w:t>
      </w:r>
      <w:r>
        <w:t>na val i september 2014. Sveriges Kommuner och Landsting beslutade vid sammanträdet den 25 mars, 24 april och den 22 maj 2015 att föreslå förändringar i den svenska delegationen med anledning av valresultatet på kommunal nivå. I detta beslut ingick även fö</w:t>
      </w:r>
      <w:r>
        <w:t>rslaget att Brigitta Sakrédeus skulle ersätta Rolf Sällryd.</w:t>
      </w:r>
    </w:p>
    <w:p w14:paraId="4CDBD783" w14:textId="732AB454" w:rsidR="00FB32B9" w:rsidRDefault="00244C16">
      <w:pPr>
        <w:spacing w:after="280" w:afterAutospacing="1"/>
        <w:rPr>
          <w:noProof/>
        </w:rPr>
      </w:pPr>
      <w:r>
        <w:t>Regeringen beslutade den 27 augusti 2015 enligt SKL:s förslag. </w:t>
      </w:r>
    </w:p>
    <w:p w14:paraId="4CDBD784" w14:textId="77777777" w:rsidR="00643D86" w:rsidRDefault="00244C16" w:rsidP="00643D86">
      <w:pPr>
        <w:pStyle w:val="Rubrik1"/>
      </w:pPr>
      <w:bookmarkStart w:id="5" w:name="_Toc433873895"/>
      <w:r>
        <w:rPr>
          <w:noProof/>
        </w:rPr>
        <w:t>Projet de décision du Conseil portant nomination d'un membre maltais et de deux suppléants maltais du Comité des régions</w:t>
      </w:r>
      <w:bookmarkEnd w:id="5"/>
      <w:r>
        <w:rPr>
          <w:noProof/>
        </w:rPr>
        <w:t xml:space="preserve"> </w:t>
      </w:r>
    </w:p>
    <w:p w14:paraId="579C477C" w14:textId="77777777" w:rsidR="005F412E" w:rsidRDefault="00244C16" w:rsidP="00643D86">
      <w:pPr>
        <w:rPr>
          <w:lang w:val="en-US"/>
        </w:rPr>
      </w:pPr>
      <w:r>
        <w:rPr>
          <w:noProof/>
          <w:lang w:val="en-US"/>
        </w:rPr>
        <w:t>=</w:t>
      </w:r>
      <w:r>
        <w:rPr>
          <w:lang w:val="en-US"/>
        </w:rPr>
        <w:t>Adopti</w:t>
      </w:r>
      <w:r>
        <w:rPr>
          <w:lang w:val="en-US"/>
        </w:rPr>
        <w:t>on</w:t>
      </w:r>
    </w:p>
    <w:p w14:paraId="4CDBD785" w14:textId="55CDC6D7" w:rsidR="00643D86" w:rsidRDefault="00244C16" w:rsidP="00643D86">
      <w:pPr>
        <w:rPr>
          <w:lang w:val="en-US"/>
        </w:rPr>
      </w:pPr>
      <w:r>
        <w:rPr>
          <w:noProof/>
          <w:lang w:val="en-US"/>
        </w:rPr>
        <w:t>13136</w:t>
      </w:r>
      <w:r>
        <w:rPr>
          <w:lang w:val="en-US"/>
        </w:rPr>
        <w:t>/15 CDR 10713135/15 CDR 106</w:t>
      </w:r>
    </w:p>
    <w:p w14:paraId="4CDBD786" w14:textId="77777777" w:rsidR="00643D86" w:rsidRDefault="00244C16" w:rsidP="00643D86">
      <w:r>
        <w:rPr>
          <w:b/>
        </w:rPr>
        <w:t>Ansvarigt statsråd</w:t>
      </w:r>
      <w:r>
        <w:rPr>
          <w:b/>
        </w:rPr>
        <w:br/>
      </w:r>
      <w:r>
        <w:rPr>
          <w:noProof/>
        </w:rPr>
        <w:t>Ardalan Shekarabi</w:t>
      </w:r>
    </w:p>
    <w:p w14:paraId="4CDBD789" w14:textId="77777777" w:rsidR="00643D86" w:rsidRDefault="00244C16" w:rsidP="00643D86">
      <w:r w:rsidRPr="00B44CE2">
        <w:rPr>
          <w:b/>
        </w:rPr>
        <w:t>Annotering</w:t>
      </w:r>
      <w:r>
        <w:rPr>
          <w:b/>
        </w:rPr>
        <w:br/>
      </w:r>
      <w:r>
        <w:t>Föranleder ingen annotering.</w:t>
      </w:r>
    </w:p>
    <w:p w14:paraId="4CDBD78A" w14:textId="77777777" w:rsidR="00643D86" w:rsidRDefault="00244C16" w:rsidP="00643D86">
      <w:pPr>
        <w:pStyle w:val="Rubrik1"/>
      </w:pPr>
      <w:bookmarkStart w:id="6" w:name="_Toc433873896"/>
      <w:r>
        <w:rPr>
          <w:noProof/>
        </w:rPr>
        <w:t xml:space="preserve">Projet de directive du Parlement européen </w:t>
      </w:r>
      <w:r>
        <w:rPr>
          <w:noProof/>
        </w:rPr>
        <w:t>et du Conseil concernant les services de paiement dans le marché intérieur, modifiant les directives 2002/65/CE, 2009/110/CE et 2013/36/UE et le règlement (UE) n° 1093/2010, et abrogeant la directive 2007/64/CE (première lecture) (AL + D)</w:t>
      </w:r>
      <w:bookmarkEnd w:id="6"/>
    </w:p>
    <w:p w14:paraId="4159DE57" w14:textId="77777777" w:rsidR="005F412E" w:rsidRDefault="00244C16" w:rsidP="00643D86">
      <w:pPr>
        <w:rPr>
          <w:lang w:val="en-US"/>
        </w:rPr>
      </w:pPr>
      <w:r>
        <w:rPr>
          <w:noProof/>
          <w:lang w:val="en-US"/>
        </w:rPr>
        <w:t>=</w:t>
      </w:r>
      <w:r>
        <w:rPr>
          <w:lang w:val="en-US"/>
        </w:rPr>
        <w:t>Adoption de l'ac</w:t>
      </w:r>
      <w:r>
        <w:rPr>
          <w:lang w:val="en-US"/>
        </w:rPr>
        <w:t>te législatif</w:t>
      </w:r>
    </w:p>
    <w:p w14:paraId="4CDBD78B" w14:textId="0795D98F" w:rsidR="00643D86" w:rsidRDefault="00244C16" w:rsidP="00643D86">
      <w:pPr>
        <w:rPr>
          <w:lang w:val="en-US"/>
        </w:rPr>
      </w:pPr>
      <w:r>
        <w:rPr>
          <w:noProof/>
          <w:lang w:val="en-US"/>
        </w:rPr>
        <w:t>13119</w:t>
      </w:r>
      <w:r>
        <w:rPr>
          <w:lang w:val="en-US"/>
        </w:rPr>
        <w:t>/15 CODEC 1356 EF 189 ECOFIN 771 CONSOM 170+ ADD 1PE-CONS 35/15 EF 104 ECOFIN 459 CONSOM 102 CODEC 843+ REV 1 (hr)</w:t>
      </w:r>
    </w:p>
    <w:p w14:paraId="4CDBD78C" w14:textId="77777777" w:rsidR="00643D86" w:rsidRDefault="00244C16" w:rsidP="00643D86">
      <w:r>
        <w:rPr>
          <w:b/>
        </w:rPr>
        <w:lastRenderedPageBreak/>
        <w:t>Ans</w:t>
      </w:r>
      <w:r>
        <w:rPr>
          <w:b/>
        </w:rPr>
        <w:t>varigt statsråd</w:t>
      </w:r>
      <w:r>
        <w:rPr>
          <w:b/>
        </w:rPr>
        <w:br/>
      </w:r>
      <w:r>
        <w:rPr>
          <w:noProof/>
        </w:rPr>
        <w:t>Per Bolund</w:t>
      </w:r>
    </w:p>
    <w:p w14:paraId="4CDBD78D" w14:textId="77777777" w:rsidR="00643D86" w:rsidRPr="00643D86" w:rsidRDefault="00244C16" w:rsidP="00643D86">
      <w:r w:rsidRPr="00643D86">
        <w:rPr>
          <w:b/>
        </w:rPr>
        <w:t>Tidigare behandling i riksdagen</w:t>
      </w:r>
      <w:r>
        <w:rPr>
          <w:b/>
        </w:rPr>
        <w:br/>
      </w:r>
      <w:r>
        <w:rPr>
          <w:noProof/>
        </w:rPr>
        <w:t>2015-01-23</w:t>
      </w:r>
    </w:p>
    <w:p w14:paraId="4CDBD790" w14:textId="106D5CD7" w:rsidR="00DF0815" w:rsidRDefault="00244C16" w:rsidP="005F412E">
      <w:r w:rsidRPr="00B44CE2">
        <w:rPr>
          <w:b/>
        </w:rPr>
        <w:t>Annotering</w:t>
      </w:r>
      <w:r>
        <w:rPr>
          <w:b/>
        </w:rPr>
        <w:br/>
      </w:r>
      <w:r>
        <w:rPr>
          <w:b/>
          <w:bCs/>
        </w:rPr>
        <w:t>Avsikt med behandlingen i rådet:</w:t>
      </w:r>
      <w:r w:rsidR="005F412E">
        <w:rPr>
          <w:b/>
          <w:bCs/>
        </w:rPr>
        <w:t xml:space="preserve"> </w:t>
      </w:r>
      <w:r>
        <w:t>R</w:t>
      </w:r>
      <w:r w:rsidR="005F412E">
        <w:t>ådet föreslås anta rättsakten.</w:t>
      </w:r>
    </w:p>
    <w:p w14:paraId="4CDBD791" w14:textId="4E8F4D77" w:rsidR="00DF0815" w:rsidRDefault="00244C16">
      <w:pPr>
        <w:spacing w:after="280" w:afterAutospacing="1"/>
      </w:pPr>
      <w:r>
        <w:rPr>
          <w:b/>
          <w:bCs/>
        </w:rPr>
        <w:t xml:space="preserve">Hur regeringen ställer sig till den blivande A-punkten: </w:t>
      </w:r>
      <w:r>
        <w:t xml:space="preserve">Regeringen avser att rösta ja till att Rådet antar rättsakten. </w:t>
      </w:r>
    </w:p>
    <w:p w14:paraId="46E5DFA1" w14:textId="02C5AF77" w:rsidR="005F412E" w:rsidRDefault="00244C16">
      <w:pPr>
        <w:spacing w:after="280" w:afterAutospacing="1"/>
      </w:pPr>
      <w:r>
        <w:rPr>
          <w:b/>
          <w:bCs/>
        </w:rPr>
        <w:t>Bakgrund:</w:t>
      </w:r>
      <w:r w:rsidR="005F412E">
        <w:rPr>
          <w:b/>
          <w:bCs/>
        </w:rPr>
        <w:t xml:space="preserve"> </w:t>
      </w:r>
      <w:r>
        <w:t>Den Europeiska Kommissionen presenterade förslaget till reviderat betaltjänstdirektiv den 24 juli 2013. Syftet med förslaget är möjliggöra för konsumenter och handlare att fullt ut k</w:t>
      </w:r>
      <w:r>
        <w:t>unna dra nytta av den inre marknadens fördelar. Målet är att i linje med tillväxtstrategin Europa 2020 och den digitala agendan för Europa bidra till att ytterligare utveckla marknaden för elektroniska betalningar. Genom att vidta åtgärder för rättslig kla</w:t>
      </w:r>
      <w:r>
        <w:t>rhet och lika villkor kan kostnader och priser sänkas för användare av betaltjänster. Vidare kan utbudet och tillgången på innovativa betaltjänster utökas samt säkerhet och genomlysning beträffande desamma säkerställas. Det befintliga ramverket för betaltj</w:t>
      </w:r>
      <w:r>
        <w:t xml:space="preserve">änster uppdateras och kompletteras med regler som främjar genomlysning, innovation och säkerhet. Vidare minskas befintliga skillnader mellan nationella regelverk i syfte att främja lika konkurrensvillkor och tillgång till befintliga betalningsramverk. </w:t>
      </w:r>
      <w:r>
        <w:br/>
        <w:t>Reg</w:t>
      </w:r>
      <w:r>
        <w:t>eringen är positiv till att lagstiftningen anpassas och uppdateras i takt med att betaltjänstlösningar utvecklas på marknaden. Sverige har vunnit framgång i flera för Sverige viktiga frågor. Bl.a. har regeringen arbetat aktivt för att säkerställa att de op</w:t>
      </w:r>
      <w:r>
        <w:t>tioner för medlemsstaterna som finns i nu gällande ramverk, och som Sverige nyttjat, ska finnas kvar. Regeringen har även bevakat och arbetat aktivt för sina intressen som icke euro-land och för att bestämmelserna i fråga om tredjepartsbetaltjänstleverantö</w:t>
      </w:r>
      <w:r>
        <w:t>rer ska vara proportionerliga.</w:t>
      </w:r>
    </w:p>
    <w:p w14:paraId="4E366FA1" w14:textId="638CB5A9" w:rsidR="00D8196B" w:rsidRPr="00D8196B" w:rsidRDefault="00D8196B" w:rsidP="00D8196B">
      <w:pPr>
        <w:pStyle w:val="Rubrik1"/>
        <w:rPr>
          <w:noProof/>
        </w:rPr>
      </w:pPr>
      <w:bookmarkStart w:id="7" w:name="_Toc433873897"/>
      <w:r w:rsidRPr="00D8196B">
        <w:rPr>
          <w:noProof/>
        </w:rPr>
        <w:t>Règlement délégué (UE) de la Commission du 29.9.2015 modifiant l'annexe II du règlement (UE) nº 1233/2011 du Parlement européen et du Conseil relatif à l'application de certaines lignes directrices pour les crédits à l'exportation bénéficiant d'un soutien public</w:t>
      </w:r>
      <w:bookmarkEnd w:id="7"/>
    </w:p>
    <w:p w14:paraId="19654F94" w14:textId="0BD35FA5" w:rsidR="00D8196B" w:rsidRPr="00D8196B" w:rsidRDefault="00D8196B" w:rsidP="00D8196B">
      <w:pPr>
        <w:rPr>
          <w:noProof/>
        </w:rPr>
      </w:pPr>
      <w:r>
        <w:rPr>
          <w:noProof/>
        </w:rPr>
        <w:t>=</w:t>
      </w:r>
      <w:r w:rsidRPr="00D8196B">
        <w:rPr>
          <w:noProof/>
        </w:rPr>
        <w:t>Intention de ne pas exprimer d'objections à l'égard d'un acte délégué</w:t>
      </w:r>
    </w:p>
    <w:p w14:paraId="57D09A79" w14:textId="19F7455A" w:rsidR="005F412E" w:rsidRDefault="00D8196B" w:rsidP="00D8196B">
      <w:pPr>
        <w:rPr>
          <w:lang w:val="en-GB"/>
        </w:rPr>
      </w:pPr>
      <w:r w:rsidRPr="00D8196B">
        <w:rPr>
          <w:noProof/>
          <w:lang w:val="en-US"/>
        </w:rPr>
        <w:t>12847/15 CCG 30 DELACT 132</w:t>
      </w:r>
      <w:r>
        <w:rPr>
          <w:noProof/>
          <w:lang w:val="en-US"/>
        </w:rPr>
        <w:t xml:space="preserve"> </w:t>
      </w:r>
      <w:r w:rsidRPr="00D8196B">
        <w:rPr>
          <w:noProof/>
          <w:lang w:val="en-US"/>
        </w:rPr>
        <w:t>12614/15 CCG 28 DELACT 128</w:t>
      </w:r>
      <w:r>
        <w:rPr>
          <w:noProof/>
          <w:lang w:val="en-US"/>
        </w:rPr>
        <w:t xml:space="preserve"> </w:t>
      </w:r>
      <w:r w:rsidRPr="00BC2C88">
        <w:rPr>
          <w:lang w:val="en-GB"/>
        </w:rPr>
        <w:t>+ ADD 1</w:t>
      </w:r>
    </w:p>
    <w:p w14:paraId="3FEA48CA" w14:textId="2F653654" w:rsidR="00D8196B" w:rsidRDefault="00D8196B" w:rsidP="00D8196B">
      <w:r>
        <w:rPr>
          <w:b/>
        </w:rPr>
        <w:t>Ansvarigt statsråd</w:t>
      </w:r>
      <w:r>
        <w:rPr>
          <w:b/>
        </w:rPr>
        <w:br/>
      </w:r>
      <w:r>
        <w:t>Mikael Damberg</w:t>
      </w:r>
    </w:p>
    <w:p w14:paraId="2394F3FC" w14:textId="77777777" w:rsidR="00D8196B" w:rsidRPr="00D8196B" w:rsidRDefault="00D8196B" w:rsidP="00D8196B">
      <w:pPr>
        <w:spacing w:before="11" w:after="0" w:line="296" w:lineRule="exact"/>
        <w:ind w:right="2107"/>
        <w:jc w:val="both"/>
        <w:rPr>
          <w:noProof/>
          <w:lang w:val="en-US"/>
        </w:rPr>
      </w:pPr>
      <w:r w:rsidRPr="00D8196B">
        <w:rPr>
          <w:b/>
          <w:noProof/>
          <w:lang w:val="en-US"/>
        </w:rPr>
        <w:t>Avsikt med behandlingen i rådet:</w:t>
      </w:r>
      <w:r w:rsidRPr="00D8196B">
        <w:rPr>
          <w:noProof/>
          <w:lang w:val="en-US"/>
        </w:rPr>
        <w:t xml:space="preserve"> Rådet föreslås anta den ändrade bilagan.</w:t>
      </w:r>
    </w:p>
    <w:p w14:paraId="2460DE65" w14:textId="77777777" w:rsidR="00D8196B" w:rsidRPr="00D8196B" w:rsidRDefault="00D8196B" w:rsidP="00D8196B">
      <w:pPr>
        <w:spacing w:before="14" w:after="0" w:line="280" w:lineRule="exact"/>
        <w:ind w:left="1272"/>
        <w:rPr>
          <w:noProof/>
          <w:lang w:val="en-US"/>
        </w:rPr>
      </w:pPr>
    </w:p>
    <w:p w14:paraId="334085FC" w14:textId="77777777" w:rsidR="00D8196B" w:rsidRPr="00D8196B" w:rsidRDefault="00D8196B" w:rsidP="00D8196B">
      <w:pPr>
        <w:spacing w:after="0" w:line="296" w:lineRule="exact"/>
        <w:ind w:right="1404"/>
        <w:rPr>
          <w:noProof/>
          <w:lang w:val="en-US"/>
        </w:rPr>
      </w:pPr>
      <w:r w:rsidRPr="00D8196B">
        <w:rPr>
          <w:b/>
          <w:noProof/>
          <w:lang w:val="en-US"/>
        </w:rPr>
        <w:t>Hur regeringen ställer sig till den blivande A-punkten:</w:t>
      </w:r>
      <w:r w:rsidRPr="00D8196B">
        <w:rPr>
          <w:noProof/>
          <w:lang w:val="en-US"/>
        </w:rPr>
        <w:t xml:space="preserve"> Regeringen avser rösta ja.</w:t>
      </w:r>
    </w:p>
    <w:p w14:paraId="4D60DE5A" w14:textId="77777777" w:rsidR="00D8196B" w:rsidRPr="00D8196B" w:rsidRDefault="00D8196B" w:rsidP="00D8196B">
      <w:pPr>
        <w:spacing w:after="0" w:line="240" w:lineRule="auto"/>
        <w:ind w:left="156" w:right="1128"/>
        <w:rPr>
          <w:noProof/>
          <w:lang w:val="en-US"/>
        </w:rPr>
      </w:pPr>
    </w:p>
    <w:p w14:paraId="332BB901" w14:textId="183EF951" w:rsidR="00D8196B" w:rsidRPr="00D8196B" w:rsidRDefault="00D8196B" w:rsidP="00D8196B">
      <w:pPr>
        <w:rPr>
          <w:noProof/>
          <w:lang w:val="en-US"/>
        </w:rPr>
      </w:pPr>
      <w:r w:rsidRPr="00D8196B">
        <w:rPr>
          <w:b/>
          <w:noProof/>
          <w:lang w:val="en-US"/>
        </w:rPr>
        <w:t>Bakgrund:</w:t>
      </w:r>
      <w:r w:rsidRPr="00D8196B">
        <w:rPr>
          <w:noProof/>
          <w:lang w:val="en-US"/>
        </w:rPr>
        <w:t xml:space="preserve"> Förslaget syftar till att uppdatera det EU-interna regelverket för exportkrediter i enlighet med de senaste revideringarna i OECD:s Arrangemang för statsstödda exportkrediter. </w:t>
      </w:r>
      <w:r w:rsidRPr="00D8196B">
        <w:rPr>
          <w:noProof/>
          <w:lang w:val="en-US"/>
        </w:rPr>
        <w:lastRenderedPageBreak/>
        <w:t>Sedan gammalt är OECD-Arrangemanget inkorporerat i EU-rätten. I den refererade förordningen har Rådet och Europaparlamentet godkänt att detta sker genom en delegerad handling om ändringarna i OECD-Arrangemanget är av en mindre omfattning. Dessa revideringar har Rådet dessförinnan godkänt i samband med förhandlingarna i OECD:s exportkreditgrupp</w:t>
      </w:r>
    </w:p>
    <w:p w14:paraId="4CDBD794" w14:textId="77777777" w:rsidR="00643D86" w:rsidRDefault="00244C16" w:rsidP="00643D86">
      <w:pPr>
        <w:pStyle w:val="Rubrik1"/>
      </w:pPr>
      <w:bookmarkStart w:id="8" w:name="_Toc433873898"/>
      <w:r>
        <w:rPr>
          <w:noProof/>
        </w:rPr>
        <w:t>Elargissement</w:t>
      </w:r>
      <w:r>
        <w:rPr>
          <w:noProof/>
        </w:rPr>
        <w:br/>
        <w:t>Négociations d'adhésion avec la Serbie</w:t>
      </w:r>
      <w:bookmarkEnd w:id="8"/>
    </w:p>
    <w:p w14:paraId="31886CE6" w14:textId="33252A51" w:rsidR="005F412E" w:rsidRDefault="00244C16" w:rsidP="00643D86">
      <w:pPr>
        <w:rPr>
          <w:lang w:val="en-US"/>
        </w:rPr>
      </w:pPr>
      <w:r>
        <w:rPr>
          <w:noProof/>
          <w:lang w:val="en-US"/>
        </w:rPr>
        <w:t>=</w:t>
      </w:r>
      <w:r>
        <w:rPr>
          <w:lang w:val="en-US"/>
        </w:rPr>
        <w:t xml:space="preserve">Résultats de l'examen analytique concernant le chapitre 25 : Science et </w:t>
      </w:r>
      <w:r w:rsidR="005F412E">
        <w:rPr>
          <w:lang w:val="en-US"/>
        </w:rPr>
        <w:t>recherché</w:t>
      </w:r>
    </w:p>
    <w:p w14:paraId="4CDBD795" w14:textId="587378EB" w:rsidR="00643D86" w:rsidRDefault="00244C16" w:rsidP="00643D86">
      <w:pPr>
        <w:rPr>
          <w:lang w:val="en-US"/>
        </w:rPr>
      </w:pPr>
      <w:r>
        <w:rPr>
          <w:noProof/>
          <w:lang w:val="en-US"/>
        </w:rPr>
        <w:t>13267</w:t>
      </w:r>
      <w:r>
        <w:rPr>
          <w:lang w:val="en-US"/>
        </w:rPr>
        <w:t>/15 ELARG 51</w:t>
      </w:r>
    </w:p>
    <w:p w14:paraId="4CDBD796" w14:textId="77777777" w:rsidR="00643D86" w:rsidRDefault="00244C16" w:rsidP="00643D86">
      <w:r>
        <w:rPr>
          <w:b/>
        </w:rPr>
        <w:t>Ansvarigt statsråd</w:t>
      </w:r>
      <w:r>
        <w:rPr>
          <w:b/>
        </w:rPr>
        <w:br/>
      </w:r>
      <w:r>
        <w:rPr>
          <w:noProof/>
        </w:rPr>
        <w:t>Margot Wallström</w:t>
      </w:r>
    </w:p>
    <w:p w14:paraId="4CDBD79A" w14:textId="104DDE48" w:rsidR="00DF0815" w:rsidRDefault="00244C16" w:rsidP="005F412E">
      <w:r w:rsidRPr="00B44CE2">
        <w:rPr>
          <w:b/>
        </w:rPr>
        <w:t>Annotering</w:t>
      </w:r>
      <w:r>
        <w:rPr>
          <w:b/>
        </w:rPr>
        <w:br/>
      </w:r>
      <w:r>
        <w:rPr>
          <w:b/>
          <w:bCs/>
        </w:rPr>
        <w:t xml:space="preserve">Avsikt med behandlingen i rådet: </w:t>
      </w:r>
      <w:r>
        <w:t xml:space="preserve">Rådet föreslås godkänna Serbiens screeningrapport för kapitel 25 och på detta område inleda förhandlingar med Serbien. </w:t>
      </w:r>
    </w:p>
    <w:p w14:paraId="4CDBD79B" w14:textId="20EDCACD" w:rsidR="00DF0815" w:rsidRDefault="00244C16">
      <w:pPr>
        <w:spacing w:after="280" w:afterAutospacing="1"/>
      </w:pPr>
      <w:r>
        <w:rPr>
          <w:b/>
          <w:bCs/>
        </w:rPr>
        <w:t>Hur regeringen ställer sig till den bl</w:t>
      </w:r>
      <w:r>
        <w:rPr>
          <w:b/>
          <w:bCs/>
        </w:rPr>
        <w:t>ivande A-punkten:</w:t>
      </w:r>
      <w:r w:rsidR="005F412E">
        <w:rPr>
          <w:b/>
          <w:bCs/>
        </w:rPr>
        <w:t xml:space="preserve"> </w:t>
      </w:r>
      <w:r>
        <w:t xml:space="preserve">Regeringen avser rösta ja till A-punkten. </w:t>
      </w:r>
    </w:p>
    <w:p w14:paraId="4CDBD79D" w14:textId="63F15534" w:rsidR="00FB32B9" w:rsidRDefault="00244C16">
      <w:pPr>
        <w:spacing w:after="280" w:afterAutospacing="1"/>
        <w:rPr>
          <w:noProof/>
        </w:rPr>
      </w:pPr>
      <w:r>
        <w:rPr>
          <w:b/>
          <w:bCs/>
        </w:rPr>
        <w:t xml:space="preserve">Bakgrund: </w:t>
      </w:r>
      <w:r>
        <w:t>Kapitel 25 behandlar EU-aquis och EU-standarder för området vetenskap och forskning. Screeningrapporten är kommissionens bedömning om i vilken utsträckning Serbien lever upp till krite</w:t>
      </w:r>
      <w:r>
        <w:t xml:space="preserve">rierna för att inleda förhandlingar på ett visst kapitel. Screeningrapporten för kapitel 25 har behandlats i rådsarbetsgruppen COELA. Kommissionens bedömning är att Serbien i tillräckligt hög grad lever upp till kriterierna för att inleda förhandlingar. </w:t>
      </w:r>
    </w:p>
    <w:p w14:paraId="4CDBD79E" w14:textId="77777777" w:rsidR="00643D86" w:rsidRDefault="00244C16" w:rsidP="00643D86">
      <w:pPr>
        <w:pStyle w:val="Rubrik1"/>
      </w:pPr>
      <w:bookmarkStart w:id="9" w:name="_Toc433873899"/>
      <w:r>
        <w:rPr>
          <w:noProof/>
        </w:rPr>
        <w:t>Décision du Conseil modifiant la décision 2013/730/PESC à l'appui des activités de désarmement et de maîtrise des armements menées en Europe du Sud-Est par le centre régional pour l'Europe du Sud-Est d'échange d'informations pour la réduction des armes lé</w:t>
      </w:r>
      <w:r>
        <w:rPr>
          <w:noProof/>
        </w:rPr>
        <w:t>gères, dans le cadre de la stratégie de l'UE de lutte contre l'accumulation illicite et le trafic des ALPC et de leurs munitions</w:t>
      </w:r>
      <w:bookmarkEnd w:id="9"/>
    </w:p>
    <w:p w14:paraId="4CDBD79F" w14:textId="1A9D3C27" w:rsidR="00643D86" w:rsidRDefault="00244C16" w:rsidP="00643D86">
      <w:pPr>
        <w:rPr>
          <w:lang w:val="en-US"/>
        </w:rPr>
      </w:pPr>
      <w:r>
        <w:rPr>
          <w:noProof/>
          <w:lang w:val="en-US"/>
        </w:rPr>
        <w:t>1330</w:t>
      </w:r>
      <w:r>
        <w:rPr>
          <w:noProof/>
          <w:lang w:val="en-US"/>
        </w:rPr>
        <w:t>3</w:t>
      </w:r>
      <w:r>
        <w:rPr>
          <w:lang w:val="en-US"/>
        </w:rPr>
        <w:t>/15 CORLX 151 CODUN 41 COARM 226 CFSP/PESC 681 COEST 327</w:t>
      </w:r>
      <w:r w:rsidR="005F412E">
        <w:rPr>
          <w:lang w:val="en-US"/>
        </w:rPr>
        <w:t xml:space="preserve"> </w:t>
      </w:r>
      <w:r>
        <w:rPr>
          <w:lang w:val="en-US"/>
        </w:rPr>
        <w:t>12905/15 CORLX 122 CODUN 37 COARM 223 CFSP/PESC 633 COEST 308</w:t>
      </w:r>
    </w:p>
    <w:p w14:paraId="4CDBD7A0" w14:textId="77777777" w:rsidR="00643D86" w:rsidRDefault="00244C16" w:rsidP="00643D86">
      <w:r>
        <w:rPr>
          <w:b/>
        </w:rPr>
        <w:t>Ansvarigt statsråd</w:t>
      </w:r>
      <w:r>
        <w:rPr>
          <w:b/>
        </w:rPr>
        <w:br/>
      </w:r>
      <w:r>
        <w:rPr>
          <w:noProof/>
        </w:rPr>
        <w:t xml:space="preserve">Margot Wallström </w:t>
      </w:r>
    </w:p>
    <w:p w14:paraId="4CDBD7A4" w14:textId="57AA62E1" w:rsidR="00DF0815" w:rsidRDefault="00244C16" w:rsidP="005F412E">
      <w:r w:rsidRPr="00B44CE2">
        <w:rPr>
          <w:b/>
        </w:rPr>
        <w:t>Annotering</w:t>
      </w:r>
      <w:r>
        <w:rPr>
          <w:b/>
        </w:rPr>
        <w:br/>
      </w:r>
      <w:r>
        <w:rPr>
          <w:b/>
          <w:bCs/>
        </w:rPr>
        <w:t>Avsikt med behandli</w:t>
      </w:r>
      <w:r>
        <w:rPr>
          <w:b/>
          <w:bCs/>
        </w:rPr>
        <w:t>ngen i rådet:</w:t>
      </w:r>
      <w:r>
        <w:t xml:space="preserve"> Att enas om utkast till rådsbeslut, som innebär att Albanien läggs till som stödmottagare för Seesacs projekt om säker lagerhållning av vapen och ammunition, vilken i sin tur innebär en förändring av Rådets beslut 2013/730/Gusp.</w:t>
      </w:r>
    </w:p>
    <w:p w14:paraId="4CDBD7A5" w14:textId="77777777" w:rsidR="00DF0815" w:rsidRDefault="00244C16">
      <w:pPr>
        <w:spacing w:after="280" w:afterAutospacing="1"/>
      </w:pPr>
      <w:r>
        <w:rPr>
          <w:b/>
          <w:bCs/>
        </w:rPr>
        <w:t>Hur regering</w:t>
      </w:r>
      <w:r>
        <w:rPr>
          <w:b/>
          <w:bCs/>
        </w:rPr>
        <w:t>en ställer sig till den blivande A-punkten:</w:t>
      </w:r>
      <w:r>
        <w:t xml:space="preserve"> Sverige har tidigare ställt sig bakom substansen till utkastet till rådsbeslut, och har inget att invända mot utkastet till rådsbeslut. </w:t>
      </w:r>
    </w:p>
    <w:p w14:paraId="4CDBD7A6" w14:textId="77777777" w:rsidR="00DF0815" w:rsidRDefault="00244C16">
      <w:pPr>
        <w:spacing w:after="280" w:afterAutospacing="1"/>
      </w:pPr>
      <w:r>
        <w:rPr>
          <w:b/>
          <w:bCs/>
        </w:rPr>
        <w:lastRenderedPageBreak/>
        <w:t xml:space="preserve">Bakgrund: </w:t>
      </w:r>
      <w:r>
        <w:t xml:space="preserve">Rådets beslut 2013/730/Gusp, till stöd för Seesacs nedrustnings- </w:t>
      </w:r>
      <w:r>
        <w:t>och rustningskontrollverksamhet i Sydösteuropa inom ramen för EU:s strategi för kampen mot olaglig anhopning av och handel med handeldvapen och lätta vapen och ammunition till dessa, föreskriver att EU ska stödja Seesacs projekt att reducera risken för ill</w:t>
      </w:r>
      <w:r>
        <w:t xml:space="preserve">egal spridning av handeldvapen och lätta vapen (SALW) och dess ammunition i Sydöstra Europa. Detta ska göras bland annat genom att förbättra säkerheten vid vapen- och ammunitionsförråd. </w:t>
      </w:r>
    </w:p>
    <w:p w14:paraId="4CDBD7A7" w14:textId="77777777" w:rsidR="00DF0815" w:rsidRDefault="00244C16">
      <w:pPr>
        <w:spacing w:after="280" w:afterAutospacing="1"/>
      </w:pPr>
      <w:r>
        <w:t xml:space="preserve">Bosnien och Hercegovina, Moldavien, Montenegro, Makedonien och Serbien är samtliga nämnda i 2013/730/Gusp som mottagare av sådana projekt, men inte Albanien. </w:t>
      </w:r>
    </w:p>
    <w:p w14:paraId="4CDBD7A8" w14:textId="77777777" w:rsidR="00DF0815" w:rsidRDefault="00244C16">
      <w:pPr>
        <w:spacing w:after="280" w:afterAutospacing="1"/>
      </w:pPr>
      <w:r>
        <w:t>Seesac, i samförstånd med albanska myndigheter, menar att det finns ett behov i Albanien för proj</w:t>
      </w:r>
      <w:r>
        <w:t>ekt av ovan nämnda typ, och även finansieringsutrymme inom ramen för beslut 2013/730/Gusp.</w:t>
      </w:r>
    </w:p>
    <w:p w14:paraId="4CDBD7A9" w14:textId="77777777" w:rsidR="00DF0815" w:rsidRDefault="00244C16">
      <w:pPr>
        <w:spacing w:after="280" w:afterAutospacing="1"/>
      </w:pPr>
      <w:r>
        <w:t>Aktuellt utkast till rådsbeslut föreslår att ändra Rådets beslut 2013/730/Gusp till att inkludera Albanien som mottagare av Seesacs projekt för säker lagerhållning a</w:t>
      </w:r>
      <w:r>
        <w:t xml:space="preserve">v vapen och ammunition.  </w:t>
      </w:r>
    </w:p>
    <w:p w14:paraId="4CDBD7AA" w14:textId="77777777" w:rsidR="00DF0815" w:rsidRDefault="00244C16">
      <w:pPr>
        <w:spacing w:after="280" w:afterAutospacing="1"/>
      </w:pPr>
      <w:r>
        <w:t xml:space="preserve">Finansieringsutrymme finns inom ramen för Rådets beslut 2013/730/Gusp. Genomförande av rådsbeslutet får därför inga budgetkonsekvenser. </w:t>
      </w:r>
    </w:p>
    <w:p w14:paraId="4CDBD7AD" w14:textId="74366C10" w:rsidR="00643D86" w:rsidRPr="00643D86" w:rsidRDefault="00244C16" w:rsidP="005F412E">
      <w:pPr>
        <w:spacing w:after="280" w:afterAutospacing="1"/>
        <w:rPr>
          <w:lang w:val="en-US"/>
        </w:rPr>
      </w:pPr>
      <w:r>
        <w:t xml:space="preserve">Utkastet till rådsbeslut har tidigare behandlats i Coarm den 18 september, samt i Relex den 19e och 22e oktober. Anledningen till att utkastet togs upp i Relex vid två tillfällen var ett förslag till tillägg från Grekland, som sedermera drogs tillbaka. </w:t>
      </w:r>
      <w:proofErr w:type="spellStart"/>
      <w:r>
        <w:t>Rel</w:t>
      </w:r>
      <w:r>
        <w:t>ex</w:t>
      </w:r>
      <w:bookmarkStart w:id="10" w:name="_GoBack"/>
      <w:bookmarkEnd w:id="10"/>
      <w:proofErr w:type="spellEnd"/>
      <w:r>
        <w:t xml:space="preserve"> kunde därefter enas om utkastet. </w:t>
      </w:r>
      <w:bookmarkEnd w:id="0"/>
    </w:p>
    <w:sectPr w:rsidR="00643D86" w:rsidRPr="00643D86" w:rsidSect="006E71D7">
      <w:headerReference w:type="default" r:id="rId15"/>
      <w:headerReference w:type="firs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DBD7BF" w14:textId="77777777" w:rsidR="00000000" w:rsidRDefault="00244C16">
      <w:pPr>
        <w:spacing w:after="0" w:line="240" w:lineRule="auto"/>
      </w:pPr>
      <w:r>
        <w:separator/>
      </w:r>
    </w:p>
  </w:endnote>
  <w:endnote w:type="continuationSeparator" w:id="0">
    <w:p w14:paraId="4CDBD7C1" w14:textId="77777777" w:rsidR="00000000" w:rsidRDefault="00244C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TradeGothic">
    <w:panose1 w:val="00000400000000000000"/>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DBD7BB" w14:textId="77777777" w:rsidR="00000000" w:rsidRDefault="00244C16">
      <w:pPr>
        <w:spacing w:after="0" w:line="240" w:lineRule="auto"/>
      </w:pPr>
      <w:r>
        <w:separator/>
      </w:r>
    </w:p>
  </w:footnote>
  <w:footnote w:type="continuationSeparator" w:id="0">
    <w:p w14:paraId="4CDBD7BD" w14:textId="77777777" w:rsidR="00000000" w:rsidRDefault="00244C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7561365"/>
      <w:docPartObj>
        <w:docPartGallery w:val="Page Numbers (Top of Page)"/>
        <w:docPartUnique/>
      </w:docPartObj>
    </w:sdtPr>
    <w:sdtContent>
      <w:p w14:paraId="362FE54F" w14:textId="5EB48A83" w:rsidR="005F412E" w:rsidRDefault="005F412E">
        <w:pPr>
          <w:pStyle w:val="Sidhuvud"/>
          <w:jc w:val="right"/>
        </w:pPr>
        <w:r>
          <w:fldChar w:fldCharType="begin"/>
        </w:r>
        <w:r>
          <w:instrText>PAGE   \* MERGEFORMAT</w:instrText>
        </w:r>
        <w:r>
          <w:fldChar w:fldCharType="separate"/>
        </w:r>
        <w:r w:rsidR="00DA4B9C">
          <w:rPr>
            <w:noProof/>
          </w:rPr>
          <w:t>8</w:t>
        </w:r>
        <w:r>
          <w:fldChar w:fldCharType="end"/>
        </w:r>
      </w:p>
    </w:sdtContent>
  </w:sdt>
  <w:p w14:paraId="4CDBD7AF" w14:textId="77777777" w:rsidR="006F1C0D" w:rsidRDefault="00244C16" w:rsidP="001237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606"/>
      <w:gridCol w:w="4606"/>
    </w:tblGrid>
    <w:tr w:rsidR="00DF0815" w14:paraId="4CDBD7B5" w14:textId="77777777" w:rsidTr="006E71D7">
      <w:tc>
        <w:tcPr>
          <w:tcW w:w="4606" w:type="dxa"/>
        </w:tcPr>
        <w:p w14:paraId="4CDBD7B0" w14:textId="77777777" w:rsidR="006E71D7" w:rsidRDefault="00244C16" w:rsidP="00752770">
          <w:pPr>
            <w:pStyle w:val="Sidhuvud"/>
            <w:ind w:left="0"/>
          </w:pPr>
          <w:r>
            <w:rPr>
              <w:noProof/>
              <w:lang w:eastAsia="sv-SE"/>
            </w:rPr>
            <w:drawing>
              <wp:inline distT="0" distB="0" distL="0" distR="0" wp14:anchorId="4CDBD7BB" wp14:editId="4CDBD7BC">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4CDBD7B1" w14:textId="77777777" w:rsidR="00FB32B9" w:rsidRDefault="00244C16" w:rsidP="00FB32B9">
          <w:pPr>
            <w:ind w:right="916"/>
            <w:rPr>
              <w:rFonts w:ascii="TradeGothic" w:hAnsi="TradeGothic"/>
              <w:b/>
            </w:rPr>
          </w:pPr>
        </w:p>
        <w:p w14:paraId="4CDBD7B2" w14:textId="77777777" w:rsidR="00FB32B9" w:rsidRDefault="00244C16" w:rsidP="00FB32B9">
          <w:pPr>
            <w:ind w:right="916"/>
          </w:pPr>
          <w:r>
            <w:rPr>
              <w:rFonts w:ascii="TradeGothic" w:hAnsi="TradeGothic"/>
              <w:b/>
            </w:rPr>
            <w:t>Promemoria</w:t>
          </w:r>
        </w:p>
        <w:p w14:paraId="4CDBD7B3" w14:textId="77777777" w:rsidR="00FB32B9" w:rsidRDefault="00244C16" w:rsidP="00FB32B9">
          <w:pPr>
            <w:jc w:val="right"/>
          </w:pPr>
        </w:p>
        <w:p w14:paraId="4CDBD7B4" w14:textId="77777777" w:rsidR="006E71D7" w:rsidRDefault="00244C16" w:rsidP="00FB32B9">
          <w:pPr>
            <w:ind w:right="916"/>
          </w:pPr>
          <w:r>
            <w:rPr>
              <w:rFonts w:ascii="TradeGothic" w:hAnsi="TradeGothic"/>
              <w:b/>
              <w:noProof/>
            </w:rPr>
            <w:t>2015-10-29</w:t>
          </w:r>
          <w:r w:rsidRPr="00934953">
            <w:t xml:space="preserve"> </w:t>
          </w:r>
        </w:p>
      </w:tc>
    </w:tr>
  </w:tbl>
  <w:p w14:paraId="4CDBD7B6" w14:textId="77777777" w:rsidR="00FB32B9" w:rsidRDefault="00244C16" w:rsidP="00FB32B9">
    <w:pPr>
      <w:pStyle w:val="Avsndare"/>
      <w:framePr w:w="0" w:hRule="auto" w:hSpace="0" w:wrap="auto" w:vAnchor="margin" w:hAnchor="text" w:xAlign="left" w:yAlign="inline"/>
      <w:rPr>
        <w:b/>
        <w:i w:val="0"/>
        <w:sz w:val="22"/>
      </w:rPr>
    </w:pPr>
  </w:p>
  <w:p w14:paraId="4CDBD7B7" w14:textId="77777777" w:rsidR="00FB32B9" w:rsidRDefault="00244C16" w:rsidP="00FB32B9">
    <w:pPr>
      <w:pStyle w:val="Avsndare"/>
      <w:framePr w:w="0" w:hRule="auto" w:hSpace="0" w:wrap="auto" w:vAnchor="margin" w:hAnchor="text" w:xAlign="left" w:yAlign="inline"/>
      <w:rPr>
        <w:b/>
        <w:i w:val="0"/>
        <w:sz w:val="22"/>
      </w:rPr>
    </w:pPr>
    <w:r>
      <w:rPr>
        <w:b/>
        <w:i w:val="0"/>
        <w:sz w:val="22"/>
      </w:rPr>
      <w:t>Statsrådsberedningen</w:t>
    </w:r>
  </w:p>
  <w:p w14:paraId="4CDBD7B8" w14:textId="77777777" w:rsidR="00FB32B9" w:rsidRDefault="00244C16" w:rsidP="00FB32B9">
    <w:pPr>
      <w:pStyle w:val="Avsndare"/>
      <w:framePr w:w="0" w:hRule="auto" w:hSpace="0" w:wrap="auto" w:vAnchor="margin" w:hAnchor="text" w:xAlign="left" w:yAlign="inline"/>
    </w:pPr>
  </w:p>
  <w:p w14:paraId="4CDBD7B9" w14:textId="77777777" w:rsidR="00FB32B9" w:rsidRDefault="00244C16" w:rsidP="00FB32B9">
    <w:pPr>
      <w:pStyle w:val="Avsndare"/>
      <w:framePr w:w="0" w:hRule="auto" w:hSpace="0" w:wrap="auto" w:vAnchor="margin" w:hAnchor="text" w:xAlign="left" w:yAlign="inline"/>
    </w:pPr>
    <w:r>
      <w:t>EU-kansliet</w:t>
    </w:r>
  </w:p>
  <w:p w14:paraId="4CDBD7BA" w14:textId="77777777" w:rsidR="0012376B" w:rsidRDefault="00244C16">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CC621E"/>
    <w:multiLevelType w:val="singleLevel"/>
    <w:tmpl w:val="2CD8C9DC"/>
    <w:name w:val="Dash Equal 1"/>
    <w:lvl w:ilvl="0">
      <w:start w:val="1"/>
      <w:numFmt w:val="bullet"/>
      <w:lvlRestart w:val="0"/>
      <w:pStyle w:val="DashEqual1"/>
      <w:lvlText w:val="="/>
      <w:lvlJc w:val="left"/>
      <w:pPr>
        <w:tabs>
          <w:tab w:val="num" w:pos="1134"/>
        </w:tabs>
        <w:ind w:left="1134" w:hanging="567"/>
      </w:pPr>
    </w:lvl>
  </w:abstractNum>
  <w:abstractNum w:abstractNumId="1">
    <w:nsid w:val="6A410AE9"/>
    <w:multiLevelType w:val="hybridMultilevel"/>
    <w:tmpl w:val="5E0C4660"/>
    <w:lvl w:ilvl="0" w:tplc="3C40E13C">
      <w:start w:val="1"/>
      <w:numFmt w:val="decimal"/>
      <w:pStyle w:val="Rubrik1"/>
      <w:lvlText w:val="%1."/>
      <w:lvlJc w:val="left"/>
      <w:pPr>
        <w:ind w:left="720" w:hanging="360"/>
      </w:pPr>
    </w:lvl>
    <w:lvl w:ilvl="1" w:tplc="56B008FC" w:tentative="1">
      <w:start w:val="1"/>
      <w:numFmt w:val="lowerLetter"/>
      <w:lvlText w:val="%2."/>
      <w:lvlJc w:val="left"/>
      <w:pPr>
        <w:ind w:left="1440" w:hanging="360"/>
      </w:pPr>
    </w:lvl>
    <w:lvl w:ilvl="2" w:tplc="F8F42CDC" w:tentative="1">
      <w:start w:val="1"/>
      <w:numFmt w:val="lowerRoman"/>
      <w:lvlText w:val="%3."/>
      <w:lvlJc w:val="right"/>
      <w:pPr>
        <w:ind w:left="2160" w:hanging="180"/>
      </w:pPr>
    </w:lvl>
    <w:lvl w:ilvl="3" w:tplc="6A326B60" w:tentative="1">
      <w:start w:val="1"/>
      <w:numFmt w:val="decimal"/>
      <w:lvlText w:val="%4."/>
      <w:lvlJc w:val="left"/>
      <w:pPr>
        <w:ind w:left="2880" w:hanging="360"/>
      </w:pPr>
    </w:lvl>
    <w:lvl w:ilvl="4" w:tplc="DEF647C6" w:tentative="1">
      <w:start w:val="1"/>
      <w:numFmt w:val="lowerLetter"/>
      <w:lvlText w:val="%5."/>
      <w:lvlJc w:val="left"/>
      <w:pPr>
        <w:ind w:left="3600" w:hanging="360"/>
      </w:pPr>
    </w:lvl>
    <w:lvl w:ilvl="5" w:tplc="C73616DA" w:tentative="1">
      <w:start w:val="1"/>
      <w:numFmt w:val="lowerRoman"/>
      <w:lvlText w:val="%6."/>
      <w:lvlJc w:val="right"/>
      <w:pPr>
        <w:ind w:left="4320" w:hanging="180"/>
      </w:pPr>
    </w:lvl>
    <w:lvl w:ilvl="6" w:tplc="16285D8A" w:tentative="1">
      <w:start w:val="1"/>
      <w:numFmt w:val="decimal"/>
      <w:lvlText w:val="%7."/>
      <w:lvlJc w:val="left"/>
      <w:pPr>
        <w:ind w:left="5040" w:hanging="360"/>
      </w:pPr>
    </w:lvl>
    <w:lvl w:ilvl="7" w:tplc="09F2E44A" w:tentative="1">
      <w:start w:val="1"/>
      <w:numFmt w:val="lowerLetter"/>
      <w:lvlText w:val="%8."/>
      <w:lvlJc w:val="left"/>
      <w:pPr>
        <w:ind w:left="5760" w:hanging="360"/>
      </w:pPr>
    </w:lvl>
    <w:lvl w:ilvl="8" w:tplc="9EA22AE2" w:tentative="1">
      <w:start w:val="1"/>
      <w:numFmt w:val="lowerRoman"/>
      <w:lvlText w:val="%9."/>
      <w:lvlJc w:val="right"/>
      <w:pPr>
        <w:ind w:left="6480" w:hanging="180"/>
      </w:pPr>
    </w:lvl>
  </w:abstractNum>
  <w:abstractNum w:abstractNumId="2">
    <w:nsid w:val="73990993"/>
    <w:multiLevelType w:val="hybridMultilevel"/>
    <w:tmpl w:val="3BD822EE"/>
    <w:lvl w:ilvl="0" w:tplc="A2E6C044">
      <w:start w:val="1"/>
      <w:numFmt w:val="decimal"/>
      <w:lvlText w:val="%1."/>
      <w:lvlJc w:val="left"/>
      <w:pPr>
        <w:ind w:left="360" w:hanging="360"/>
      </w:pPr>
      <w:rPr>
        <w:b w:val="0"/>
      </w:rPr>
    </w:lvl>
    <w:lvl w:ilvl="1" w:tplc="83107DBC" w:tentative="1">
      <w:start w:val="1"/>
      <w:numFmt w:val="lowerLetter"/>
      <w:lvlText w:val="%2."/>
      <w:lvlJc w:val="left"/>
      <w:pPr>
        <w:ind w:left="1080" w:hanging="360"/>
      </w:pPr>
    </w:lvl>
    <w:lvl w:ilvl="2" w:tplc="2D4ABD46" w:tentative="1">
      <w:start w:val="1"/>
      <w:numFmt w:val="lowerRoman"/>
      <w:lvlText w:val="%3."/>
      <w:lvlJc w:val="right"/>
      <w:pPr>
        <w:ind w:left="1800" w:hanging="180"/>
      </w:pPr>
    </w:lvl>
    <w:lvl w:ilvl="3" w:tplc="9580B6A2" w:tentative="1">
      <w:start w:val="1"/>
      <w:numFmt w:val="decimal"/>
      <w:lvlText w:val="%4."/>
      <w:lvlJc w:val="left"/>
      <w:pPr>
        <w:ind w:left="2520" w:hanging="360"/>
      </w:pPr>
    </w:lvl>
    <w:lvl w:ilvl="4" w:tplc="1B9A48C8" w:tentative="1">
      <w:start w:val="1"/>
      <w:numFmt w:val="lowerLetter"/>
      <w:lvlText w:val="%5."/>
      <w:lvlJc w:val="left"/>
      <w:pPr>
        <w:ind w:left="3240" w:hanging="360"/>
      </w:pPr>
    </w:lvl>
    <w:lvl w:ilvl="5" w:tplc="79368FEC" w:tentative="1">
      <w:start w:val="1"/>
      <w:numFmt w:val="lowerRoman"/>
      <w:lvlText w:val="%6."/>
      <w:lvlJc w:val="right"/>
      <w:pPr>
        <w:ind w:left="3960" w:hanging="180"/>
      </w:pPr>
    </w:lvl>
    <w:lvl w:ilvl="6" w:tplc="C8F04F46" w:tentative="1">
      <w:start w:val="1"/>
      <w:numFmt w:val="decimal"/>
      <w:lvlText w:val="%7."/>
      <w:lvlJc w:val="left"/>
      <w:pPr>
        <w:ind w:left="4680" w:hanging="360"/>
      </w:pPr>
    </w:lvl>
    <w:lvl w:ilvl="7" w:tplc="945AE184" w:tentative="1">
      <w:start w:val="1"/>
      <w:numFmt w:val="lowerLetter"/>
      <w:lvlText w:val="%8."/>
      <w:lvlJc w:val="left"/>
      <w:pPr>
        <w:ind w:left="5400" w:hanging="360"/>
      </w:pPr>
    </w:lvl>
    <w:lvl w:ilvl="8" w:tplc="2482E398" w:tentative="1">
      <w:start w:val="1"/>
      <w:numFmt w:val="lowerRoman"/>
      <w:lvlText w:val="%9."/>
      <w:lvlJc w:val="right"/>
      <w:pPr>
        <w:ind w:left="612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0815"/>
    <w:rsid w:val="00244C16"/>
    <w:rsid w:val="005F412E"/>
    <w:rsid w:val="00D8196B"/>
    <w:rsid w:val="00DA4B9C"/>
    <w:rsid w:val="00DF081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BD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 w:type="paragraph" w:customStyle="1" w:styleId="Text3">
    <w:name w:val="Text 3"/>
    <w:basedOn w:val="Normal"/>
    <w:link w:val="Text3Char"/>
    <w:rsid w:val="00D8196B"/>
    <w:pPr>
      <w:spacing w:after="0" w:line="240" w:lineRule="auto"/>
      <w:ind w:left="1701"/>
      <w:outlineLvl w:val="2"/>
    </w:pPr>
    <w:rPr>
      <w:rFonts w:eastAsia="Times New Roman"/>
      <w:sz w:val="24"/>
      <w:szCs w:val="24"/>
      <w:lang w:val="fr-FR"/>
    </w:rPr>
  </w:style>
  <w:style w:type="paragraph" w:customStyle="1" w:styleId="Text4">
    <w:name w:val="Text 4"/>
    <w:basedOn w:val="Normal"/>
    <w:rsid w:val="00D8196B"/>
    <w:pPr>
      <w:spacing w:after="0" w:line="240" w:lineRule="auto"/>
      <w:ind w:left="2268"/>
      <w:outlineLvl w:val="3"/>
    </w:pPr>
    <w:rPr>
      <w:rFonts w:eastAsia="Times New Roman"/>
      <w:sz w:val="24"/>
      <w:szCs w:val="24"/>
      <w:lang w:val="fr-FR"/>
    </w:rPr>
  </w:style>
  <w:style w:type="paragraph" w:customStyle="1" w:styleId="PointManual">
    <w:name w:val="Point Manual"/>
    <w:basedOn w:val="Normal"/>
    <w:link w:val="PointManualChar"/>
    <w:rsid w:val="00D8196B"/>
    <w:pPr>
      <w:spacing w:before="200" w:after="0" w:line="240" w:lineRule="auto"/>
      <w:ind w:left="567" w:hanging="567"/>
    </w:pPr>
    <w:rPr>
      <w:rFonts w:eastAsia="Times New Roman"/>
      <w:sz w:val="24"/>
      <w:szCs w:val="24"/>
      <w:lang w:val="fr-FR"/>
    </w:rPr>
  </w:style>
  <w:style w:type="paragraph" w:customStyle="1" w:styleId="DashEqual1">
    <w:name w:val="Dash Equal 1"/>
    <w:basedOn w:val="Normal"/>
    <w:rsid w:val="00D8196B"/>
    <w:pPr>
      <w:numPr>
        <w:numId w:val="3"/>
      </w:numPr>
      <w:spacing w:after="0" w:line="240" w:lineRule="auto"/>
      <w:outlineLvl w:val="0"/>
    </w:pPr>
    <w:rPr>
      <w:rFonts w:eastAsia="Times New Roman"/>
      <w:sz w:val="24"/>
      <w:szCs w:val="24"/>
      <w:lang w:val="fr-FR"/>
    </w:rPr>
  </w:style>
  <w:style w:type="character" w:customStyle="1" w:styleId="PointManualChar">
    <w:name w:val="Point Manual Char"/>
    <w:link w:val="PointManual"/>
    <w:locked/>
    <w:rsid w:val="00D8196B"/>
    <w:rPr>
      <w:rFonts w:ascii="Times New Roman" w:eastAsia="Times New Roman" w:hAnsi="Times New Roman"/>
      <w:sz w:val="24"/>
      <w:szCs w:val="24"/>
      <w:lang w:val="fr-FR"/>
    </w:rPr>
  </w:style>
  <w:style w:type="character" w:customStyle="1" w:styleId="Text3Char">
    <w:name w:val="Text 3 Char"/>
    <w:link w:val="Text3"/>
    <w:rsid w:val="00D8196B"/>
    <w:rPr>
      <w:rFonts w:ascii="Times New Roman" w:eastAsia="Times New Roman" w:hAnsi="Times New Roman"/>
      <w:sz w:val="24"/>
      <w:szCs w:val="24"/>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 w:type="paragraph" w:customStyle="1" w:styleId="Text3">
    <w:name w:val="Text 3"/>
    <w:basedOn w:val="Normal"/>
    <w:link w:val="Text3Char"/>
    <w:rsid w:val="00D8196B"/>
    <w:pPr>
      <w:spacing w:after="0" w:line="240" w:lineRule="auto"/>
      <w:ind w:left="1701"/>
      <w:outlineLvl w:val="2"/>
    </w:pPr>
    <w:rPr>
      <w:rFonts w:eastAsia="Times New Roman"/>
      <w:sz w:val="24"/>
      <w:szCs w:val="24"/>
      <w:lang w:val="fr-FR"/>
    </w:rPr>
  </w:style>
  <w:style w:type="paragraph" w:customStyle="1" w:styleId="Text4">
    <w:name w:val="Text 4"/>
    <w:basedOn w:val="Normal"/>
    <w:rsid w:val="00D8196B"/>
    <w:pPr>
      <w:spacing w:after="0" w:line="240" w:lineRule="auto"/>
      <w:ind w:left="2268"/>
      <w:outlineLvl w:val="3"/>
    </w:pPr>
    <w:rPr>
      <w:rFonts w:eastAsia="Times New Roman"/>
      <w:sz w:val="24"/>
      <w:szCs w:val="24"/>
      <w:lang w:val="fr-FR"/>
    </w:rPr>
  </w:style>
  <w:style w:type="paragraph" w:customStyle="1" w:styleId="PointManual">
    <w:name w:val="Point Manual"/>
    <w:basedOn w:val="Normal"/>
    <w:link w:val="PointManualChar"/>
    <w:rsid w:val="00D8196B"/>
    <w:pPr>
      <w:spacing w:before="200" w:after="0" w:line="240" w:lineRule="auto"/>
      <w:ind w:left="567" w:hanging="567"/>
    </w:pPr>
    <w:rPr>
      <w:rFonts w:eastAsia="Times New Roman"/>
      <w:sz w:val="24"/>
      <w:szCs w:val="24"/>
      <w:lang w:val="fr-FR"/>
    </w:rPr>
  </w:style>
  <w:style w:type="paragraph" w:customStyle="1" w:styleId="DashEqual1">
    <w:name w:val="Dash Equal 1"/>
    <w:basedOn w:val="Normal"/>
    <w:rsid w:val="00D8196B"/>
    <w:pPr>
      <w:numPr>
        <w:numId w:val="3"/>
      </w:numPr>
      <w:spacing w:after="0" w:line="240" w:lineRule="auto"/>
      <w:outlineLvl w:val="0"/>
    </w:pPr>
    <w:rPr>
      <w:rFonts w:eastAsia="Times New Roman"/>
      <w:sz w:val="24"/>
      <w:szCs w:val="24"/>
      <w:lang w:val="fr-FR"/>
    </w:rPr>
  </w:style>
  <w:style w:type="character" w:customStyle="1" w:styleId="PointManualChar">
    <w:name w:val="Point Manual Char"/>
    <w:link w:val="PointManual"/>
    <w:locked/>
    <w:rsid w:val="00D8196B"/>
    <w:rPr>
      <w:rFonts w:ascii="Times New Roman" w:eastAsia="Times New Roman" w:hAnsi="Times New Roman"/>
      <w:sz w:val="24"/>
      <w:szCs w:val="24"/>
      <w:lang w:val="fr-FR"/>
    </w:rPr>
  </w:style>
  <w:style w:type="character" w:customStyle="1" w:styleId="Text3Char">
    <w:name w:val="Text 3 Char"/>
    <w:link w:val="Text3"/>
    <w:rsid w:val="00D8196B"/>
    <w:rPr>
      <w:rFonts w:ascii="Times New Roman" w:eastAsia="Times New Roman" w:hAnsi="Times New Roman"/>
      <w:sz w:val="24"/>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RKOrdnaCheckInComment xmlns="e4c0beb7-0294-4d25-9600-346807c0961e" xsi:nil="true"/>
    <c9cd366cc722410295b9eacffbd73909 xmlns="8b66ae41-1ec6-402e-b662-35d1932ca064">
      <Terms xmlns="http://schemas.microsoft.com/office/infopath/2007/PartnerControls"/>
    </c9cd366cc722410295b9eacffbd73909>
    <RKOrdnaDiarienummer xmlns="8b66ae41-1ec6-402e-b662-35d1932ca064" xsi:nil="true"/>
    <k46d94c0acf84ab9a79866a9d8b1905f xmlns="8b66ae41-1ec6-402e-b662-35d1932ca064">
      <Terms xmlns="http://schemas.microsoft.com/office/infopath/2007/PartnerControls"/>
    </k46d94c0acf84ab9a79866a9d8b1905f>
    <RKOrdnaClass xmlns="e4c0beb7-0294-4d25-9600-346807c0961e" xsi:nil="true"/>
    <_dlc_DocId xmlns="8b66ae41-1ec6-402e-b662-35d1932ca064">JE6N4JFJXNNF-9-69578</_dlc_DocId>
    <_dlc_DocIdUrl xmlns="8b66ae41-1ec6-402e-b662-35d1932ca064">
      <Url>http://rkdhs-sb/enhet/EUKansli/_layouts/DocIdRedir.aspx?ID=JE6N4JFJXNNF-9-69578</Url>
      <Description>JE6N4JFJXNNF-9-69578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RKDokument" ma:contentTypeID="0x01010053E1D612BA3F4E21AA250ECD751942B3009C7E30FED4CE7541B6BEEAC5BBDA3952" ma:contentTypeVersion="10" ma:contentTypeDescription="Skapa ett nytt dokument." ma:contentTypeScope="" ma:versionID="971f8798b1b03f47941c8c986cfb8434">
  <xsd:schema xmlns:xsd="http://www.w3.org/2001/XMLSchema" xmlns:xs="http://www.w3.org/2001/XMLSchema" xmlns:p="http://schemas.microsoft.com/office/2006/metadata/properties" xmlns:ns2="8b66ae41-1ec6-402e-b662-35d1932ca064" xmlns:ns4="e4c0beb7-0294-4d25-9600-346807c0961e" targetNamespace="http://schemas.microsoft.com/office/2006/metadata/properties" ma:root="true" ma:fieldsID="1e7f2f661d8bc62945e2883c710755d7" ns2:_="" ns4:_="">
    <xsd:import namespace="8b66ae41-1ec6-402e-b662-35d1932ca064"/>
    <xsd:import namespace="e4c0beb7-0294-4d25-9600-346807c0961e"/>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RKOrdnaDiarienummer" minOccurs="0"/>
                <xsd:element ref="ns2:Sekretess" minOccurs="0"/>
                <xsd:element ref="ns4:RKOrdnaClass" minOccurs="0"/>
                <xsd:element ref="ns4: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RKOrdnaDiarienummer" ma:index="17" nillable="true" ma:displayName="Diarienummer" ma:internalName="Diarienummer">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4c0beb7-0294-4d25-9600-346807c0961e"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ma:displayName="Nyckelord" ma:readOnly="true"/>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True</openByDefault>
  <xsnScope/>
</customXsn>
</file>

<file path=customXml/item6.xml><?xml version="1.0" encoding="utf-8"?>
<?mso-contentType ?>
<FormUrls xmlns="http://schemas.microsoft.com/sharepoint/v3/contenttype/forms/url">
  <Edit>_layouts/RK.Dhs/RKEditForm.aspx</Edit>
  <New>_layouts/RK.Dhs/RKEditForm.aspx</New>
</FormUrl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AF3438-A7A6-44F5-86B4-E035D4767BB4}"/>
</file>

<file path=customXml/itemProps2.xml><?xml version="1.0" encoding="utf-8"?>
<ds:datastoreItem xmlns:ds="http://schemas.openxmlformats.org/officeDocument/2006/customXml" ds:itemID="{F5164A11-7FE3-4140-A372-28243756F3EF}"/>
</file>

<file path=customXml/itemProps3.xml><?xml version="1.0" encoding="utf-8"?>
<ds:datastoreItem xmlns:ds="http://schemas.openxmlformats.org/officeDocument/2006/customXml" ds:itemID="{C3FBA908-E5DF-4CBB-9040-9B792BD9F618}"/>
</file>

<file path=customXml/itemProps4.xml><?xml version="1.0" encoding="utf-8"?>
<ds:datastoreItem xmlns:ds="http://schemas.openxmlformats.org/officeDocument/2006/customXml" ds:itemID="{E1C0D20D-B4E0-41F3-9287-6B6AEAD39AA4}"/>
</file>

<file path=customXml/itemProps5.xml><?xml version="1.0" encoding="utf-8"?>
<ds:datastoreItem xmlns:ds="http://schemas.openxmlformats.org/officeDocument/2006/customXml" ds:itemID="{802C8E28-135F-4AF1-B1C7-CA445C82B5F2}"/>
</file>

<file path=customXml/itemProps6.xml><?xml version="1.0" encoding="utf-8"?>
<ds:datastoreItem xmlns:ds="http://schemas.openxmlformats.org/officeDocument/2006/customXml" ds:itemID="{89088BC6-9DA8-49E4-B6A4-760D70AE44FD}"/>
</file>

<file path=customXml/itemProps7.xml><?xml version="1.0" encoding="utf-8"?>
<ds:datastoreItem xmlns:ds="http://schemas.openxmlformats.org/officeDocument/2006/customXml" ds:itemID="{D90C1F46-DF7E-4726-86F5-3ACCEAD0283A}"/>
</file>

<file path=docProps/app.xml><?xml version="1.0" encoding="utf-8"?>
<Properties xmlns="http://schemas.openxmlformats.org/officeDocument/2006/extended-properties" xmlns:vt="http://schemas.openxmlformats.org/officeDocument/2006/docPropsVTypes">
  <Template>Normal</Template>
  <TotalTime>0</TotalTime>
  <Pages>8</Pages>
  <Words>2474</Words>
  <Characters>13113</Characters>
  <Application>Microsoft Office Word</Application>
  <DocSecurity>0</DocSecurity>
  <Lines>109</Lines>
  <Paragraphs>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 RK IT</Company>
  <LinksUpToDate>false</LinksUpToDate>
  <CharactersWithSpaces>15556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Pia Johnsen</cp:lastModifiedBy>
  <cp:revision>2</cp:revision>
  <dcterms:created xsi:type="dcterms:W3CDTF">2015-10-29T08:25:00Z</dcterms:created>
  <dcterms:modified xsi:type="dcterms:W3CDTF">2015-10-29T08:25:00Z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0x01010053E1D612BA3F4E21AA250ECD751942B3009C7E30FED4CE7541B6BEEAC5BBDA3952</vt:lpwstr>
  </property>
  <property fmtid="{D5CDD505-2E9C-101B-9397-08002B2CF9AE}" pid="3" name="MCreatorEmail">
    <vt:lpwstr>pia.johnsen@regeringskansliet.se</vt:lpwstr>
  </property>
  <property fmtid="{D5CDD505-2E9C-101B-9397-08002B2CF9AE}" pid="4" name="Departementsenhet">
    <vt:lpwstr/>
  </property>
  <property fmtid="{D5CDD505-2E9C-101B-9397-08002B2CF9AE}" pid="5" name="Aktivitetskategori">
    <vt:lpwstr/>
  </property>
  <property fmtid="{D5CDD505-2E9C-101B-9397-08002B2CF9AE}" pid="6" name="_dlc_DocIdItemGuid">
    <vt:lpwstr>17f54772-7c07-4336-a93c-95ac4ff226d0</vt:lpwstr>
  </property>
</Properties>
</file>