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CD32E2" w:rsidRDefault="00CD32E2">
            <w:pPr>
              <w:pStyle w:val="HuvudRubrik"/>
            </w:pPr>
            <w:bookmarkStart w:id="0" w:name="BetänkandeRubrik"/>
            <w:bookmarkEnd w:id="0"/>
            <w:r>
              <w:t>Lagutskottets betänkande</w:t>
            </w:r>
            <w:r w:rsidR="00006756">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818689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CD32E2" w:rsidRDefault="00CD32E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6026"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CD32E2" w:rsidRDefault="00CD32E2">
                            <w:pPr>
                              <w:pStyle w:val="Logo"/>
                            </w:pPr>
                            <w:r>
                              <w:object w:dxaOrig="840" w:dyaOrig="1545">
                                <v:shape id="_x0000_i1025" type="#_x0000_t75" style="width:41.55pt;height:77.15pt" fillcolor="window">
                                  <v:imagedata r:id="rId6" o:title=""/>
                                </v:shape>
                                <o:OLEObject Type="Embed" ProgID="Word.Picture.8" ShapeID="_x0000_i1025" DrawAspect="Content" ObjectID="_1827336026" r:id="rId8"/>
                              </w:object>
                            </w:r>
                          </w:p>
                        </w:txbxContent>
                      </v:textbox>
                      <w10:wrap anchorx="page" anchory="page"/>
                    </v:shape>
                  </w:pict>
                </mc:Fallback>
              </mc:AlternateContent>
            </w:r>
          </w:p>
          <w:p w:rsidR="00CD32E2" w:rsidRDefault="00CD32E2">
            <w:pPr>
              <w:pStyle w:val="HuvudRubrikRad2"/>
            </w:pPr>
            <w:bookmarkStart w:id="15" w:name="BetänkandeNr"/>
            <w:bookmarkEnd w:id="15"/>
            <w:r>
              <w:t>1998/99:LU19</w:t>
            </w:r>
          </w:p>
          <w:p w:rsidR="00CD32E2" w:rsidRDefault="00CD32E2">
            <w:pPr>
              <w:pStyle w:val="BetnkandeRubrik"/>
            </w:pPr>
            <w:bookmarkStart w:id="16" w:name="Huvudrubrik"/>
            <w:bookmarkEnd w:id="16"/>
            <w:r>
              <w:t>Ändringar i trafikskadelagen</w:t>
            </w:r>
          </w:p>
        </w:tc>
        <w:tc>
          <w:tcPr>
            <w:tcW w:w="1559" w:type="dxa"/>
            <w:tcBorders>
              <w:bottom w:val="nil"/>
            </w:tcBorders>
          </w:tcPr>
          <w:p w:rsidR="00CD32E2" w:rsidRDefault="00CD32E2">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CD32E2" w:rsidRDefault="00CD32E2">
            <w:pPr>
              <w:spacing w:before="40" w:after="900" w:line="280" w:lineRule="exact"/>
              <w:jc w:val="left"/>
              <w:rPr>
                <w:sz w:val="28"/>
              </w:rPr>
            </w:pPr>
          </w:p>
        </w:tc>
        <w:tc>
          <w:tcPr>
            <w:tcW w:w="1559" w:type="dxa"/>
          </w:tcPr>
          <w:p w:rsidR="00CD32E2" w:rsidRDefault="00CD32E2">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CD32E2" w:rsidRDefault="00CD32E2">
            <w:pPr>
              <w:spacing w:before="40" w:after="900" w:line="280" w:lineRule="exact"/>
              <w:jc w:val="left"/>
              <w:rPr>
                <w:sz w:val="28"/>
              </w:rPr>
            </w:pPr>
          </w:p>
        </w:tc>
        <w:tc>
          <w:tcPr>
            <w:tcW w:w="1559" w:type="dxa"/>
            <w:tcBorders>
              <w:bottom w:val="single" w:sz="6" w:space="0" w:color="auto"/>
            </w:tcBorders>
          </w:tcPr>
          <w:p w:rsidR="00CD32E2" w:rsidRDefault="00CD32E2">
            <w:pPr>
              <w:pStyle w:val="rtal"/>
            </w:pPr>
            <w:r>
              <w:t>LU19</w:t>
            </w:r>
          </w:p>
        </w:tc>
      </w:tr>
      <w:tr w:rsidR="00000000">
        <w:tblPrEx>
          <w:tblCellMar>
            <w:top w:w="0" w:type="dxa"/>
            <w:bottom w:w="0" w:type="dxa"/>
          </w:tblCellMar>
        </w:tblPrEx>
        <w:trPr>
          <w:cantSplit/>
          <w:trHeight w:hRule="exact" w:val="660"/>
        </w:trPr>
        <w:tc>
          <w:tcPr>
            <w:tcW w:w="3012" w:type="dxa"/>
          </w:tcPr>
          <w:p w:rsidR="00CD32E2" w:rsidRDefault="00CD32E2">
            <w:pPr>
              <w:pStyle w:val="StatusSida1"/>
            </w:pPr>
          </w:p>
        </w:tc>
        <w:tc>
          <w:tcPr>
            <w:tcW w:w="3012" w:type="dxa"/>
          </w:tcPr>
          <w:p w:rsidR="00CD32E2" w:rsidRDefault="00CD32E2">
            <w:pPr>
              <w:pStyle w:val="UtskriftsdatumSida1"/>
              <w:rPr>
                <w:b/>
                <w:sz w:val="28"/>
              </w:rPr>
            </w:pPr>
          </w:p>
        </w:tc>
        <w:tc>
          <w:tcPr>
            <w:tcW w:w="1559" w:type="dxa"/>
          </w:tcPr>
          <w:p w:rsidR="00CD32E2" w:rsidRDefault="00CD32E2"/>
        </w:tc>
      </w:tr>
    </w:tbl>
    <w:p w:rsidR="00CD32E2" w:rsidRDefault="00CD32E2">
      <w:pPr>
        <w:pStyle w:val="Rubrik1"/>
        <w:spacing w:before="0"/>
      </w:pPr>
      <w:bookmarkStart w:id="17" w:name="_Toc448648567"/>
      <w:r>
        <w:t>Sammanfattning</w:t>
      </w:r>
      <w:bookmarkEnd w:id="17"/>
    </w:p>
    <w:p w:rsidR="00CD32E2" w:rsidRDefault="00CD32E2">
      <w:bookmarkStart w:id="18" w:name="Textstart"/>
      <w:bookmarkEnd w:id="18"/>
      <w:r>
        <w:t>I betänkandet behandlar utskottet regeringens proposition 1998/99:42 om ändringar i trafikskadelagen samt två med anledning av propositionen väckta motioner. De föreslagna ändringarna gäller bestämmelserna om trafikförsä</w:t>
      </w:r>
      <w:r>
        <w:t>k</w:t>
      </w:r>
      <w:r>
        <w:t>ringsavgifter och om preskription samt bestämmelsen om jämkning av sk</w:t>
      </w:r>
      <w:r>
        <w:t>a</w:t>
      </w:r>
      <w:r>
        <w:t>destånd med anledning av skada på motordrivet fordon i trafik och på ege</w:t>
      </w:r>
      <w:r>
        <w:t>n</w:t>
      </w:r>
      <w:r>
        <w:t>dom som transport</w:t>
      </w:r>
      <w:r>
        <w:t>e</w:t>
      </w:r>
      <w:r>
        <w:t>rats med fordonet.</w:t>
      </w:r>
    </w:p>
    <w:p w:rsidR="00CD32E2" w:rsidRDefault="00CD32E2">
      <w:pPr>
        <w:pStyle w:val="Normaltindrag"/>
      </w:pPr>
      <w:r>
        <w:t>De nya reglerna föreslås träda i kraft den 1 juli 1999.</w:t>
      </w:r>
    </w:p>
    <w:p w:rsidR="00CD32E2" w:rsidRDefault="00CD32E2">
      <w:pPr>
        <w:pStyle w:val="Normaltindrag"/>
      </w:pPr>
      <w:r>
        <w:t>Vidare behandlas i betänkandet en motion från allmänna motionstiden år 1998 som behandlar frågan om jämkning av personskadeersättning i sa</w:t>
      </w:r>
      <w:r>
        <w:t>m</w:t>
      </w:r>
      <w:r>
        <w:t>band med trafikonykte</w:t>
      </w:r>
      <w:r>
        <w:t>r</w:t>
      </w:r>
      <w:r>
        <w:t>hetsbrott.</w:t>
      </w:r>
    </w:p>
    <w:p w:rsidR="00CD32E2" w:rsidRDefault="00CD32E2">
      <w:pPr>
        <w:pStyle w:val="Normaltindrag"/>
      </w:pPr>
      <w:r>
        <w:t>Utskottet tillstyrker propositionen och avstyrker motionerna.</w:t>
      </w:r>
    </w:p>
    <w:p w:rsidR="00CD32E2" w:rsidRDefault="00CD32E2">
      <w:pPr>
        <w:pStyle w:val="Normaltindrag"/>
      </w:pPr>
      <w:r>
        <w:t>Till betänkandet har fogats en reservation.</w:t>
      </w:r>
    </w:p>
    <w:p w:rsidR="00CD32E2" w:rsidRDefault="00CD32E2">
      <w:pPr>
        <w:pStyle w:val="Rubrik1"/>
      </w:pPr>
      <w:bookmarkStart w:id="19" w:name="_Toc448648568"/>
      <w:r>
        <w:t>Propositionen</w:t>
      </w:r>
      <w:bookmarkEnd w:id="19"/>
    </w:p>
    <w:p w:rsidR="00CD32E2" w:rsidRDefault="00CD32E2">
      <w:r>
        <w:t>I proposition 1998/99:42 föreslår regeringen (Justitiedepartementet) – efter hörande av Lagrådet – att riksdagen antar det i propositionen framlagda förslaget till lag om ändring i trafikskadelagen (1975:1410).</w:t>
      </w:r>
    </w:p>
    <w:p w:rsidR="00CD32E2" w:rsidRDefault="00CD32E2">
      <w:pPr>
        <w:pStyle w:val="Normaltindrag"/>
      </w:pPr>
      <w:r>
        <w:t>Lagförslaget har intagits som bilaga 1 till betänkandet.</w:t>
      </w:r>
    </w:p>
    <w:p w:rsidR="00CD32E2" w:rsidRDefault="00CD32E2">
      <w:pPr>
        <w:pStyle w:val="Rubrik1"/>
      </w:pPr>
      <w:bookmarkStart w:id="20" w:name="_Toc448648569"/>
      <w:r>
        <w:t>Motionerna</w:t>
      </w:r>
      <w:bookmarkEnd w:id="20"/>
    </w:p>
    <w:p w:rsidR="00CD32E2" w:rsidRDefault="00CD32E2">
      <w:pPr>
        <w:pStyle w:val="Rubrik2"/>
        <w:spacing w:before="123"/>
      </w:pPr>
      <w:bookmarkStart w:id="21" w:name="_Toc448648570"/>
      <w:r>
        <w:t>Motioner väckta med anledning av propositionen</w:t>
      </w:r>
      <w:bookmarkEnd w:id="21"/>
    </w:p>
    <w:p w:rsidR="00CD32E2" w:rsidRDefault="00CD32E2">
      <w:r>
        <w:t>1998/99:L6 av Tanja Linderborg m.fl. (v) vari yrkas</w:t>
      </w:r>
    </w:p>
    <w:p w:rsidR="00CD32E2" w:rsidRDefault="00CD32E2">
      <w:pPr>
        <w:pStyle w:val="Normaltindrag"/>
      </w:pPr>
      <w:r>
        <w:t>1. att riksdagen beslutar om följande ändring i 18 § andra stycket trafi</w:t>
      </w:r>
      <w:r>
        <w:t>k</w:t>
      </w:r>
      <w:r>
        <w:t>skadelagen: Skadestånd med anledning av skada på motordrivet fordon i trafik eller på därmed befordrad egendom jämkas efter vad som är skäligt med hänsyn till förekomsten av ansvarsförsäkring hos den skadeståndssky</w:t>
      </w:r>
      <w:r>
        <w:t>l</w:t>
      </w:r>
      <w:r>
        <w:t xml:space="preserve">dige och omständigheterna i övrigt, </w:t>
      </w:r>
    </w:p>
    <w:p w:rsidR="00CD32E2" w:rsidRDefault="00CD32E2">
      <w:pPr>
        <w:pStyle w:val="Normaltindrag"/>
      </w:pPr>
      <w:r>
        <w:t>2. att riksdagen – om yrkade 1 avslås – beslutar om följande ändring i 18 § andra stycket trafikskadelagen: Skadestånd med anledning av skada på ett motordrivet fordon i trafik eller på egendom som transporterats med det får jämkas efter vad som är skäligt me</w:t>
      </w:r>
      <w:r>
        <w:t>d hänsyn till den medverkan som för</w:t>
      </w:r>
      <w:r>
        <w:t>e</w:t>
      </w:r>
      <w:r>
        <w:t xml:space="preserve">kommit på ömse sidor och till omständigheterna i övrigt. </w:t>
      </w:r>
    </w:p>
    <w:p w:rsidR="00CD32E2" w:rsidRDefault="00CD32E2">
      <w:r>
        <w:lastRenderedPageBreak/>
        <w:t xml:space="preserve">1998/99:L7 av Rolf Åbjörnsson m.fl. (kd) vari yrkas att riksdagen beslutar om ändring av 18 § andra stycket trafikskadelagen i enlighet med vad som anförts i motionen. </w:t>
      </w:r>
    </w:p>
    <w:p w:rsidR="00CD32E2" w:rsidRDefault="00CD32E2">
      <w:pPr>
        <w:pStyle w:val="Rubrik2"/>
      </w:pPr>
      <w:bookmarkStart w:id="22" w:name="_Toc448648571"/>
      <w:r>
        <w:t>Motion väckt under den allmänna motionstiden 1998</w:t>
      </w:r>
      <w:bookmarkEnd w:id="22"/>
    </w:p>
    <w:p w:rsidR="00CD32E2" w:rsidRDefault="00CD32E2">
      <w:r>
        <w:t>1998/99:L603 av Elver Jonsson (fp) vari yrkas</w:t>
      </w:r>
    </w:p>
    <w:p w:rsidR="00CD32E2" w:rsidRDefault="00CD32E2">
      <w:pPr>
        <w:pStyle w:val="Normaltindrag"/>
      </w:pPr>
      <w:r>
        <w:t xml:space="preserve">1. att riksdagen som sin mening ger regeringen till känna vad i motionen anförts om en snar översyn av trafikskadelagens regler, </w:t>
      </w:r>
    </w:p>
    <w:p w:rsidR="00CD32E2" w:rsidRDefault="00CD32E2">
      <w:pPr>
        <w:pStyle w:val="Normaltindrag"/>
      </w:pPr>
      <w:r>
        <w:t>2. att riksdagen som sin mening ger regeringen till känna vad i motionen anförts om att olyckor och skador orsakade av rattfylleri i ersättningshäns</w:t>
      </w:r>
      <w:r>
        <w:t>e</w:t>
      </w:r>
      <w:r>
        <w:t>ende jämkas så att ”överkompensation” undviks.</w:t>
      </w:r>
    </w:p>
    <w:p w:rsidR="00CD32E2" w:rsidRDefault="00CD32E2">
      <w:pPr>
        <w:pStyle w:val="Rubrik1"/>
      </w:pPr>
      <w:bookmarkStart w:id="23" w:name="_Toc448648572"/>
      <w:r>
        <w:t>Utskottet</w:t>
      </w:r>
      <w:bookmarkEnd w:id="23"/>
    </w:p>
    <w:p w:rsidR="00CD32E2" w:rsidRDefault="00CD32E2">
      <w:pPr>
        <w:pStyle w:val="Rubrik2"/>
        <w:spacing w:before="123"/>
      </w:pPr>
      <w:bookmarkStart w:id="24" w:name="_Toc448648573"/>
      <w:r>
        <w:t>Allmän bakgrund</w:t>
      </w:r>
      <w:bookmarkEnd w:id="24"/>
    </w:p>
    <w:p w:rsidR="00CD32E2" w:rsidRDefault="00CD32E2">
      <w:r>
        <w:t>För skadeståndsansvar i allmänhet gäller i svensk rätt den s.k. culparegeln. Denna regel, som återfinns i 2 kap. 1 § skadeståndslagen (1972:207), innebär att den som uppsåtligen eller av vårdslöshet vållar person- eller sakskada skall ersätta skadan. Regeln gäller i och för sig också i fråga om skador som uppkommer vid trafik med motorfordon. På detta område har emellertid de skadelidande ett förstärkt skydd genom trafikskadelagen (1975:1410), som innehåller bestämmelser om trafikförsäkring och om ersättni</w:t>
      </w:r>
      <w:r>
        <w:t>ng vid trafiksk</w:t>
      </w:r>
      <w:r>
        <w:t>a</w:t>
      </w:r>
      <w:r>
        <w:t>da.</w:t>
      </w:r>
    </w:p>
    <w:p w:rsidR="00CD32E2" w:rsidRDefault="00CD32E2">
      <w:pPr>
        <w:pStyle w:val="Normaltindrag"/>
      </w:pPr>
      <w:r>
        <w:t>Genom trafikskadelagen åläggs varje motorfordonsägare att ha trafikfö</w:t>
      </w:r>
      <w:r>
        <w:t>r</w:t>
      </w:r>
      <w:r>
        <w:t>säkring för sitt fordon. Trafikförsäkring skall sålunda finnas för motordrivna fordon som är registrerade i bilregistret och som inte är avställda samt för andra motordrivna fordon som brukas i trafik här i landet. Om trafikförsä</w:t>
      </w:r>
      <w:r>
        <w:t>k</w:t>
      </w:r>
      <w:r>
        <w:t xml:space="preserve">ring saknas för fordonet, har Trafikförsäkringsföreningen rätt till gottgörelse av den försäkringspliktige i form av en </w:t>
      </w:r>
      <w:r>
        <w:rPr>
          <w:i/>
        </w:rPr>
        <w:t>trafikförsäkringsavgift</w:t>
      </w:r>
      <w:r>
        <w:t>. Trafikförsä</w:t>
      </w:r>
      <w:r>
        <w:t>k</w:t>
      </w:r>
      <w:r>
        <w:t>ringsföreningen är en förening där alla försäkringsgivare som meddelar trafikförsä</w:t>
      </w:r>
      <w:r>
        <w:t>k</w:t>
      </w:r>
      <w:r>
        <w:t xml:space="preserve">ring är medlemmar. </w:t>
      </w:r>
    </w:p>
    <w:p w:rsidR="00CD32E2" w:rsidRDefault="00CD32E2">
      <w:pPr>
        <w:pStyle w:val="Normaltindrag"/>
      </w:pPr>
      <w:r>
        <w:t>Rätten att ta ut traf</w:t>
      </w:r>
      <w:r>
        <w:t>ikförsäkringsavgift framgår av 31 § trafikskadelagen, som också innehåller föreskrifter om hur avgifterna skall beräknas. Av l</w:t>
      </w:r>
      <w:r>
        <w:t>a</w:t>
      </w:r>
      <w:r>
        <w:t>g-rummet framgår att avgifterna skall bestämmas på grundval av de årspremier för trafikförsäkring som har tillämpats här i landet under den tid trafikförsä</w:t>
      </w:r>
      <w:r>
        <w:t>k</w:t>
      </w:r>
      <w:r>
        <w:t>ring har saknats. Avgiften får med tio procent överstiga högsta försäkrin</w:t>
      </w:r>
      <w:r>
        <w:t>g</w:t>
      </w:r>
      <w:r>
        <w:t>s-premie för fordon av samma beskaffenhet och med samma användningssätt och geografiska anknytning som det oförsäkrade fordonet, och beräkningen grundar si</w:t>
      </w:r>
      <w:r>
        <w:t>g därvid på en särskild riskklassindelning av fordonen. Trafikfö</w:t>
      </w:r>
      <w:r>
        <w:t>r</w:t>
      </w:r>
      <w:r>
        <w:t xml:space="preserve">säkringsavgift får dock alltid tas ut med ett belopp om 50 kronor. </w:t>
      </w:r>
    </w:p>
    <w:p w:rsidR="00CD32E2" w:rsidRDefault="00CD32E2">
      <w:pPr>
        <w:pStyle w:val="Normaltindrag"/>
      </w:pPr>
      <w:r>
        <w:t>Vid genomförandet av EG:s tredje skadeförsäkrings- respektive livförsä</w:t>
      </w:r>
      <w:r>
        <w:t>k</w:t>
      </w:r>
      <w:r>
        <w:t>ringsdirektiv gjordes vissa ändringar i bl.a. trafikskadelagen, som trädde i kraft den 1 juli 1995 (prop. 1994/95:184, bet. NU24). I samband därmed upphävde regeringen bestämmelserna i trafikförsäkringsförordningen (1976:359) om riskklassindelning. Trafikförsäkringsavgiften kan således efter den 1 juli 1995 inte längre bestämmas på grundval av föreskrifter om riskklassinde</w:t>
      </w:r>
      <w:r>
        <w:t>l</w:t>
      </w:r>
      <w:r>
        <w:t>ning.</w:t>
      </w:r>
    </w:p>
    <w:p w:rsidR="00CD32E2" w:rsidRDefault="00CD32E2">
      <w:pPr>
        <w:pStyle w:val="Normaltindrag"/>
      </w:pPr>
      <w:r>
        <w:t>Ersättning betalas ur trafikförsäkringen, så snart någon i fordonet skadas. Både förare och passagerare har rätt till ersättning.</w:t>
      </w:r>
      <w:r>
        <w:t xml:space="preserve"> Dessutom utgår ersättning ur trafikförsäkringen till andra, t.ex. cyklister och fotgängare, som skadas i följd av trafik med fordonet. Full ersättning utgår för alla personskador, oberoende av om någon har skuld till olyckan eller inte. I princip är det också utan betydelse om den skadelidande själv har medverkat till skadan. Har den skadelidande medverkat till skadan uppsåtligen eller av grov vårdslöshet, kan ersättningen emellertid </w:t>
      </w:r>
      <w:r>
        <w:rPr>
          <w:i/>
        </w:rPr>
        <w:t>jämkas</w:t>
      </w:r>
      <w:r>
        <w:t>. Ersättning till förare som har gjort sig sky</w:t>
      </w:r>
      <w:r>
        <w:t>l</w:t>
      </w:r>
      <w:r>
        <w:t>dig till trafikonykt</w:t>
      </w:r>
      <w:r>
        <w:t>erhetsbrott kan även jämkas, om föraren därvid genom vårdslöshet har medverkat till skadan (12 §). Ersättning till förare och pass</w:t>
      </w:r>
      <w:r>
        <w:t>a</w:t>
      </w:r>
      <w:r>
        <w:t>gerare betalas ur det egna fordonets trafikförsäkring, även om skadorna skulle ha uppkommit vid en kollision med ett annat fordon. Om skadorna har orsakats genom vållande i samband med förandet av ett annat fordon, kan det försäkringsbolag som har betalat ut ersättningen kräva den tillbaka från fö</w:t>
      </w:r>
      <w:r>
        <w:t>r</w:t>
      </w:r>
      <w:r>
        <w:t>säkringen för det andra fordonet. I sista hand kommer alltså ersättningen att bela</w:t>
      </w:r>
      <w:r>
        <w:t xml:space="preserve">sta försäkringen för det fordon som har förts oaktsamt. </w:t>
      </w:r>
    </w:p>
    <w:p w:rsidR="00CD32E2" w:rsidRDefault="00CD32E2">
      <w:pPr>
        <w:pStyle w:val="Normaltindrag"/>
      </w:pPr>
      <w:r>
        <w:t>Om ett motorfordon eller egendom som befordras med ett sådant fordon skadas vid en singelolycka, utgår ingen ersättning från fordonets egen trafi</w:t>
      </w:r>
      <w:r>
        <w:t>k</w:t>
      </w:r>
      <w:r>
        <w:t>försäkring. Har skadorna däremot vållats genom ett annat fordon i samband med kollision, ersätts skadorna från det andra fordonets trafikförsäkring. Dessa regler innebär att den som vill ha full täckning för vagnskador får teckna en frivillig försäkring. Uppstår skador på egendom som tillhör uto</w:t>
      </w:r>
      <w:r>
        <w:t>m</w:t>
      </w:r>
      <w:r>
        <w:t>stående och som inte befordras med motorfordon utgår ersättning från fö</w:t>
      </w:r>
      <w:r>
        <w:t>r</w:t>
      </w:r>
      <w:r>
        <w:t>säkringen för det fordon varigenom skadorna orsakats. Ersättning utgår oa</w:t>
      </w:r>
      <w:r>
        <w:t>v</w:t>
      </w:r>
      <w:r>
        <w:t>sett om fordonet har förts oaktsamt eller inte.</w:t>
      </w:r>
    </w:p>
    <w:p w:rsidR="00CD32E2" w:rsidRDefault="00CD32E2">
      <w:pPr>
        <w:pStyle w:val="Normaltindrag"/>
      </w:pPr>
      <w:r>
        <w:t>Enligt 18 § trafiksk</w:t>
      </w:r>
      <w:r>
        <w:t xml:space="preserve">adelagen får den som har drabbats av skada i följd av trafik med motordrivet fordon kräva skadestånd enligt vad som gäller därom. Trafikförsäkringens objektiva ansvar för person- och sakskada som tillfogas utomstående när fordonet är i trafik har emellertid lett till att jämkning har ansetts kunna ske av ägares, brukares och förares krav på skadestånd från en utomstående för sakskada oavsett vållande på deras sida. Skadestånd med anledning av skada på motorfordon eller därmed befordrad egendom skall därför </w:t>
      </w:r>
      <w:r>
        <w:t>jämkas efter vad som är skäligt med hänsyn till omständigheterna. I trafikskadelagen finns en särskild regel som är utformad i enlighet härmed (18 § andra stycket). För dessa skadefall ersätter regeln i 18 § andra stycket jämkningbestämmelsen i 6 kap. 1 § skadeståndslagen, som anger att skad</w:t>
      </w:r>
      <w:r>
        <w:t>e</w:t>
      </w:r>
      <w:r>
        <w:t>stånd med anledning av bl.a. sakskada kan jämkas, om vållande på den sk</w:t>
      </w:r>
      <w:r>
        <w:t>a</w:t>
      </w:r>
      <w:r>
        <w:t>delidandes sida har medverkat till skadan, och att jämkning skall ske efter vad som är skäligt med hänsyn till graden av vållande på ömse sidor och</w:t>
      </w:r>
      <w:r>
        <w:t xml:space="preserve"> omständigheterna i övrigt. Bestämmelsen i 18 § andra stycket har betydelse främst i de fall när någon som inte är motorfordonstrafikant har vållat sk</w:t>
      </w:r>
      <w:r>
        <w:t>a</w:t>
      </w:r>
      <w:r>
        <w:t>dan.</w:t>
      </w:r>
    </w:p>
    <w:p w:rsidR="00CD32E2" w:rsidRDefault="00CD32E2">
      <w:pPr>
        <w:pStyle w:val="Normaltindrag"/>
      </w:pPr>
      <w:r>
        <w:t>För skada som har förorsakats av ett oförsäkrat eller okänt fordon ansvarar samtliga försäkringsanstalter som vid skadetillfället hade tillstånd att me</w:t>
      </w:r>
      <w:r>
        <w:t>d</w:t>
      </w:r>
      <w:r>
        <w:t>dela trafikförsäkring solidariskt för den trafikskadeersättning som skulle ha utgått från trafikförsäkringen om försäkring hade funnits. Försäkringsansta</w:t>
      </w:r>
      <w:r>
        <w:t>l</w:t>
      </w:r>
      <w:r>
        <w:t>terna företräds härvid av Trafikförsäkringsför</w:t>
      </w:r>
      <w:r>
        <w:t>e</w:t>
      </w:r>
      <w:r>
        <w:t>ningen.</w:t>
      </w:r>
    </w:p>
    <w:p w:rsidR="00CD32E2" w:rsidRDefault="00CD32E2">
      <w:pPr>
        <w:pStyle w:val="Normaltindrag"/>
      </w:pPr>
      <w:r>
        <w:t xml:space="preserve">Rätt till ersättning enligt trafikskadelagen </w:t>
      </w:r>
      <w:r>
        <w:rPr>
          <w:i/>
        </w:rPr>
        <w:t>preskriberas</w:t>
      </w:r>
      <w:r>
        <w:t xml:space="preserve"> enligt bestämme</w:t>
      </w:r>
      <w:r>
        <w:t>l</w:t>
      </w:r>
      <w:r>
        <w:t>serna i 28 §. Den som vill bevaka sin rätt skall väcka talan inom tre år från det att han eller hon fick kännedom om att fordringen kunde göras gällande och i varje fall inom tio år från det att fordringen tidigast hade kunnat göras gällande. Om talan inte väcks inom dessa tider, är ersättningsrätten förlorad.</w:t>
      </w:r>
    </w:p>
    <w:p w:rsidR="00CD32E2" w:rsidRDefault="00CD32E2">
      <w:r>
        <w:t>Utskottet kommer nedan – efter en redovisning av propositionens förslag i huvuddrag – att under skilda rubriker ta upp de frågor som har aktualiserats i  motionerna.</w:t>
      </w:r>
    </w:p>
    <w:p w:rsidR="00CD32E2" w:rsidRDefault="00CD32E2">
      <w:pPr>
        <w:pStyle w:val="Rubrik2"/>
      </w:pPr>
      <w:bookmarkStart w:id="25" w:name="_Toc448648574"/>
      <w:r>
        <w:t>Propositionens förslag i huvuddrag</w:t>
      </w:r>
      <w:bookmarkEnd w:id="25"/>
    </w:p>
    <w:p w:rsidR="00CD32E2" w:rsidRDefault="00CD32E2">
      <w:r>
        <w:t>Propositionen innehåller förslag till ändringar i trafikskadelagens bestämme</w:t>
      </w:r>
      <w:r>
        <w:t>l</w:t>
      </w:r>
      <w:r>
        <w:t>ser om trafikförsäkringsavgifter, preskription samt jämkning av skadestånd med anledning av skada på motordrivet fordon i trafik och på egendom som transporterats med fordonet. Förslagen grundar sig på en inom Justitiedepa</w:t>
      </w:r>
      <w:r>
        <w:t>r</w:t>
      </w:r>
      <w:r>
        <w:t>tementet utarbetad promemoria (Ds 1996:25) Jämkning av skadestånd enligt trafikskadelagen, trafikförsäkringsavgifter m.m. Promemorian har remissb</w:t>
      </w:r>
      <w:r>
        <w:t>e</w:t>
      </w:r>
      <w:r>
        <w:t>handlats.</w:t>
      </w:r>
    </w:p>
    <w:p w:rsidR="00CD32E2" w:rsidRDefault="00CD32E2">
      <w:pPr>
        <w:pStyle w:val="Normaltindrag"/>
      </w:pPr>
      <w:r>
        <w:t>Beträffande trafikförsäkringsavgifterna föreslås att trafikskadelagens b</w:t>
      </w:r>
      <w:r>
        <w:t>e</w:t>
      </w:r>
      <w:r>
        <w:t>stämmelser skall anpassas till de tidigare gjorda ändringarna i trafikförsä</w:t>
      </w:r>
      <w:r>
        <w:t>k</w:t>
      </w:r>
      <w:r>
        <w:t>ringsförordningen i fråga om riskklassindelning m.m. Avgiften får enligt förslaget med tio procent överstiga högsta försäkringspremie för fordon av samma fordonsslag och med samma användningssätt som det oförsäkrade fordonet. Vidare föreslås att den lägsta trafikförsäkringsavgift som Trafikfö</w:t>
      </w:r>
      <w:r>
        <w:t>r</w:t>
      </w:r>
      <w:r>
        <w:t>säkringsföreningen alltid har rätt att ta ut skall höjas från 50 till 200 kr</w:t>
      </w:r>
      <w:r>
        <w:t>o</w:t>
      </w:r>
      <w:r>
        <w:t>nor.</w:t>
      </w:r>
    </w:p>
    <w:p w:rsidR="00CD32E2" w:rsidRDefault="00CD32E2">
      <w:pPr>
        <w:pStyle w:val="Normaltindrag"/>
      </w:pPr>
      <w:r>
        <w:t>Därutöver föreslås att trafikskadelagens preskriptionsbestä</w:t>
      </w:r>
      <w:r>
        <w:t>mmelse anpa</w:t>
      </w:r>
      <w:r>
        <w:t>s</w:t>
      </w:r>
      <w:r>
        <w:t>sas till vad som gäller för preskription enligt konsumentförsäkringslagen (1980:38). Förslaget innebär att den som vill kräva försäkringsersättning, utöver de frister som finns i dag, alltid skall ha sex månader på sig att väcka talan efter det att försäkringsgivaren förklarat att slutlig ställning har tagits i ersättning</w:t>
      </w:r>
      <w:r>
        <w:t>s</w:t>
      </w:r>
      <w:r>
        <w:t>frågan.</w:t>
      </w:r>
    </w:p>
    <w:p w:rsidR="00CD32E2" w:rsidRDefault="00CD32E2">
      <w:pPr>
        <w:pStyle w:val="Normaltindrag"/>
      </w:pPr>
      <w:r>
        <w:t>Slutligen föreslås i propositionen en ändring av bestämmelsen i 18 § andra stycket trafikskadelagen om jämkning av skadestånd, som innebär att det inte längre skall var</w:t>
      </w:r>
      <w:r>
        <w:t>a en huvudregel att skadeståndet skall jämkas när motorfo</w:t>
      </w:r>
      <w:r>
        <w:t>r</w:t>
      </w:r>
      <w:r>
        <w:t>don i trafik eller egendom som transporteras med ett sådant fordon skadas. Enligt förslaget skall skadeståndet i stället kunna jämkas efter vad som är skäligt med hänsyn till den medverkan som har förekommit på ömse sidor, de särskilda risker för skador som motorfordonstrafiken har inneburit och omständigheterna i ö</w:t>
      </w:r>
      <w:r>
        <w:t>v</w:t>
      </w:r>
      <w:r>
        <w:t>rigt.</w:t>
      </w:r>
    </w:p>
    <w:p w:rsidR="00CD32E2" w:rsidRDefault="00CD32E2">
      <w:pPr>
        <w:pStyle w:val="Normaltindrag"/>
      </w:pPr>
      <w:r>
        <w:t>Lagändringarna föreslås träda i kraft den 1 juli 1999.</w:t>
      </w:r>
    </w:p>
    <w:p w:rsidR="00CD32E2" w:rsidRDefault="00CD32E2">
      <w:pPr>
        <w:pStyle w:val="Rubrik2"/>
      </w:pPr>
      <w:bookmarkStart w:id="26" w:name="_Toc448648575"/>
      <w:r>
        <w:t>Jämkning vid skada på motorfordon, m.m.</w:t>
      </w:r>
      <w:bookmarkEnd w:id="26"/>
    </w:p>
    <w:p w:rsidR="00CD32E2" w:rsidRDefault="00CD32E2">
      <w:r>
        <w:t>Av 18 § trafikskadelagen framgår att den som har drabbats av skada i följd av trafik med motordrivet fordon, utan hinder av att trafikskadeersättning kan utgå, i stället får kräva skadestånd enligt vad som gäller därom. Regeln gäller även för skador på motorfordon och på egendom som har transporterats i ett sådant fordon. För sådana skador finns emellertid en särskild regel. I 18 § andra stycket föreskrivs, som nämnts inledningsvis, att skadestånd med anledning av skada på motordrivet fordon i trafik eller</w:t>
      </w:r>
      <w:r>
        <w:t xml:space="preserve"> egendom som befor</w:t>
      </w:r>
      <w:r>
        <w:t>d</w:t>
      </w:r>
      <w:r>
        <w:t>ras med fordonet kan jämkas efter vad som är skäligt med hänsyn till o</w:t>
      </w:r>
      <w:r>
        <w:t>m</w:t>
      </w:r>
      <w:r>
        <w:t xml:space="preserve">ständigheterna. </w:t>
      </w:r>
    </w:p>
    <w:p w:rsidR="00CD32E2" w:rsidRDefault="00CD32E2">
      <w:pPr>
        <w:pStyle w:val="Normaltindrag"/>
      </w:pPr>
      <w:r>
        <w:t>Bestämmelsen i 18 § andra stycket har sin grund i trafikförsäkringens o</w:t>
      </w:r>
      <w:r>
        <w:t>b</w:t>
      </w:r>
      <w:r>
        <w:t>jektiva ansvar för person- och sakskador som tillfogas utomstående när fo</w:t>
      </w:r>
      <w:r>
        <w:t>r</w:t>
      </w:r>
      <w:r>
        <w:t>donet är i trafik. Regeln bygger på ett antagande om existensen av en allmän princip i svensk rätt om att den som utövar en riskfylld verksamhet och som av denna anledning bär ett objektivt ersättningsansvar gentemot utomstående redan på denna grund får finna sig i jämkning av egna skadeståndskrav mot utomstående. Mot bakgrund härav har det ansetts följdriktigt att jämkning skall kunna ske av ägares, brukares och förares krav på ersä</w:t>
      </w:r>
      <w:r>
        <w:t>ttning av en utomstående för sakskada oavsett vållande från deras sida eller bristfällighet hos fordonet (se prop. 1975/76:15 s. 84). I praxis har jämkningsbestämme</w:t>
      </w:r>
      <w:r>
        <w:t>l</w:t>
      </w:r>
      <w:r>
        <w:t>sen kommit att innebära att, när en utomstående ensam har vållat en skada på ett motorfordon, skadeståndet som regel jämkats till hälften men att undantag härifrån gjorts när det föreligger särskilda omständigheter, såsom att vålla</w:t>
      </w:r>
      <w:r>
        <w:t>n</w:t>
      </w:r>
      <w:r>
        <w:t>det antingen varit ringa eller mera allvarligt (se rättsfallen NJA 1985 s. 309, NJA 1987 s. 749 och NJA 1990 s. 569</w:t>
      </w:r>
      <w:r>
        <w:t>).</w:t>
      </w:r>
    </w:p>
    <w:p w:rsidR="00CD32E2" w:rsidRDefault="00CD32E2">
      <w:pPr>
        <w:pStyle w:val="Normaltindrag"/>
      </w:pPr>
      <w:r>
        <w:t>Våren 1992 föreslog regeringen i proposition 1992/93:8 om den svenska trafikskadelagens anpassning till EG:s regelverk m.m. en ändring i 18 § andra stycket trafikskadelagen. I propositionen påpekades att det var allmänt omvittnat att motorfordonsägare vars fordon skadas har svårt att förstå och acceptera att deras rätt till skadestånd skall jämkas när de inte själva på något sätt varit oaktsamma. I den situationen att en utomstående vållar en skada på ett motordrivet fordon och vederbörande har en ansvar</w:t>
      </w:r>
      <w:r>
        <w:t>sförsäkring torde det, enligt vad föredragande statsrådet anförde, vara svårt att finna några skäl som talar emot att skadan, om fordonsägaren, brukaren eller föraren inte själv har varit på något sätt oaktsam, ersätts fullt ut. Mot denna bakgrund lades i den då aktuella propositionen fram ett lagförslag med innebörden att frågan om jämkning skulle vara beroende av försäkringsförhållandena. I den mån en föreliggande ansvarsförsäkring ger utrymme att betala fullt skad</w:t>
      </w:r>
      <w:r>
        <w:t>e</w:t>
      </w:r>
      <w:r>
        <w:t>stånd till en bilägare som inte på något</w:t>
      </w:r>
      <w:r>
        <w:t xml:space="preserve"> sätt har varit medvållande till en sammanstötning med exempelvis en cyklist borde sålunda, enligt det då föreliggande försl</w:t>
      </w:r>
      <w:r>
        <w:t>a</w:t>
      </w:r>
      <w:r>
        <w:t xml:space="preserve">get, ojämkat skadestånd kunna tillerkännas bilisten. </w:t>
      </w:r>
    </w:p>
    <w:p w:rsidR="00CD32E2" w:rsidRDefault="00CD32E2">
      <w:pPr>
        <w:pStyle w:val="Normaltindrag"/>
      </w:pPr>
      <w:r>
        <w:t>Vid sin behandling våren 1993 av proposition 1992/93:8 uttalade utskottet förståelse för de motiv som låg bakom förslaget, nämligen att undanröja den känsla av obillighet som många bilägare upplever med den nuvarande or</w:t>
      </w:r>
      <w:r>
        <w:t>d</w:t>
      </w:r>
      <w:r>
        <w:t>ningen. Det var enligt utskottet naturligt att den bilist som uppträtt oklande</w:t>
      </w:r>
      <w:r>
        <w:t>r</w:t>
      </w:r>
      <w:r>
        <w:t>ligt men till följd av t.ex. en cyklists eller väghållares vårdslöshet fått sin bil skadad har svårt att acceptera att endast få en del av sin skada ersatt. Utsko</w:t>
      </w:r>
      <w:r>
        <w:t>t</w:t>
      </w:r>
      <w:r>
        <w:t>tet ansåg emellertid att propositionens förslag, som det var utformat, skulle kunna leda till nya situationer som på motsvarande sätt skulle upplevas som orättvisa bland skadelidande bilister. En bilägare som råkar ut för oförsäkr</w:t>
      </w:r>
      <w:r>
        <w:t>a</w:t>
      </w:r>
      <w:r>
        <w:t>de skadevållare skulle genom den föres</w:t>
      </w:r>
      <w:r>
        <w:t>lagna bestämmelsen komma att up</w:t>
      </w:r>
      <w:r>
        <w:t>p</w:t>
      </w:r>
      <w:r>
        <w:t>fatta sig som missgynnad i förhållande till den som får sin bil skadad av en försäkrad. Förslaget borde således, enligt utskottets mening, inte genomföras utan att mera ingående överväganden kom till stånd. Därvid borde, menade utskottet, prövas om inte en möjlighet att underlåta jämkning även i andra fall än där den skadeståndsskyldige har någon ansvarsförsäkring skulle ku</w:t>
      </w:r>
      <w:r>
        <w:t>n</w:t>
      </w:r>
      <w:r>
        <w:t>na införas. Utskottets sålunda gjorda ställningstagande innebar att utskottet avstyrkte bifall till reg</w:t>
      </w:r>
      <w:r>
        <w:t>eringens lagförslag såvitt avsåg 18 § trafikskadelagen. Riksdagen följde utskottet och gav, i enlighet med utskottets hemställan, regeringen som sin mening till känna vad utskottet anfört (bet. 1992/93: LU35, rskr. 307).</w:t>
      </w:r>
    </w:p>
    <w:p w:rsidR="00CD32E2" w:rsidRDefault="00CD32E2">
      <w:pPr>
        <w:pStyle w:val="Normaltindrag"/>
      </w:pPr>
      <w:r>
        <w:t>Förevarande spörsmål har därefter – mot bakgrund av lagutskottets utt</w:t>
      </w:r>
      <w:r>
        <w:t>a</w:t>
      </w:r>
      <w:r>
        <w:t>lande våren 1993 – varit föremål för förnyade överväganden. I den nu akt</w:t>
      </w:r>
      <w:r>
        <w:t>u</w:t>
      </w:r>
      <w:r>
        <w:t>ella propositionen framhålls att trafikskadelagen bör ändras så att jämkning i fortsättningen sker i mindre omfattning än i dag. Enligt regeringen är det nämligen naturligt att det kan uppfattas som oskäligt att skadeståndet i no</w:t>
      </w:r>
      <w:r>
        <w:t>r</w:t>
      </w:r>
      <w:r>
        <w:t>malfallet jämkas till hälften trots att den skadelidande inte på något sätt varit vållande till skadan. Samtidigt måste enligt propositionen beaktas att moto</w:t>
      </w:r>
      <w:r>
        <w:t>r</w:t>
      </w:r>
      <w:r>
        <w:t xml:space="preserve">fordon för med sig större risker i trafiken än de </w:t>
      </w:r>
      <w:r>
        <w:t>som följer med exempelvis gång- eller cykeltrafik. Detta har att göra med motorfordonens farlighet på grund av bl.a. fart och tyngd men även med deras ekonomiska värden. Det är enligt propositionen rimligt att dessa särskilda risker påverkar skadestånd</w:t>
      </w:r>
      <w:r>
        <w:t>s</w:t>
      </w:r>
      <w:r>
        <w:t>bedömningen, och trafikskadelagen bör således även fortsättningsvis inn</w:t>
      </w:r>
      <w:r>
        <w:t>e</w:t>
      </w:r>
      <w:r>
        <w:t>hålla en särreglering om jämkning av skadestånd med anledning av skador på motorfordon och egendom som tran</w:t>
      </w:r>
      <w:r>
        <w:t>s</w:t>
      </w:r>
      <w:r>
        <w:t>porteras med fordonet.</w:t>
      </w:r>
    </w:p>
    <w:p w:rsidR="00CD32E2" w:rsidRDefault="00CD32E2">
      <w:pPr>
        <w:pStyle w:val="Normaltindrag"/>
      </w:pPr>
      <w:r>
        <w:t>Enligt regeringens mening bör dock finnas utrymme för en</w:t>
      </w:r>
      <w:r>
        <w:t xml:space="preserve"> relativt fri prövning av jämkningsfrågan, och i propositionen framhålls att jämkning bör ske på ett mer nyanserat sätt än i dag. Regeln bör därför, enligt vad som anförs i propositionen, utformas på ett sådant sätt att den närmare ansluter till allmänna principer om jämkning vid medvållande och samtidigt ger möjli</w:t>
      </w:r>
      <w:r>
        <w:t>g</w:t>
      </w:r>
      <w:r>
        <w:t>het att beakta de särskilda riskerna med motorfordon i trafiken. Enligt försl</w:t>
      </w:r>
      <w:r>
        <w:t>a</w:t>
      </w:r>
      <w:r>
        <w:t>get skall det inte längre vara en huvudregel att skadeståndet jämkas när m</w:t>
      </w:r>
      <w:r>
        <w:t>o</w:t>
      </w:r>
      <w:r>
        <w:t>torfordon i trafik eller egendom som trans</w:t>
      </w:r>
      <w:r>
        <w:t>porteras med ett sådant fordon skadas. I stället skall skadeståndet kunna jämkas efter vad som är skäligt med hänsyn till den medverkan som har förekommit på ömse sidor, de särskilda risker för skador som motorfordonstrafiken har inneburit och omständigh</w:t>
      </w:r>
      <w:r>
        <w:t>e</w:t>
      </w:r>
      <w:r>
        <w:t>terna i övrigt. Beträffande hänvisningen till motorfordonstrafikens risker skall utgångspunkten enligt propositionen vara att dessa risker bör påverka skad</w:t>
      </w:r>
      <w:r>
        <w:t>e</w:t>
      </w:r>
      <w:r>
        <w:t xml:space="preserve">ståndet endast om de haft någon betydelse i det enskilda fallet. </w:t>
      </w:r>
    </w:p>
    <w:p w:rsidR="00CD32E2" w:rsidRDefault="00CD32E2">
      <w:pPr>
        <w:pStyle w:val="Normaltindrag"/>
      </w:pPr>
      <w:r>
        <w:t>Anledning till jämkning på grund av</w:t>
      </w:r>
      <w:r>
        <w:t xml:space="preserve"> omständigheterna i övrigt kan enligt propositionen finnas om den inträffade skadan inte står i proportion till gr</w:t>
      </w:r>
      <w:r>
        <w:t>a</w:t>
      </w:r>
      <w:r>
        <w:t>den av vållande. Den omständigheten att den skadelidande har underlåtit att helförsäkra ett dyrbart fordon kan innebära att det finns anledning att jämka skadeståndet. Bland omständigheterna i övrig bör, enligt vad som framhålls i propositionen, särskilt beaktas om den som vållat skadan har en ansvarsfö</w:t>
      </w:r>
      <w:r>
        <w:t>r</w:t>
      </w:r>
      <w:r>
        <w:t>säkring som täcker skadorna. Finns en sådan försäkring, torde skadeståndet till en skadelida</w:t>
      </w:r>
      <w:r>
        <w:t>nde som inte varit medvållande till sin skada som regel inte böra jämkas. Om skadevållaren saknar ansvarsförsäkring bör det ofta också beaktas om den skadelidande har en vagnskadeförsäkring som täcker kostn</w:t>
      </w:r>
      <w:r>
        <w:t>a</w:t>
      </w:r>
      <w:r>
        <w:t>derna för skadan. Har den skadelidande en sådan försäkring är det, enligt regeringens mening, naturligt att denna utnyttjas för att täcka kostnaderna för skadan. I sådana fall finns det därför ofta anledning att jämka skadeståndet, om den skadelidande trots försäkringen väljer att kräva full ersättning a</w:t>
      </w:r>
      <w:r>
        <w:t>v en skad</w:t>
      </w:r>
      <w:r>
        <w:t>e</w:t>
      </w:r>
      <w:r>
        <w:t>vållande som saknar ansvarsförsäkring.</w:t>
      </w:r>
    </w:p>
    <w:p w:rsidR="00CD32E2" w:rsidRDefault="00CD32E2">
      <w:pPr>
        <w:pStyle w:val="Normaltindrag"/>
      </w:pPr>
      <w:r>
        <w:t>Även omständigheter som hänför sig till skadevållarens person förutsätts, enligt vad som anförs i propositionen, kunna medföra att ett skadestånd jämkas. Förutom ungdom och psykiska störningar bör andra individuella omständigheter kunna påverka bedömningen. Det kan t.ex. finnas situationer där man inte kan ställa samma krav på en äldre människa som på en yngre att reagera snabbt för förändringar i trafi</w:t>
      </w:r>
      <w:r>
        <w:t>k</w:t>
      </w:r>
      <w:r>
        <w:t xml:space="preserve">situationen. </w:t>
      </w:r>
    </w:p>
    <w:p w:rsidR="00CD32E2" w:rsidRDefault="00CD32E2">
      <w:pPr>
        <w:pStyle w:val="Normaltindrag"/>
      </w:pPr>
      <w:r>
        <w:t>Den i propositionen föreslagna ändringen av 18 § andra stycket bör enligt regeringen ge utrymme för en fri bedömning av jämkningsfrågan med hä</w:t>
      </w:r>
      <w:r>
        <w:t>n</w:t>
      </w:r>
      <w:r>
        <w:t>syn tagen till omständigheterna i det enskilda fallet.</w:t>
      </w:r>
    </w:p>
    <w:p w:rsidR="00CD32E2" w:rsidRDefault="00CD32E2">
      <w:pPr>
        <w:pStyle w:val="Normaltindrag"/>
      </w:pPr>
      <w:r>
        <w:t>I de två motioner som väckts med anledning av propositionen kritiseras regeringens förslag till utformning av jämkningsbestämmelsen. Tanja Li</w:t>
      </w:r>
      <w:r>
        <w:t>n</w:t>
      </w:r>
      <w:r>
        <w:t>derborg m.fl. (v) yrkar i motion L6 i första hand att bestämmelsen i 18 § andra stycket utformas på ett sådant sätt att jämkning får ske efter vad som är skäligt med hänsyn till förekomsten av ansvarsförsäkring hos den skad</w:t>
      </w:r>
      <w:r>
        <w:t>e</w:t>
      </w:r>
      <w:r>
        <w:t>ståndsskyldige och omständigheterna i övrigt  (yrkande 1). I andra hand vill motionärerna se en bestämmelse utan hänvisning till motorfordonstrafikens risker, varvid jämkning således får ske efter vad som är skäligt med hänsyn till den medverkan som har förekommit på ömse sidor och omst</w:t>
      </w:r>
      <w:r>
        <w:t>ändigheterna i övrigt (yrkande 2).</w:t>
      </w:r>
    </w:p>
    <w:p w:rsidR="00CD32E2" w:rsidRDefault="00CD32E2">
      <w:pPr>
        <w:pStyle w:val="Normaltindrag"/>
      </w:pPr>
      <w:r>
        <w:t>Även Rolf Åbjörnsson m.fl. (kd) anser i motion L7 att bestämmelsen i 18 § andra stycket bör utformas så att jämkning får ske efter vad som är skäligt med hänsyn till den medverkan som har förekommit på ömse sidor och o</w:t>
      </w:r>
      <w:r>
        <w:t>m</w:t>
      </w:r>
      <w:r>
        <w:t>ständigheterna i övrigt. Motionärerna hänvisar till Lagrådets bedömning och anser i likhet härmed att hänvisningen i lagtexten till motorfordonstrafikens risker bör strykas.</w:t>
      </w:r>
    </w:p>
    <w:p w:rsidR="00CD32E2" w:rsidRDefault="00CD32E2">
      <w:pPr>
        <w:pStyle w:val="Normaltindrag"/>
      </w:pPr>
      <w:r>
        <w:t>Inledningsvis vill utskottet uttrycka sin tillfredsställelse över att regeringen nu efterkommit utskottets önskemål och efter fördjupade överväganden återkommit till riksdagen med förslag till ändring av bestämmelsen om jämkning vid skada på motorfordon m.m. Frågan om jämkning i dessa situ</w:t>
      </w:r>
      <w:r>
        <w:t>a</w:t>
      </w:r>
      <w:r>
        <w:t>tioner är, som regeringen också framhåller, komplicerad och det finns v</w:t>
      </w:r>
      <w:r>
        <w:t>ä</w:t>
      </w:r>
      <w:r>
        <w:t>gande argument i olika riktningar. Det övergripande spörsmålet hur trafik-ansvaret skall förhålla sig till det allmänna vållandeansvaret inrymmer redan i sig många inte helt okomplicerade inslag och har varit föremål för debatt i den juridiska litteraturen. En grundläggande fråga är därvid om jämkningsr</w:t>
      </w:r>
      <w:r>
        <w:t>e</w:t>
      </w:r>
      <w:r>
        <w:t>geln bör utgå från någon form av allmän princip för hur jämkning skall ske när den som drabbas av skada själv bär ett skärpt skadestån</w:t>
      </w:r>
      <w:r>
        <w:t>dsansvar. Ett alternativ som framhålls i propositionen är att jämkningsregeln – utan hä</w:t>
      </w:r>
      <w:r>
        <w:t>n</w:t>
      </w:r>
      <w:r>
        <w:t xml:space="preserve">visning till någon viss princip – utformas från utgångspunkten att den skall ge rimliga resultat och i övrigt fungera väl för just de skadesituationer som den skall reglera. </w:t>
      </w:r>
    </w:p>
    <w:p w:rsidR="00CD32E2" w:rsidRDefault="00CD32E2">
      <w:pPr>
        <w:pStyle w:val="Normaltindrag"/>
      </w:pPr>
      <w:r>
        <w:t>Utskottet har därvid samma principiella uppfattning som regeringen, nä</w:t>
      </w:r>
      <w:r>
        <w:t>m</w:t>
      </w:r>
      <w:r>
        <w:t>ligen att det är mindre lämpligt att frågan om jämkning av skadestånd vid olika former av skärpt ansvar för den skadelidande behandlas efter en gen</w:t>
      </w:r>
      <w:r>
        <w:t>e</w:t>
      </w:r>
      <w:r>
        <w:t>rell formel. I stället bör man försöka hitta en lösning som framstår som ri</w:t>
      </w:r>
      <w:r>
        <w:t>m</w:t>
      </w:r>
      <w:r>
        <w:t>lig för just trafikskadorna. Såväl principiella som praktiska synpunkter kan då beaktas liksom önskemålet om en avvägning mellan enkelhet och föru</w:t>
      </w:r>
      <w:r>
        <w:t>t</w:t>
      </w:r>
      <w:r>
        <w:t>sägba</w:t>
      </w:r>
      <w:r>
        <w:t>r</w:t>
      </w:r>
      <w:r>
        <w:t xml:space="preserve">het å ena sidan och rättvisa och flexibilitet å andra sidan. </w:t>
      </w:r>
    </w:p>
    <w:p w:rsidR="00CD32E2" w:rsidRDefault="00CD32E2">
      <w:pPr>
        <w:pStyle w:val="Normaltindrag"/>
      </w:pPr>
      <w:r>
        <w:t>Vad först gäller yrkande 1 i motion L6 konstaterar utskottet att motions</w:t>
      </w:r>
      <w:r>
        <w:t>y</w:t>
      </w:r>
      <w:r>
        <w:t>r</w:t>
      </w:r>
      <w:r>
        <w:t>kandet helt överensstämmer med det lagförslag regeringen lade fram år 1992 och som utskottet då ansåg inte borde genomföras. Vad utskottet uttalade våren 1993 som skäl mot att låta en ansvarsförsäkring hos skadevållaren vara utslagsgivande i jämkningsfrågan äger alltjämt giltighet. Om motionärernas förslag genomförs, kan nämligen nya situationer uppkomma vilka, på mo</w:t>
      </w:r>
      <w:r>
        <w:t>t</w:t>
      </w:r>
      <w:r>
        <w:t>svarande sätt som med nuvarande ordning, skulle kunna upplevas som orät</w:t>
      </w:r>
      <w:r>
        <w:t>t</w:t>
      </w:r>
      <w:r>
        <w:t>visa bland skadelidande bilister. En bilägare som råkar ut för oförs</w:t>
      </w:r>
      <w:r>
        <w:t>äkrade skadevållare skulle således genom den i motionen föreslagna utformningen av jämkningsbestämmelsen kunna komma att uppfatta sig som missgynnad i förhållande till den som får sin bil skadad av en försäkrad. Utskottet anser mot denna bakgrund att jämkningsregeln i 18 § andra stycket måste utformas på ett sätt som möjliggör att jämkning kan ske på ett mer nyanserat sätt än vad motionärernas förslag innebär och är därför inte berett att ställa sig ba</w:t>
      </w:r>
      <w:r>
        <w:t>k</w:t>
      </w:r>
      <w:r>
        <w:t>om yrkande 1 i m</w:t>
      </w:r>
      <w:r>
        <w:t>o</w:t>
      </w:r>
      <w:r>
        <w:t>tion L6.</w:t>
      </w:r>
    </w:p>
    <w:p w:rsidR="00CD32E2" w:rsidRDefault="00CD32E2">
      <w:pPr>
        <w:pStyle w:val="Normaltindrag"/>
      </w:pPr>
      <w:r>
        <w:t>Vad härefter gäller yrkande 2</w:t>
      </w:r>
      <w:r>
        <w:t xml:space="preserve"> i motion L6 och motion L7 vill utskottet p</w:t>
      </w:r>
      <w:r>
        <w:t>e</w:t>
      </w:r>
      <w:r>
        <w:t>ka på att regeringen i lagrådsremissen föreslagit att skadeståndet skulle få ”jämkas efter vad som är skäligt med hänsyn till den medverkan som har förekommit på ömse sidor, de särskilda risker för skador som finns vid trafik med motordrivet fordon och omständigheterna i övrigt”. Lagrådet förordade att uttrycket ”de särskilda risker för skador som finns vid trafik med moto</w:t>
      </w:r>
      <w:r>
        <w:t>r</w:t>
      </w:r>
      <w:r>
        <w:t>drivet fordon” skulle utgå. Lagrådet anförde att ett hänsynstagande till de särskilda skader</w:t>
      </w:r>
      <w:r>
        <w:t>iskerna vid trafiken kan sägas i princip ingå redan i bedö</w:t>
      </w:r>
      <w:r>
        <w:t>m</w:t>
      </w:r>
      <w:r>
        <w:t>ningen av den medverkan som har förekommit och framhöll att formulerin</w:t>
      </w:r>
      <w:r>
        <w:t>g</w:t>
      </w:r>
      <w:r>
        <w:t>en blivit missvisande eftersom uttrycket närmast för tanken till en abstrakt värdering av riskerna i allmänhet för skador till följd av motortrafik. Lagr</w:t>
      </w:r>
      <w:r>
        <w:t>å</w:t>
      </w:r>
      <w:r>
        <w:t>det ifrågasatte också om den avgränsning som gjordes till de särskilda riske</w:t>
      </w:r>
      <w:r>
        <w:t>r</w:t>
      </w:r>
      <w:r>
        <w:t>na vid trafik ”med motordrivet fordon” var möjlig att upprätthålla i prakt</w:t>
      </w:r>
      <w:r>
        <w:t>i</w:t>
      </w:r>
      <w:r>
        <w:t xml:space="preserve">ken. </w:t>
      </w:r>
    </w:p>
    <w:p w:rsidR="00CD32E2" w:rsidRDefault="00CD32E2">
      <w:pPr>
        <w:pStyle w:val="Normaltindrag"/>
      </w:pPr>
      <w:r>
        <w:t>Inför ett ställningstagande till de aktuella motionsyrkandena vill uts</w:t>
      </w:r>
      <w:r>
        <w:t>kottet också erinra om att den föreslagna bestämmelsen i 18 § andra stycket för denna typ av skadefall, på samma sätt som i dag, skall ersätta jämkningsr</w:t>
      </w:r>
      <w:r>
        <w:t>e</w:t>
      </w:r>
      <w:r>
        <w:t>geln i 6 kap. 1 § skadeståndslagen. De särskilda skaderisker som motorfo</w:t>
      </w:r>
      <w:r>
        <w:t>r</w:t>
      </w:r>
      <w:r>
        <w:t>donstrafiken innebär är därvid, enligt utskottets uppfattning, av så stor bet</w:t>
      </w:r>
      <w:r>
        <w:t>y</w:t>
      </w:r>
      <w:r>
        <w:t>delse att det är motiverat att nämna dem uttryckligen i lagtexten som en omständighet att ta hänsyn till vid jämkningsprövningen. Med de förtydl</w:t>
      </w:r>
      <w:r>
        <w:t>i</w:t>
      </w:r>
      <w:r>
        <w:t>ganden som regeringen gjort i propositionen med anledning av L</w:t>
      </w:r>
      <w:r>
        <w:t>agrådets uttalanden – nämligen att avsikten är att jämkningen skall ske med beaktande av den betydelse som motorfordonstrafikens risker har haft i det enskilda fallet – kan utskottet heller inte se att en hänvisning i lagtexten till motorfo</w:t>
      </w:r>
      <w:r>
        <w:t>r</w:t>
      </w:r>
      <w:r>
        <w:t>donstrafikens risker skulle innebära några mer betydande tillämpningssv</w:t>
      </w:r>
      <w:r>
        <w:t>å</w:t>
      </w:r>
      <w:r>
        <w:t>righeter. Enligt utskottets mening synes de avvägningar som gjorts i propos</w:t>
      </w:r>
      <w:r>
        <w:t>i</w:t>
      </w:r>
      <w:r>
        <w:t>tionen leda till en rimlig balans mellan de olika intressen som kan göra sig gällande i förevarande sammanhang. Sålunda gjo</w:t>
      </w:r>
      <w:r>
        <w:t>rda avvägningar kommer också, enligt utskottets mening, på ett lämpligt sätt till uttryck i den föresla</w:t>
      </w:r>
      <w:r>
        <w:t>g</w:t>
      </w:r>
      <w:r>
        <w:t>na lagtexten.</w:t>
      </w:r>
    </w:p>
    <w:p w:rsidR="00CD32E2" w:rsidRDefault="00CD32E2">
      <w:pPr>
        <w:pStyle w:val="Normaltindrag"/>
      </w:pPr>
      <w:r>
        <w:t>Med det anförda tillstyrker utskottet regeringens förslag i nu behandlad del och avstyrker bifall till motionerna L6 yrkande 2 och L7.</w:t>
      </w:r>
    </w:p>
    <w:p w:rsidR="00CD32E2" w:rsidRDefault="00CD32E2">
      <w:r>
        <w:t>Mot propositionens förslag i övrigt har utskottet ingen erinran.</w:t>
      </w:r>
    </w:p>
    <w:p w:rsidR="00CD32E2" w:rsidRDefault="00CD32E2">
      <w:pPr>
        <w:pStyle w:val="Rubrik2"/>
      </w:pPr>
      <w:bookmarkStart w:id="27" w:name="_Toc448648576"/>
      <w:r>
        <w:t>Jämkning av personskadeersättning vid trafikonykterhetsbrott</w:t>
      </w:r>
      <w:bookmarkEnd w:id="27"/>
    </w:p>
    <w:p w:rsidR="00CD32E2" w:rsidRDefault="00CD32E2">
      <w:r>
        <w:t>Trafikskadeersättning som avser personskada kan enligt 12 § trafikskadel</w:t>
      </w:r>
      <w:r>
        <w:t>a</w:t>
      </w:r>
      <w:r>
        <w:t>gen jämkas, om den skadelidande själv uppsåtligen eller genom grov vård</w:t>
      </w:r>
      <w:r>
        <w:t>s</w:t>
      </w:r>
      <w:r>
        <w:t>löshet har medverkat till skadan. Vidare kan jämkning ske om den skadel</w:t>
      </w:r>
      <w:r>
        <w:t>i</w:t>
      </w:r>
      <w:r>
        <w:t>dande har gjort sig skyldig till trafikonykterhetsbrott och samtidigt genom vårdslöshet har medverkat till skadan.</w:t>
      </w:r>
    </w:p>
    <w:p w:rsidR="00CD32E2" w:rsidRDefault="00CD32E2">
      <w:pPr>
        <w:pStyle w:val="Normaltindrag"/>
      </w:pPr>
      <w:r>
        <w:t>I motion L603 av Elver Jonsson (fp) förespråkas minskade möjligheter för den som gjort sig skyldig till trafikonykterhetsbrott att få trafikskadeersät</w:t>
      </w:r>
      <w:r>
        <w:t>t</w:t>
      </w:r>
      <w:r>
        <w:t>ning. Ofta föreligger svårigheter när det gäller att bevisa vårdslöshet, och även när jämkning sker är denna enligt motionären helt otillräcklig. Enligt motionärens mening bör övervägas om den som kör rattfull och skadas öve</w:t>
      </w:r>
      <w:r>
        <w:t>r</w:t>
      </w:r>
      <w:r>
        <w:t>huvudtaget skall ha rätt till ersättning från den obligatoriska trafikförsäkrin</w:t>
      </w:r>
      <w:r>
        <w:t>g</w:t>
      </w:r>
      <w:r>
        <w:t>en. Ett annat alternativ vore att ersättningen jämkades betydligt mer än vad som sker i dag. Motionären begär tillkännagivanden dels om en snar översyn av trafikskadelagens regler (yrkande 1), dels om att e</w:t>
      </w:r>
      <w:r>
        <w:t>rsättning för olyckor och skador som orsakats av rattfylleri bör jämkas så att ”överkompensation” undviks (yrka</w:t>
      </w:r>
      <w:r>
        <w:t>n</w:t>
      </w:r>
      <w:r>
        <w:t>de 2).</w:t>
      </w:r>
    </w:p>
    <w:p w:rsidR="00CD32E2" w:rsidRDefault="00CD32E2">
      <w:pPr>
        <w:pStyle w:val="Normaltindrag"/>
      </w:pPr>
      <w:r>
        <w:t>Utskottet är för sin del ense med motionären om att det är angeläget att se över bestämmelserna på ifrågavarande område. Av flera olika skäl – inte minst vad gäller hänsynen till det allmänna rättsmedvetandet – finns det anledning att ifrågasätta om nuvarande bestämmelser är helt igenom til</w:t>
      </w:r>
      <w:r>
        <w:t>l</w:t>
      </w:r>
      <w:r>
        <w:t xml:space="preserve">fredsställande. </w:t>
      </w:r>
    </w:p>
    <w:p w:rsidR="00CD32E2" w:rsidRDefault="00CD32E2">
      <w:pPr>
        <w:pStyle w:val="Normaltindrag"/>
      </w:pPr>
      <w:r>
        <w:t>Enligt vad utskottet inhämtat har Försäkringsförbundet i en skrivelse till regeringen i april 1998 (Dnr Ju 98/1647) föreslagit att nuvarande lagregler om jämkning av personskadeersättning inom trafikområdet ändras så att jämkning av ersättning till föraren skall kunna ske i alla situationer där för</w:t>
      </w:r>
      <w:r>
        <w:t>a</w:t>
      </w:r>
      <w:r>
        <w:t>ren varit rattfull vid olyckstillfället, och inte bara när det konstaterats att han eller hon samtidigt har varit vårdslös. I praktiken går det ofta inte att styrka vårdslöshet ens när föraren har varit märkbart påverkad. Förbundet anser vidare att jämkningen bör gå längre än vad som sker i dag, så att en rattfull person inte får mer ersättning än den som är hänvisad till den allmänna fö</w:t>
      </w:r>
      <w:r>
        <w:t>r</w:t>
      </w:r>
      <w:r>
        <w:t>säkringens ersät</w:t>
      </w:r>
      <w:r>
        <w:t>t</w:t>
      </w:r>
      <w:r>
        <w:t>ningsregler.</w:t>
      </w:r>
    </w:p>
    <w:p w:rsidR="00CD32E2" w:rsidRDefault="00CD32E2">
      <w:pPr>
        <w:pStyle w:val="Normaltindrag"/>
      </w:pPr>
      <w:r>
        <w:t>Med anledning av Försäkringsförbundets skrivelse är frågan om jämkning av personskadeersät</w:t>
      </w:r>
      <w:r>
        <w:t>tning vid trafikonykterhetsbrott nu föremål för beredning inom Justitiedepartementet. Enligt uppgift kommer en utfrågning rörande det akt</w:t>
      </w:r>
      <w:r>
        <w:t>u</w:t>
      </w:r>
      <w:r>
        <w:t xml:space="preserve">ella spörsmålet att äga rum i juni innevarande år. </w:t>
      </w:r>
    </w:p>
    <w:p w:rsidR="00CD32E2" w:rsidRDefault="00CD32E2">
      <w:pPr>
        <w:pStyle w:val="Normaltindrag"/>
      </w:pPr>
      <w:r>
        <w:t>Mot denna bakgrund anser utskottet att något formellt tillkännagivande från riksdagens sida med anledning av motion L603 inte är behövligt, och utsko</w:t>
      </w:r>
      <w:r>
        <w:t>t</w:t>
      </w:r>
      <w:r>
        <w:t>tet avstyrker därför bifall till motionen.</w:t>
      </w:r>
    </w:p>
    <w:p w:rsidR="00CD32E2" w:rsidRDefault="00CD32E2">
      <w:pPr>
        <w:pStyle w:val="Rubrik2"/>
      </w:pPr>
      <w:bookmarkStart w:id="28" w:name="_Toc448648577"/>
      <w:r>
        <w:t>Hemställan</w:t>
      </w:r>
      <w:bookmarkEnd w:id="28"/>
    </w:p>
    <w:p w:rsidR="00CD32E2" w:rsidRDefault="00CD32E2">
      <w:pPr>
        <w:outlineLvl w:val="0"/>
      </w:pPr>
      <w:r>
        <w:t>Utskottet hemställer</w:t>
      </w:r>
    </w:p>
    <w:p w:rsidR="00CD32E2" w:rsidRDefault="00CD32E2">
      <w:pPr>
        <w:pStyle w:val="hembetr"/>
        <w:outlineLvl w:val="0"/>
      </w:pPr>
      <w:r>
        <w:t xml:space="preserve">1. beträffande </w:t>
      </w:r>
      <w:r>
        <w:rPr>
          <w:i/>
        </w:rPr>
        <w:t>jämkning vid skada på motorfordon m.m.</w:t>
      </w:r>
    </w:p>
    <w:p w:rsidR="00CD32E2" w:rsidRDefault="00CD32E2">
      <w:pPr>
        <w:pStyle w:val="hemtext"/>
      </w:pPr>
      <w:r>
        <w:t>att riksdagen med avslag på motionerna 1998/99:L6 yrkandena 1 och 2 samt 1998/99:L7 antar 18 § i regeringens förslag till lag om ändring i trafikskadelagen (1975:1410),</w:t>
      </w:r>
    </w:p>
    <w:p w:rsidR="00CD32E2" w:rsidRDefault="00CD32E2">
      <w:pPr>
        <w:pStyle w:val="Reseftermom"/>
      </w:pPr>
      <w:r>
        <w:t>res. (m, v, kd)</w:t>
      </w:r>
      <w:bookmarkStart w:id="29" w:name="RESPARTI001"/>
      <w:bookmarkEnd w:id="29"/>
    </w:p>
    <w:p w:rsidR="00CD32E2" w:rsidRDefault="00CD32E2">
      <w:pPr>
        <w:pStyle w:val="hembetr"/>
        <w:outlineLvl w:val="0"/>
      </w:pPr>
      <w:r>
        <w:t xml:space="preserve">2. beträffande </w:t>
      </w:r>
      <w:r>
        <w:rPr>
          <w:i/>
        </w:rPr>
        <w:t>lagförslaget i övrigt</w:t>
      </w:r>
    </w:p>
    <w:p w:rsidR="00CD32E2" w:rsidRDefault="00CD32E2">
      <w:pPr>
        <w:pStyle w:val="hemtext"/>
      </w:pPr>
      <w:r>
        <w:t>att riksdagen antar regeringens förslag till lag om ändring i trafiksk</w:t>
      </w:r>
      <w:r>
        <w:t>a</w:t>
      </w:r>
      <w:r>
        <w:t>delagen (1975:1410) i den mån lagförslaget inte omfattas av vad u</w:t>
      </w:r>
      <w:r>
        <w:t>t</w:t>
      </w:r>
      <w:r>
        <w:t>skottet hemställt ovan,</w:t>
      </w:r>
    </w:p>
    <w:p w:rsidR="00CD32E2" w:rsidRDefault="00CD32E2">
      <w:pPr>
        <w:pStyle w:val="hembetr"/>
        <w:outlineLvl w:val="0"/>
      </w:pPr>
      <w:r>
        <w:t xml:space="preserve">3. beträffande </w:t>
      </w:r>
      <w:r>
        <w:rPr>
          <w:i/>
        </w:rPr>
        <w:t>jämkning vid trafikonykterhetsbrott</w:t>
      </w:r>
    </w:p>
    <w:p w:rsidR="00CD32E2" w:rsidRDefault="00CD32E2">
      <w:pPr>
        <w:pStyle w:val="hemtext"/>
      </w:pPr>
      <w:r>
        <w:t xml:space="preserve">att riksdagen avslår motion 1998/99:L603 yrkandena 1 och 2.     </w:t>
      </w:r>
      <w:bookmarkStart w:id="30" w:name="RESPARTI003"/>
      <w:bookmarkEnd w:id="30"/>
    </w:p>
    <w:p w:rsidR="00CD32E2" w:rsidRDefault="00CD32E2">
      <w:pPr>
        <w:pStyle w:val="hemtext"/>
      </w:pPr>
      <w:bookmarkStart w:id="31" w:name="Nästa_Hpunkt"/>
      <w:bookmarkEnd w:id="31"/>
    </w:p>
    <w:p w:rsidR="00CD32E2" w:rsidRDefault="00CD32E2">
      <w:pPr>
        <w:pStyle w:val="Stockholm"/>
        <w:outlineLvl w:val="0"/>
      </w:pPr>
      <w:r>
        <w:t>Stockholm den 13 april 1999</w:t>
      </w:r>
    </w:p>
    <w:p w:rsidR="00CD32E2" w:rsidRDefault="00CD32E2">
      <w:pPr>
        <w:pStyle w:val="Vgnar"/>
      </w:pPr>
      <w:r>
        <w:t>På lagutskottets vägnar</w:t>
      </w:r>
    </w:p>
    <w:p w:rsidR="00CD32E2" w:rsidRDefault="00CD32E2">
      <w:pPr>
        <w:pStyle w:val="Ordfnamn"/>
      </w:pPr>
      <w:bookmarkStart w:id="32" w:name="Ordförande"/>
      <w:bookmarkEnd w:id="32"/>
      <w:r>
        <w:t xml:space="preserve">Tanja Linderborg </w:t>
      </w:r>
    </w:p>
    <w:p w:rsidR="00CD32E2" w:rsidRDefault="00CD32E2">
      <w:pPr>
        <w:pStyle w:val="Deltagare"/>
      </w:pPr>
      <w:bookmarkStart w:id="33" w:name="Deltagare"/>
      <w:bookmarkEnd w:id="33"/>
      <w:r>
        <w:t>I beslutet har deltagit: Tanja Linderborg (v), Rolf Åbjörnsson (kd), Marianne Carlström (s), Rune Berglund (s), Karin Olsson (s), Henrik S Järrel (m), Nikos Papadopoulos (s), Elizabeth Nyström (m), Marina Pettersson (s), Christina Nenes (s), Tasso Stafilidis (v), Kjell Eldensjö (kd), Berit Adolfsson (m), Anders Berglöv (s), Viviann Gerdin (c), Ulf Nilsson (fp) och Anne-Katrine Dunker (m).</w:t>
      </w:r>
    </w:p>
    <w:p w:rsidR="00CD32E2" w:rsidRDefault="00CD32E2"/>
    <w:p w:rsidR="00CD32E2" w:rsidRDefault="00CD32E2">
      <w:pPr>
        <w:pStyle w:val="Rubrik1"/>
      </w:pPr>
      <w:bookmarkStart w:id="34" w:name="_Toc448648578"/>
      <w:r>
        <w:t>Reservation</w:t>
      </w:r>
      <w:bookmarkEnd w:id="34"/>
    </w:p>
    <w:p w:rsidR="00CD32E2" w:rsidRDefault="00CD32E2">
      <w:pPr>
        <w:pStyle w:val="Rubrik2"/>
        <w:spacing w:before="123"/>
      </w:pPr>
      <w:bookmarkStart w:id="35" w:name="_Toc448648579"/>
      <w:r>
        <w:t>Jämkning vid skada på motorfordon m.m. (mom. 1)</w:t>
      </w:r>
      <w:bookmarkEnd w:id="35"/>
    </w:p>
    <w:p w:rsidR="00CD32E2" w:rsidRDefault="00CD32E2">
      <w:r>
        <w:t xml:space="preserve">Tanja Linderborg (v), Rolf Åbjörnsson (kd), Henrik S Järrel (m), Elizabeth Nyström (m), Tasso Stafilidis (v), Kjell Eldensjö (kd), Berit Adolfsson (m) och Anne-Katrine Dunker (m) anser </w:t>
      </w:r>
    </w:p>
    <w:p w:rsidR="00CD32E2" w:rsidRDefault="00CD32E2">
      <w:r>
        <w:rPr>
          <w:i/>
        </w:rPr>
        <w:t>dels</w:t>
      </w:r>
      <w:r>
        <w:t xml:space="preserve"> att den del av utskottets yttrande som på s. 8 börjar med ”Inför ett” och på s. 9 slutar med ”och L7” bort ha följande lydelse:</w:t>
      </w:r>
    </w:p>
    <w:p w:rsidR="00CD32E2" w:rsidRDefault="00CD32E2">
      <w:pPr>
        <w:pStyle w:val="Normaltindrag"/>
      </w:pPr>
      <w:r>
        <w:t>Utskottet delar motionärernas uppfattning och anser att Lagrådets framfö</w:t>
      </w:r>
      <w:r>
        <w:t>r</w:t>
      </w:r>
      <w:r>
        <w:t>da synpunkter på lagförslaget inte kan förbigås utan vägande sakskäl. Enligt utskottets mening är de motiv som regeringen anger i propositionen för att i lagtexten behålla hänvisningen till motorfordonstrafikens risker och därmed avvika från Lagrådets bedömning i detta hänseende inte tillräckligt bärkraft</w:t>
      </w:r>
      <w:r>
        <w:t>i</w:t>
      </w:r>
      <w:r>
        <w:t>ga. Som Lagrådet påpekat måste nämligen avsikten – att jämkningen skall ske med beaktande av den betydelse som motorfordonstrafikens risker har haft i det enskilda fallet – anses täckt av hänvisningen i l</w:t>
      </w:r>
      <w:r>
        <w:t>agtexten till den medverkan som har förekommit på ömse sidor och till omständigheterna i övrigt. Hänvisningen till motorfordonstrafikens risker är dessutom, även med den ändrade lydelse av lagtexten som regeringen nu föreslår i propositionen, enligt utskottets mening ägnad att i alltför hög grad leda tankarna till nuv</w:t>
      </w:r>
      <w:r>
        <w:t>a</w:t>
      </w:r>
      <w:r>
        <w:t>rande ordning. Den omständigheten att en särskild jämkningsbestämmelse för de nu aktuella skadefallen har tagits in i trafikskadelagen är, enligt u</w:t>
      </w:r>
      <w:r>
        <w:t>t</w:t>
      </w:r>
      <w:r>
        <w:t>skottets bedömning, tillräcklig för att viss</w:t>
      </w:r>
      <w:r>
        <w:t>a särskilda omständigheter i trafi</w:t>
      </w:r>
      <w:r>
        <w:t>k</w:t>
      </w:r>
      <w:r>
        <w:t>sammanhang, som bör ha betydelse vid jämkningsbedömningen, kommer att beaktas i tillämpnin</w:t>
      </w:r>
      <w:r>
        <w:t>g</w:t>
      </w:r>
      <w:r>
        <w:t xml:space="preserve">en.  </w:t>
      </w:r>
    </w:p>
    <w:p w:rsidR="00CD32E2" w:rsidRDefault="00CD32E2">
      <w:pPr>
        <w:pStyle w:val="Normaltindrag"/>
      </w:pPr>
      <w:r>
        <w:t>Mot den nu angivna bakgrunden anser utskottet att uttrycket ”de särskilda risker för skador som motorfordonstrafiken har inneburit” bör utgå. Detta ger, enligt utskottets uppfattning, bestämmelsen ökad klarhet och underlättar dess tillämpning. Enligt utskottet bör riksdagen således, med bifall till m</w:t>
      </w:r>
      <w:r>
        <w:t>o</w:t>
      </w:r>
      <w:r>
        <w:t>tion L6 yrkande 2 och motion L7, utforma bestämmelsen om jämkning vid skada på motorfordon m.m. i 18 § trafikskadelagen i enlighet med vad u</w:t>
      </w:r>
      <w:r>
        <w:t>t</w:t>
      </w:r>
      <w:r>
        <w:t>skottet nu förordat.</w:t>
      </w:r>
    </w:p>
    <w:p w:rsidR="00CD32E2" w:rsidRDefault="00CD32E2">
      <w:r>
        <w:rPr>
          <w:i/>
        </w:rPr>
        <w:t>dels</w:t>
      </w:r>
      <w:r>
        <w:t xml:space="preserve"> att utskottets hemställan under 1 bort ha följande lydelse:</w:t>
      </w:r>
    </w:p>
    <w:p w:rsidR="00CD32E2" w:rsidRDefault="00CD32E2">
      <w:pPr>
        <w:pStyle w:val="Resklmb"/>
      </w:pPr>
      <w:r>
        <w:t xml:space="preserve">1. beträffande </w:t>
      </w:r>
      <w:r>
        <w:rPr>
          <w:i/>
        </w:rPr>
        <w:t>jämkning vid skada på motorfordon m.m.</w:t>
      </w:r>
    </w:p>
    <w:p w:rsidR="00CD32E2" w:rsidRDefault="00CD32E2">
      <w:pPr>
        <w:pStyle w:val="Resklm"/>
      </w:pPr>
      <w:r>
        <w:t xml:space="preserve">att riksdagen med bifall till motionerna 1998/99:L6 yrkande 2 och 1998/99:L7 samt med avslag på motion 1998/99:L6 yrkande 1 antar 18 § i regeringens förslag till lag om ändring i trafikskadelagen (1975:1410) med den ändringen att paragrafen erhåller i bilaga 2 som </w:t>
      </w:r>
      <w:r>
        <w:rPr>
          <w:i/>
        </w:rPr>
        <w:t>Reservanternas förslag</w:t>
      </w:r>
      <w:r>
        <w:t xml:space="preserve"> betecknade lydelse,</w:t>
      </w:r>
    </w:p>
    <w:p w:rsidR="00CD32E2" w:rsidRDefault="00CD32E2">
      <w:pPr>
        <w:pStyle w:val="Resklm"/>
      </w:pPr>
      <w:bookmarkStart w:id="36" w:name="Nästa_Reservation"/>
      <w:bookmarkEnd w:id="36"/>
    </w:p>
    <w:p w:rsidR="00CD32E2" w:rsidRDefault="00CD32E2"/>
    <w:p w:rsidR="00CD32E2" w:rsidRDefault="00CD32E2">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CD32E2" w:rsidRDefault="00CD32E2">
      <w:pPr>
        <w:pStyle w:val="Rubrik1"/>
        <w:spacing w:before="123"/>
      </w:pPr>
      <w:bookmarkStart w:id="37" w:name="_Toc443727020"/>
      <w:bookmarkStart w:id="38" w:name="_Toc448648580"/>
      <w:r>
        <w:t>Propositionens lagförslag</w:t>
      </w:r>
      <w:bookmarkEnd w:id="38"/>
    </w:p>
    <w:p w:rsidR="00CD32E2" w:rsidRDefault="00CD32E2">
      <w:pPr>
        <w:pStyle w:val="R2"/>
        <w:spacing w:before="123"/>
        <w:outlineLvl w:val="0"/>
      </w:pPr>
      <w:r>
        <w:t>Förslag till lag om ändring i trafikskadelagen (1975:1410)</w:t>
      </w:r>
    </w:p>
    <w:p w:rsidR="00CD32E2" w:rsidRDefault="00CD32E2">
      <w:pPr>
        <w:pStyle w:val="Normaltindrag"/>
      </w:pPr>
    </w:p>
    <w:p w:rsidR="00CD32E2" w:rsidRDefault="00CD32E2">
      <w:pPr>
        <w:pStyle w:val="Normaltindrag"/>
      </w:pPr>
      <w:r>
        <w:t>Härigenom föreskrivs att 18, 28 och 31 §§ trafikskadelagen (1975:1410) skall ha följande lydelse.</w:t>
      </w:r>
    </w:p>
    <w:p w:rsidR="00CD32E2" w:rsidRDefault="00CD32E2">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CD32E2" w:rsidRDefault="00CD32E2">
            <w:pPr>
              <w:pStyle w:val="LagtextRubrik"/>
              <w:rPr>
                <w:i/>
              </w:rPr>
            </w:pPr>
            <w:r>
              <w:rPr>
                <w:i/>
              </w:rPr>
              <w:t>Nuvarande lydelse</w:t>
            </w:r>
          </w:p>
        </w:tc>
        <w:tc>
          <w:tcPr>
            <w:tcW w:w="3062" w:type="dxa"/>
          </w:tcPr>
          <w:p w:rsidR="00CD32E2" w:rsidRDefault="00CD32E2">
            <w:pPr>
              <w:pStyle w:val="LagtextRubrik"/>
              <w:rPr>
                <w:i/>
              </w:rPr>
            </w:pPr>
            <w:r>
              <w:rPr>
                <w:i/>
              </w:rPr>
              <w:t>Föreslagen lydelse</w:t>
            </w:r>
          </w:p>
        </w:tc>
      </w:tr>
      <w:tr w:rsidR="00000000">
        <w:tblPrEx>
          <w:tblCellMar>
            <w:top w:w="0" w:type="dxa"/>
            <w:bottom w:w="0" w:type="dxa"/>
          </w:tblCellMar>
        </w:tblPrEx>
        <w:tc>
          <w:tcPr>
            <w:tcW w:w="6124" w:type="dxa"/>
            <w:gridSpan w:val="2"/>
          </w:tcPr>
          <w:p w:rsidR="00CD32E2" w:rsidRDefault="00CD32E2">
            <w:pPr>
              <w:pStyle w:val="LagtextIndrag"/>
              <w:jc w:val="center"/>
            </w:pPr>
            <w:r>
              <w:t>18 §</w:t>
            </w:r>
          </w:p>
        </w:tc>
      </w:tr>
      <w:tr w:rsidR="00000000">
        <w:tblPrEx>
          <w:tblCellMar>
            <w:top w:w="0" w:type="dxa"/>
            <w:bottom w:w="0" w:type="dxa"/>
          </w:tblCellMar>
        </w:tblPrEx>
        <w:tc>
          <w:tcPr>
            <w:tcW w:w="3062" w:type="dxa"/>
          </w:tcPr>
          <w:p w:rsidR="00CD32E2" w:rsidRDefault="00CD32E2">
            <w:pPr>
              <w:pStyle w:val="LagtextIndrag"/>
            </w:pPr>
            <w:r>
              <w:rPr>
                <w:i/>
              </w:rPr>
              <w:t>Utan hinder av att trafi</w:t>
            </w:r>
            <w:r>
              <w:rPr>
                <w:i/>
              </w:rPr>
              <w:t>k</w:t>
            </w:r>
            <w:r>
              <w:rPr>
                <w:i/>
              </w:rPr>
              <w:t>skade</w:t>
            </w:r>
            <w:r>
              <w:rPr>
                <w:i/>
              </w:rPr>
              <w:softHyphen/>
              <w:t>ersättning kan utgå får den som drabbas av skada i följd av trafik med moto</w:t>
            </w:r>
            <w:r>
              <w:rPr>
                <w:i/>
              </w:rPr>
              <w:t>r</w:t>
            </w:r>
            <w:r>
              <w:rPr>
                <w:i/>
              </w:rPr>
              <w:t>drivet fordon</w:t>
            </w:r>
            <w:r>
              <w:t xml:space="preserve"> i stället krä</w:t>
            </w:r>
            <w:r>
              <w:softHyphen/>
              <w:t xml:space="preserve">va skadestånd enligt vad som gäller </w:t>
            </w:r>
            <w:r>
              <w:rPr>
                <w:i/>
              </w:rPr>
              <w:t>därom</w:t>
            </w:r>
            <w:r>
              <w:t>. Har den skade</w:t>
            </w:r>
            <w:r>
              <w:softHyphen/>
              <w:t>lidandes rätt till trafikskadeer</w:t>
            </w:r>
            <w:r>
              <w:softHyphen/>
              <w:t>sättning helt eller delvis fallit bort på grund av o</w:t>
            </w:r>
            <w:r>
              <w:t>m</w:t>
            </w:r>
            <w:r>
              <w:t xml:space="preserve">ständighet som har inträffat efter skadehändelsen, är han </w:t>
            </w:r>
            <w:r>
              <w:rPr>
                <w:i/>
              </w:rPr>
              <w:t>endast om särskilda skäl före</w:t>
            </w:r>
            <w:r>
              <w:rPr>
                <w:i/>
              </w:rPr>
              <w:softHyphen/>
              <w:t>ligger berättigad till skadestånd i den delen</w:t>
            </w:r>
            <w:r>
              <w:t>.</w:t>
            </w:r>
          </w:p>
        </w:tc>
        <w:tc>
          <w:tcPr>
            <w:tcW w:w="3062" w:type="dxa"/>
          </w:tcPr>
          <w:p w:rsidR="00CD32E2" w:rsidRDefault="00CD32E2">
            <w:pPr>
              <w:pStyle w:val="LagtextIndrag"/>
            </w:pPr>
            <w:r>
              <w:rPr>
                <w:i/>
              </w:rPr>
              <w:t>Den som drabbas av en skada i följd av trafik med ett motor</w:t>
            </w:r>
            <w:r>
              <w:rPr>
                <w:i/>
              </w:rPr>
              <w:softHyphen/>
              <w:t>drivet fordon får, trots att han kan få tr</w:t>
            </w:r>
            <w:r>
              <w:rPr>
                <w:i/>
              </w:rPr>
              <w:t>a</w:t>
            </w:r>
            <w:r>
              <w:rPr>
                <w:i/>
              </w:rPr>
              <w:t>fikskadeersättning</w:t>
            </w:r>
            <w:r>
              <w:t>, i stället kräva skadestånd enligt vad som gäl</w:t>
            </w:r>
            <w:r>
              <w:softHyphen/>
              <w:t xml:space="preserve">ler </w:t>
            </w:r>
            <w:r>
              <w:rPr>
                <w:i/>
              </w:rPr>
              <w:t>om detta</w:t>
            </w:r>
            <w:r>
              <w:t>. Har den skade</w:t>
            </w:r>
            <w:r>
              <w:softHyphen/>
              <w:t>lidan</w:t>
            </w:r>
            <w:r>
              <w:softHyphen/>
              <w:t>des rätt till trafikskade</w:t>
            </w:r>
            <w:r>
              <w:softHyphen/>
              <w:t xml:space="preserve">ersättning helt eller delvis fallit bort på grund av </w:t>
            </w:r>
            <w:r>
              <w:rPr>
                <w:i/>
              </w:rPr>
              <w:t>en</w:t>
            </w:r>
            <w:r>
              <w:t xml:space="preserve"> omständi</w:t>
            </w:r>
            <w:r>
              <w:t>g</w:t>
            </w:r>
            <w:r>
              <w:t>het som har inträffat efter skade</w:t>
            </w:r>
            <w:r>
              <w:softHyphen/>
              <w:t xml:space="preserve">händelsen, är han </w:t>
            </w:r>
            <w:r>
              <w:rPr>
                <w:i/>
              </w:rPr>
              <w:t>berä</w:t>
            </w:r>
            <w:r>
              <w:rPr>
                <w:i/>
              </w:rPr>
              <w:t>t</w:t>
            </w:r>
            <w:r>
              <w:rPr>
                <w:i/>
              </w:rPr>
              <w:t>tigad till ska</w:t>
            </w:r>
            <w:r>
              <w:rPr>
                <w:i/>
              </w:rPr>
              <w:softHyphen/>
              <w:t>destånd i den delen endast om det finns särskilda skäl</w:t>
            </w:r>
            <w:r>
              <w:t>.</w:t>
            </w:r>
          </w:p>
        </w:tc>
      </w:tr>
      <w:tr w:rsidR="00000000">
        <w:tblPrEx>
          <w:tblCellMar>
            <w:top w:w="0" w:type="dxa"/>
            <w:bottom w:w="0" w:type="dxa"/>
          </w:tblCellMar>
        </w:tblPrEx>
        <w:tc>
          <w:tcPr>
            <w:tcW w:w="3062" w:type="dxa"/>
          </w:tcPr>
          <w:p w:rsidR="00CD32E2" w:rsidRDefault="00CD32E2">
            <w:pPr>
              <w:pStyle w:val="LagtextIndrag"/>
              <w:rPr>
                <w:i/>
              </w:rPr>
            </w:pPr>
            <w:r>
              <w:t>Skadestånd med anledning av sk</w:t>
            </w:r>
            <w:r>
              <w:t>a</w:t>
            </w:r>
            <w:r>
              <w:t xml:space="preserve">da på motordrivet fordon i trafik eller på </w:t>
            </w:r>
            <w:r>
              <w:rPr>
                <w:i/>
              </w:rPr>
              <w:t>därmed befordrad</w:t>
            </w:r>
            <w:r>
              <w:t xml:space="preserve"> egendom jämkas efter vad som är skäligt med hänsyn till omständig</w:t>
            </w:r>
            <w:r>
              <w:softHyphen/>
              <w:t>heterna.</w:t>
            </w:r>
          </w:p>
        </w:tc>
        <w:tc>
          <w:tcPr>
            <w:tcW w:w="3062" w:type="dxa"/>
          </w:tcPr>
          <w:p w:rsidR="00CD32E2" w:rsidRDefault="00CD32E2">
            <w:pPr>
              <w:pStyle w:val="LagtextIndrag"/>
              <w:rPr>
                <w:i/>
              </w:rPr>
            </w:pPr>
            <w:r>
              <w:t xml:space="preserve">Skadestånd med anledning av </w:t>
            </w:r>
            <w:r>
              <w:rPr>
                <w:i/>
              </w:rPr>
              <w:t>en</w:t>
            </w:r>
            <w:r>
              <w:t xml:space="preserve"> skada på </w:t>
            </w:r>
            <w:r>
              <w:rPr>
                <w:i/>
              </w:rPr>
              <w:t>ett</w:t>
            </w:r>
            <w:r>
              <w:t xml:space="preserve"> motordrivet fordon i tra</w:t>
            </w:r>
            <w:r>
              <w:softHyphen/>
              <w:t xml:space="preserve">fik eller på egendom </w:t>
            </w:r>
            <w:r>
              <w:rPr>
                <w:i/>
              </w:rPr>
              <w:t>som transport</w:t>
            </w:r>
            <w:r>
              <w:rPr>
                <w:i/>
              </w:rPr>
              <w:t>e</w:t>
            </w:r>
            <w:r>
              <w:rPr>
                <w:i/>
              </w:rPr>
              <w:t>rats med det får</w:t>
            </w:r>
            <w:r>
              <w:t xml:space="preserve"> jämkas efter vad som är skäligt med hänsyn till </w:t>
            </w:r>
            <w:r>
              <w:rPr>
                <w:i/>
              </w:rPr>
              <w:t>den medverkan som har förekommit på ömse sidor, de särskilda risker för skador som motorfordonstrafiken har inneburit och</w:t>
            </w:r>
            <w:r>
              <w:t xml:space="preserve"> omständigheterna </w:t>
            </w:r>
            <w:r>
              <w:rPr>
                <w:i/>
              </w:rPr>
              <w:t>i</w:t>
            </w:r>
            <w:r>
              <w:t xml:space="preserve"> </w:t>
            </w:r>
            <w:r>
              <w:rPr>
                <w:i/>
              </w:rPr>
              <w:t>övrigt</w:t>
            </w:r>
            <w:r>
              <w:t>.</w:t>
            </w:r>
          </w:p>
        </w:tc>
      </w:tr>
      <w:tr w:rsidR="00000000">
        <w:tblPrEx>
          <w:tblCellMar>
            <w:top w:w="0" w:type="dxa"/>
            <w:bottom w:w="0" w:type="dxa"/>
          </w:tblCellMar>
        </w:tblPrEx>
        <w:tc>
          <w:tcPr>
            <w:tcW w:w="6124" w:type="dxa"/>
            <w:gridSpan w:val="2"/>
          </w:tcPr>
          <w:p w:rsidR="00CD32E2" w:rsidRDefault="00CD32E2">
            <w:pPr>
              <w:pStyle w:val="LagtextIndrag"/>
              <w:jc w:val="center"/>
            </w:pPr>
          </w:p>
        </w:tc>
      </w:tr>
      <w:tr w:rsidR="00000000">
        <w:tblPrEx>
          <w:tblCellMar>
            <w:top w:w="0" w:type="dxa"/>
            <w:bottom w:w="0" w:type="dxa"/>
          </w:tblCellMar>
        </w:tblPrEx>
        <w:tc>
          <w:tcPr>
            <w:tcW w:w="6124" w:type="dxa"/>
            <w:gridSpan w:val="2"/>
          </w:tcPr>
          <w:p w:rsidR="00CD32E2" w:rsidRDefault="00CD32E2">
            <w:pPr>
              <w:pStyle w:val="LagtextIndrag"/>
              <w:jc w:val="center"/>
            </w:pPr>
            <w:r>
              <w:t>28 §</w:t>
            </w:r>
          </w:p>
        </w:tc>
      </w:tr>
      <w:tr w:rsidR="00000000">
        <w:tblPrEx>
          <w:tblCellMar>
            <w:top w:w="0" w:type="dxa"/>
            <w:bottom w:w="0" w:type="dxa"/>
          </w:tblCellMar>
        </w:tblPrEx>
        <w:tc>
          <w:tcPr>
            <w:tcW w:w="6124" w:type="dxa"/>
            <w:gridSpan w:val="2"/>
          </w:tcPr>
          <w:p w:rsidR="00CD32E2" w:rsidRDefault="00CD32E2">
            <w:pPr>
              <w:pStyle w:val="LagtextIndrag"/>
            </w:pPr>
            <w:r>
              <w:t>Den som vill bevaka rätt till ersättning enligt denna lag eller fordrings</w:t>
            </w:r>
            <w:r>
              <w:softHyphen/>
              <w:t>rätt i övrigt på grund av avtal om trafikförsäkring skall väcka talan inom tre år från det han fick kännedom om att fordringen kunde göras gällande och i varje fall inom tio år från det fordringen tidigast hade kunnat göras gällande. Fö</w:t>
            </w:r>
            <w:r>
              <w:t>r</w:t>
            </w:r>
            <w:r>
              <w:t>summar han det, är talan förlorad.</w:t>
            </w:r>
          </w:p>
        </w:tc>
      </w:tr>
      <w:tr w:rsidR="00000000">
        <w:tblPrEx>
          <w:tblCellMar>
            <w:top w:w="0" w:type="dxa"/>
            <w:bottom w:w="0" w:type="dxa"/>
          </w:tblCellMar>
        </w:tblPrEx>
        <w:tc>
          <w:tcPr>
            <w:tcW w:w="3062" w:type="dxa"/>
          </w:tcPr>
          <w:p w:rsidR="00CD32E2" w:rsidRDefault="00CD32E2">
            <w:pPr>
              <w:pStyle w:val="LagtextIndrag"/>
            </w:pPr>
          </w:p>
        </w:tc>
        <w:tc>
          <w:tcPr>
            <w:tcW w:w="3062" w:type="dxa"/>
          </w:tcPr>
          <w:p w:rsidR="00CD32E2" w:rsidRDefault="00CD32E2">
            <w:pPr>
              <w:pStyle w:val="LagtextIndrag"/>
            </w:pPr>
            <w:r>
              <w:rPr>
                <w:i/>
              </w:rPr>
              <w:t>Har den som vill kräva  trafik</w:t>
            </w:r>
            <w:r>
              <w:rPr>
                <w:i/>
              </w:rPr>
              <w:softHyphen/>
              <w:t>skadeersättning anmält skadan till försäkringsgivaren inom den tid som anges i första stycket, har han alltid sex månader på sig att väcka talan mot försäkringsgivaren sedan denne har förklarat att slutlig ställning har tagits till ersättningsfr</w:t>
            </w:r>
            <w:r>
              <w:rPr>
                <w:i/>
              </w:rPr>
              <w:t>å</w:t>
            </w:r>
            <w:r>
              <w:rPr>
                <w:i/>
              </w:rPr>
              <w:t>gan.</w:t>
            </w:r>
          </w:p>
        </w:tc>
      </w:tr>
      <w:tr w:rsidR="00000000">
        <w:tblPrEx>
          <w:tblCellMar>
            <w:top w:w="0" w:type="dxa"/>
            <w:bottom w:w="0" w:type="dxa"/>
          </w:tblCellMar>
        </w:tblPrEx>
        <w:tc>
          <w:tcPr>
            <w:tcW w:w="3062" w:type="dxa"/>
          </w:tcPr>
          <w:p w:rsidR="00CD32E2" w:rsidRDefault="00CD32E2">
            <w:pPr>
              <w:pStyle w:val="LagtextIndrag"/>
            </w:pPr>
          </w:p>
        </w:tc>
        <w:tc>
          <w:tcPr>
            <w:tcW w:w="3062" w:type="dxa"/>
          </w:tcPr>
          <w:p w:rsidR="00CD32E2" w:rsidRDefault="00CD32E2">
            <w:pPr>
              <w:pStyle w:val="LagtextIndrag"/>
              <w:rPr>
                <w:i/>
              </w:rPr>
            </w:pPr>
            <w:r>
              <w:rPr>
                <w:i/>
              </w:rPr>
              <w:t>Vad som sägs i andra stycket om försäkringsgivaren skall i fall som avses i 15 § gälla den myndighet som handlägger ersättningsären</w:t>
            </w:r>
            <w:r>
              <w:rPr>
                <w:i/>
              </w:rPr>
              <w:softHyphen/>
              <w:t>det och i fall som avses i 16 § gälla tra</w:t>
            </w:r>
            <w:r>
              <w:rPr>
                <w:i/>
              </w:rPr>
              <w:softHyphen/>
              <w:t>fikförsäkringsföreningen.</w:t>
            </w:r>
          </w:p>
        </w:tc>
      </w:tr>
      <w:tr w:rsidR="00000000">
        <w:tblPrEx>
          <w:tblCellMar>
            <w:top w:w="0" w:type="dxa"/>
            <w:bottom w:w="0" w:type="dxa"/>
          </w:tblCellMar>
        </w:tblPrEx>
        <w:tc>
          <w:tcPr>
            <w:tcW w:w="3062" w:type="dxa"/>
          </w:tcPr>
          <w:p w:rsidR="00CD32E2" w:rsidRDefault="00CD32E2">
            <w:pPr>
              <w:pStyle w:val="LagtextIndrag"/>
            </w:pPr>
          </w:p>
        </w:tc>
        <w:tc>
          <w:tcPr>
            <w:tcW w:w="3062" w:type="dxa"/>
          </w:tcPr>
          <w:p w:rsidR="00CD32E2" w:rsidRDefault="00CD32E2">
            <w:pPr>
              <w:pStyle w:val="LagtextIndrag"/>
              <w:rPr>
                <w:i/>
              </w:rPr>
            </w:pPr>
          </w:p>
        </w:tc>
      </w:tr>
      <w:tr w:rsidR="00000000">
        <w:tblPrEx>
          <w:tblCellMar>
            <w:top w:w="0" w:type="dxa"/>
            <w:bottom w:w="0" w:type="dxa"/>
          </w:tblCellMar>
        </w:tblPrEx>
        <w:tc>
          <w:tcPr>
            <w:tcW w:w="3062" w:type="dxa"/>
          </w:tcPr>
          <w:p w:rsidR="00CD32E2" w:rsidRDefault="00CD32E2">
            <w:pPr>
              <w:pStyle w:val="LagtextIndrag"/>
            </w:pPr>
            <w:r>
              <w:t xml:space="preserve">Förbehåll om kortare tid för </w:t>
            </w:r>
            <w:r>
              <w:rPr>
                <w:i/>
              </w:rPr>
              <w:t>väc</w:t>
            </w:r>
            <w:r>
              <w:rPr>
                <w:i/>
              </w:rPr>
              <w:t>k</w:t>
            </w:r>
            <w:r>
              <w:rPr>
                <w:i/>
              </w:rPr>
              <w:t>ande av</w:t>
            </w:r>
            <w:r>
              <w:t xml:space="preserve"> talan än som anges i </w:t>
            </w:r>
            <w:r>
              <w:rPr>
                <w:i/>
              </w:rPr>
              <w:t>första</w:t>
            </w:r>
            <w:r>
              <w:t xml:space="preserve"> </w:t>
            </w:r>
            <w:r>
              <w:rPr>
                <w:i/>
              </w:rPr>
              <w:t>stycket</w:t>
            </w:r>
            <w:r>
              <w:t xml:space="preserve"> är utan verkan mot den som har a</w:t>
            </w:r>
            <w:r>
              <w:t>n</w:t>
            </w:r>
            <w:r>
              <w:t>språk på trafik</w:t>
            </w:r>
            <w:r>
              <w:softHyphen/>
              <w:t>skadeersättning.</w:t>
            </w:r>
          </w:p>
        </w:tc>
        <w:tc>
          <w:tcPr>
            <w:tcW w:w="3062" w:type="dxa"/>
          </w:tcPr>
          <w:p w:rsidR="00CD32E2" w:rsidRDefault="00CD32E2">
            <w:pPr>
              <w:pStyle w:val="LagtextIndrag"/>
              <w:rPr>
                <w:i/>
              </w:rPr>
            </w:pPr>
            <w:r>
              <w:t xml:space="preserve">Förbehåll om kortare tid för </w:t>
            </w:r>
            <w:r>
              <w:rPr>
                <w:i/>
              </w:rPr>
              <w:t>att väcka</w:t>
            </w:r>
            <w:r>
              <w:t xml:space="preserve"> talan än som anges i </w:t>
            </w:r>
            <w:r>
              <w:rPr>
                <w:i/>
              </w:rPr>
              <w:t>denna paragraf</w:t>
            </w:r>
            <w:r>
              <w:t xml:space="preserve"> är utan verkan mot den som har anspråk på trafikskade</w:t>
            </w:r>
            <w:r>
              <w:softHyphen/>
              <w:t>ersättning.</w:t>
            </w:r>
          </w:p>
        </w:tc>
      </w:tr>
      <w:tr w:rsidR="00000000">
        <w:tblPrEx>
          <w:tblCellMar>
            <w:top w:w="0" w:type="dxa"/>
            <w:bottom w:w="0" w:type="dxa"/>
          </w:tblCellMar>
        </w:tblPrEx>
        <w:tc>
          <w:tcPr>
            <w:tcW w:w="3062" w:type="dxa"/>
          </w:tcPr>
          <w:p w:rsidR="00CD32E2" w:rsidRDefault="00CD32E2">
            <w:pPr>
              <w:pStyle w:val="LagtextIndrag"/>
            </w:pPr>
          </w:p>
        </w:tc>
        <w:tc>
          <w:tcPr>
            <w:tcW w:w="3062" w:type="dxa"/>
          </w:tcPr>
          <w:p w:rsidR="00CD32E2" w:rsidRDefault="00CD32E2">
            <w:pPr>
              <w:pStyle w:val="LagtextIndrag"/>
            </w:pPr>
          </w:p>
        </w:tc>
      </w:tr>
      <w:tr w:rsidR="00000000">
        <w:tblPrEx>
          <w:tblCellMar>
            <w:top w:w="0" w:type="dxa"/>
            <w:bottom w:w="0" w:type="dxa"/>
          </w:tblCellMar>
        </w:tblPrEx>
        <w:tc>
          <w:tcPr>
            <w:tcW w:w="6124" w:type="dxa"/>
            <w:gridSpan w:val="2"/>
          </w:tcPr>
          <w:p w:rsidR="00CD32E2" w:rsidRDefault="00CD32E2">
            <w:pPr>
              <w:pStyle w:val="LagtextIndrag"/>
              <w:jc w:val="center"/>
            </w:pPr>
            <w:r>
              <w:t>31 §</w:t>
            </w:r>
            <w:r>
              <w:rPr>
                <w:rStyle w:val="Fotnotsreferens"/>
              </w:rPr>
              <w:footnoteReference w:id="1"/>
            </w:r>
          </w:p>
        </w:tc>
      </w:tr>
      <w:tr w:rsidR="00000000">
        <w:tblPrEx>
          <w:tblCellMar>
            <w:top w:w="0" w:type="dxa"/>
            <w:bottom w:w="0" w:type="dxa"/>
          </w:tblCellMar>
        </w:tblPrEx>
        <w:tc>
          <w:tcPr>
            <w:tcW w:w="3062" w:type="dxa"/>
          </w:tcPr>
          <w:p w:rsidR="00CD32E2" w:rsidRDefault="00CD32E2">
            <w:pPr>
              <w:pStyle w:val="LagtextIndrag"/>
            </w:pPr>
            <w:r>
              <w:t>Saknas föreskriven trafikför</w:t>
            </w:r>
            <w:r>
              <w:softHyphen/>
              <w:t>säk</w:t>
            </w:r>
            <w:r>
              <w:softHyphen/>
              <w:t xml:space="preserve">ring för motordrivet fordon som är registrerat i bilregistret och </w:t>
            </w:r>
            <w:r>
              <w:rPr>
                <w:i/>
              </w:rPr>
              <w:t>ej</w:t>
            </w:r>
            <w:r>
              <w:t xml:space="preserve"> är avställt, har trafikfö</w:t>
            </w:r>
            <w:r>
              <w:t>r</w:t>
            </w:r>
            <w:r>
              <w:t>säk</w:t>
            </w:r>
            <w:r>
              <w:softHyphen/>
              <w:t>rings</w:t>
            </w:r>
            <w:r>
              <w:softHyphen/>
              <w:t>för</w:t>
            </w:r>
            <w:r>
              <w:softHyphen/>
              <w:t>en</w:t>
            </w:r>
            <w:r>
              <w:softHyphen/>
              <w:t>ingen rätt till gottgörel</w:t>
            </w:r>
            <w:r>
              <w:softHyphen/>
              <w:t>se (trafikfö</w:t>
            </w:r>
            <w:r>
              <w:t>r</w:t>
            </w:r>
            <w:r>
              <w:t>säkringsavgift) av den försäkring</w:t>
            </w:r>
            <w:r>
              <w:t>s</w:t>
            </w:r>
            <w:r>
              <w:t>pliktige för den tid denne har unde</w:t>
            </w:r>
            <w:r>
              <w:t>r</w:t>
            </w:r>
            <w:r>
              <w:t>låtit att fullgöra sin försä</w:t>
            </w:r>
            <w:r>
              <w:t>k</w:t>
            </w:r>
            <w:r>
              <w:t>ringsplikt.</w:t>
            </w:r>
          </w:p>
        </w:tc>
        <w:tc>
          <w:tcPr>
            <w:tcW w:w="3062" w:type="dxa"/>
          </w:tcPr>
          <w:p w:rsidR="00CD32E2" w:rsidRDefault="00CD32E2">
            <w:pPr>
              <w:pStyle w:val="LagtextIndrag"/>
            </w:pPr>
            <w:r>
              <w:t>Saknas föreskriven trafikfö</w:t>
            </w:r>
            <w:r>
              <w:t>r</w:t>
            </w:r>
            <w:r>
              <w:t>säk</w:t>
            </w:r>
            <w:r>
              <w:softHyphen/>
              <w:t xml:space="preserve">ring för </w:t>
            </w:r>
            <w:r>
              <w:rPr>
                <w:i/>
              </w:rPr>
              <w:t>ett</w:t>
            </w:r>
            <w:r>
              <w:t xml:space="preserve"> motordrivet fordon som är registrerat i bilregistret och </w:t>
            </w:r>
            <w:r>
              <w:rPr>
                <w:i/>
              </w:rPr>
              <w:t>inte</w:t>
            </w:r>
            <w:r>
              <w:t xml:space="preserve"> är avställt, har trafikförsäkrings</w:t>
            </w:r>
            <w:r>
              <w:softHyphen/>
            </w:r>
            <w:r>
              <w:softHyphen/>
              <w:t>för</w:t>
            </w:r>
            <w:r>
              <w:softHyphen/>
            </w:r>
            <w:r>
              <w:softHyphen/>
              <w:t>en</w:t>
            </w:r>
            <w:r>
              <w:softHyphen/>
              <w:t>ing</w:t>
            </w:r>
            <w:r>
              <w:softHyphen/>
            </w:r>
            <w:r>
              <w:softHyphen/>
            </w:r>
            <w:r>
              <w:softHyphen/>
              <w:t>en rätt till gottgörel</w:t>
            </w:r>
            <w:r>
              <w:softHyphen/>
              <w:t>se (trafikfö</w:t>
            </w:r>
            <w:r>
              <w:t>r</w:t>
            </w:r>
            <w:r>
              <w:t>säkringsavgift) av den försäkring</w:t>
            </w:r>
            <w:r>
              <w:t>s</w:t>
            </w:r>
            <w:r>
              <w:t>pliktige för den tid denne har unde</w:t>
            </w:r>
            <w:r>
              <w:t>r</w:t>
            </w:r>
            <w:r>
              <w:t>låtit att fullgöra sin försä</w:t>
            </w:r>
            <w:r>
              <w:t>k</w:t>
            </w:r>
            <w:r>
              <w:t>ringsplikt.</w:t>
            </w:r>
          </w:p>
        </w:tc>
      </w:tr>
      <w:tr w:rsidR="00000000">
        <w:tblPrEx>
          <w:tblCellMar>
            <w:top w:w="0" w:type="dxa"/>
            <w:bottom w:w="0" w:type="dxa"/>
          </w:tblCellMar>
        </w:tblPrEx>
        <w:tc>
          <w:tcPr>
            <w:tcW w:w="3062" w:type="dxa"/>
          </w:tcPr>
          <w:p w:rsidR="00CD32E2" w:rsidRDefault="00CD32E2">
            <w:pPr>
              <w:pStyle w:val="LagtextIndrag"/>
            </w:pPr>
            <w:r>
              <w:t xml:space="preserve">Trafikförsäkringsavgift </w:t>
            </w:r>
            <w:r>
              <w:rPr>
                <w:i/>
              </w:rPr>
              <w:t>bestäm</w:t>
            </w:r>
            <w:r>
              <w:rPr>
                <w:i/>
              </w:rPr>
              <w:softHyphen/>
              <w:t>mes</w:t>
            </w:r>
            <w:r>
              <w:t xml:space="preserve"> på grundval av de årspremier för tra</w:t>
            </w:r>
            <w:r>
              <w:softHyphen/>
              <w:t>fikförsäkring som har tillämpats här i landet under den tid trafikförsäkring har saknats. Avgiften får med tio procent överstiga högsta försäkrings</w:t>
            </w:r>
            <w:r>
              <w:softHyphen/>
              <w:t xml:space="preserve">premie för fordon av samma </w:t>
            </w:r>
            <w:r>
              <w:rPr>
                <w:i/>
              </w:rPr>
              <w:t>beska</w:t>
            </w:r>
            <w:r>
              <w:rPr>
                <w:i/>
              </w:rPr>
              <w:t>f</w:t>
            </w:r>
            <w:r>
              <w:rPr>
                <w:i/>
              </w:rPr>
              <w:t>fenhet</w:t>
            </w:r>
            <w:r>
              <w:t xml:space="preserve"> och med samma användning</w:t>
            </w:r>
            <w:r>
              <w:t>s</w:t>
            </w:r>
            <w:r>
              <w:t xml:space="preserve">sätt </w:t>
            </w:r>
            <w:r>
              <w:rPr>
                <w:i/>
              </w:rPr>
              <w:t>och geografiska anknytning</w:t>
            </w:r>
            <w:r>
              <w:t xml:space="preserve"> som det oförsäkrade fordonet. Förhöjning av</w:t>
            </w:r>
            <w:r>
              <w:rPr>
                <w:i/>
              </w:rPr>
              <w:t xml:space="preserve"> premie</w:t>
            </w:r>
            <w:r>
              <w:t xml:space="preserve"> på grund av omständi</w:t>
            </w:r>
            <w:r>
              <w:t>g</w:t>
            </w:r>
            <w:r>
              <w:t xml:space="preserve">heter som ger anledning </w:t>
            </w:r>
            <w:r>
              <w:rPr>
                <w:i/>
              </w:rPr>
              <w:t>till</w:t>
            </w:r>
            <w:r>
              <w:t xml:space="preserve"> </w:t>
            </w:r>
            <w:r>
              <w:rPr>
                <w:i/>
              </w:rPr>
              <w:t>ant</w:t>
            </w:r>
            <w:r>
              <w:rPr>
                <w:i/>
              </w:rPr>
              <w:t>a</w:t>
            </w:r>
            <w:r>
              <w:rPr>
                <w:i/>
              </w:rPr>
              <w:t>gande</w:t>
            </w:r>
            <w:r>
              <w:t xml:space="preserve"> att fordonet med hänsyn till inne</w:t>
            </w:r>
            <w:r>
              <w:softHyphen/>
              <w:t>havarens person utgör särskild risk i trafiken får dock beaktas e</w:t>
            </w:r>
            <w:r>
              <w:t>n</w:t>
            </w:r>
            <w:r>
              <w:t xml:space="preserve">dast om </w:t>
            </w:r>
            <w:r>
              <w:t>sådana omständi</w:t>
            </w:r>
            <w:r>
              <w:t>g</w:t>
            </w:r>
            <w:r>
              <w:t xml:space="preserve">heter </w:t>
            </w:r>
            <w:r>
              <w:rPr>
                <w:i/>
              </w:rPr>
              <w:t>före</w:t>
            </w:r>
            <w:r>
              <w:rPr>
                <w:i/>
              </w:rPr>
              <w:softHyphen/>
              <w:t>ligger</w:t>
            </w:r>
            <w:r>
              <w:t xml:space="preserve"> i det särskilda fallet.</w:t>
            </w:r>
          </w:p>
        </w:tc>
        <w:tc>
          <w:tcPr>
            <w:tcW w:w="3062" w:type="dxa"/>
          </w:tcPr>
          <w:p w:rsidR="00CD32E2" w:rsidRDefault="00CD32E2">
            <w:pPr>
              <w:pStyle w:val="LagtextIndrag"/>
            </w:pPr>
            <w:r>
              <w:t xml:space="preserve">Trafikförsäkringsavgift </w:t>
            </w:r>
            <w:r>
              <w:rPr>
                <w:i/>
              </w:rPr>
              <w:t>bestäms</w:t>
            </w:r>
            <w:r>
              <w:t xml:space="preserve"> på grundval av de årspremier för trafi</w:t>
            </w:r>
            <w:r>
              <w:t>k</w:t>
            </w:r>
            <w:r>
              <w:t>försäkring som har tilläm</w:t>
            </w:r>
            <w:r>
              <w:softHyphen/>
              <w:t>pats här i landet under den tid trafikförsäkring har saknats. Av</w:t>
            </w:r>
            <w:r>
              <w:softHyphen/>
              <w:t>giften får med tio procent över</w:t>
            </w:r>
            <w:r>
              <w:softHyphen/>
              <w:t>stiga högsta försäkrings</w:t>
            </w:r>
            <w:r>
              <w:softHyphen/>
              <w:t xml:space="preserve">premie för fordon av samma </w:t>
            </w:r>
            <w:r>
              <w:rPr>
                <w:i/>
              </w:rPr>
              <w:t>fo</w:t>
            </w:r>
            <w:r>
              <w:rPr>
                <w:i/>
              </w:rPr>
              <w:t>r</w:t>
            </w:r>
            <w:r>
              <w:rPr>
                <w:i/>
              </w:rPr>
              <w:t>donsslag</w:t>
            </w:r>
            <w:r>
              <w:t xml:space="preserve"> och med samma använ</w:t>
            </w:r>
            <w:r>
              <w:t>d</w:t>
            </w:r>
            <w:r>
              <w:t>ningssätt som det oförsäkrade ford</w:t>
            </w:r>
            <w:r>
              <w:t>o</w:t>
            </w:r>
            <w:r>
              <w:t xml:space="preserve">net. </w:t>
            </w:r>
            <w:r>
              <w:rPr>
                <w:i/>
              </w:rPr>
              <w:t>Med fordonsslag avses perso</w:t>
            </w:r>
            <w:r>
              <w:rPr>
                <w:i/>
              </w:rPr>
              <w:t>n</w:t>
            </w:r>
            <w:r>
              <w:rPr>
                <w:i/>
              </w:rPr>
              <w:t>bil, last</w:t>
            </w:r>
            <w:r>
              <w:rPr>
                <w:i/>
              </w:rPr>
              <w:softHyphen/>
              <w:t>bil, buss, motorcykel, traktor, motorredskap, moped och terräng</w:t>
            </w:r>
            <w:r>
              <w:rPr>
                <w:i/>
              </w:rPr>
              <w:softHyphen/>
              <w:t>motorfordon</w:t>
            </w:r>
            <w:r>
              <w:t xml:space="preserve">. Förhöjning av </w:t>
            </w:r>
            <w:r>
              <w:rPr>
                <w:i/>
              </w:rPr>
              <w:t>premien</w:t>
            </w:r>
            <w:r>
              <w:t xml:space="preserve"> på grund av omständigheter som ger anled</w:t>
            </w:r>
            <w:r>
              <w:softHyphen/>
              <w:t xml:space="preserve">ning </w:t>
            </w:r>
            <w:r>
              <w:rPr>
                <w:i/>
              </w:rPr>
              <w:t>att anta</w:t>
            </w:r>
            <w:r>
              <w:t xml:space="preserve"> att fordonet med hänsyn ti</w:t>
            </w:r>
            <w:r>
              <w:t>ll innehavarens person ut</w:t>
            </w:r>
            <w:r>
              <w:softHyphen/>
              <w:t xml:space="preserve">gör </w:t>
            </w:r>
            <w:r>
              <w:rPr>
                <w:i/>
              </w:rPr>
              <w:t>en</w:t>
            </w:r>
            <w:r>
              <w:t xml:space="preserve"> särskild risk i trafiken får dock beaktas endast om </w:t>
            </w:r>
            <w:r>
              <w:rPr>
                <w:i/>
              </w:rPr>
              <w:t>det finns</w:t>
            </w:r>
            <w:r>
              <w:t xml:space="preserve"> så</w:t>
            </w:r>
            <w:r>
              <w:softHyphen/>
              <w:t>dana omständigheter i det sär</w:t>
            </w:r>
            <w:r>
              <w:softHyphen/>
              <w:t>skil</w:t>
            </w:r>
            <w:r>
              <w:softHyphen/>
              <w:t>da fallet.</w:t>
            </w:r>
          </w:p>
        </w:tc>
      </w:tr>
      <w:tr w:rsidR="00000000">
        <w:tblPrEx>
          <w:tblCellMar>
            <w:top w:w="0" w:type="dxa"/>
            <w:bottom w:w="0" w:type="dxa"/>
          </w:tblCellMar>
        </w:tblPrEx>
        <w:tc>
          <w:tcPr>
            <w:tcW w:w="3062" w:type="dxa"/>
          </w:tcPr>
          <w:p w:rsidR="00CD32E2" w:rsidRDefault="00CD32E2">
            <w:pPr>
              <w:pStyle w:val="LagtextIndrag"/>
            </w:pPr>
            <w:r>
              <w:rPr>
                <w:i/>
              </w:rPr>
              <w:t>Utan hinder av</w:t>
            </w:r>
            <w:r>
              <w:t xml:space="preserve"> andra stycket får trafikförsäkringsavgift </w:t>
            </w:r>
            <w:r>
              <w:rPr>
                <w:i/>
              </w:rPr>
              <w:t xml:space="preserve">tagas </w:t>
            </w:r>
            <w:r>
              <w:t>ut</w:t>
            </w:r>
            <w:r>
              <w:rPr>
                <w:i/>
              </w:rPr>
              <w:t xml:space="preserve"> </w:t>
            </w:r>
            <w:r>
              <w:t>med</w:t>
            </w:r>
            <w:r>
              <w:rPr>
                <w:i/>
              </w:rPr>
              <w:t xml:space="preserve"> femtio</w:t>
            </w:r>
            <w:r>
              <w:t xml:space="preserve"> kronor för tid till dess trafi</w:t>
            </w:r>
            <w:r>
              <w:t>k</w:t>
            </w:r>
            <w:r>
              <w:t>försäkring tecknas eller försäkring</w:t>
            </w:r>
            <w:r>
              <w:t>s</w:t>
            </w:r>
            <w:r>
              <w:t>plikten upphör.</w:t>
            </w:r>
          </w:p>
        </w:tc>
        <w:tc>
          <w:tcPr>
            <w:tcW w:w="3062" w:type="dxa"/>
          </w:tcPr>
          <w:p w:rsidR="00CD32E2" w:rsidRDefault="00CD32E2">
            <w:pPr>
              <w:pStyle w:val="LagtextIndrag"/>
            </w:pPr>
            <w:r>
              <w:rPr>
                <w:i/>
              </w:rPr>
              <w:t>Trots vad som sägs</w:t>
            </w:r>
            <w:r>
              <w:t xml:space="preserve"> </w:t>
            </w:r>
            <w:r>
              <w:rPr>
                <w:i/>
              </w:rPr>
              <w:t>i</w:t>
            </w:r>
            <w:r>
              <w:t xml:space="preserve"> andra stycket får trafikförsäkringsavgift </w:t>
            </w:r>
            <w:r>
              <w:rPr>
                <w:i/>
              </w:rPr>
              <w:t>tas</w:t>
            </w:r>
            <w:r>
              <w:t xml:space="preserve"> ut med </w:t>
            </w:r>
            <w:r>
              <w:rPr>
                <w:i/>
              </w:rPr>
              <w:t>tvåhundra</w:t>
            </w:r>
            <w:r>
              <w:t xml:space="preserve"> kronor för tid till dess trafikförsäkring teck</w:t>
            </w:r>
            <w:r>
              <w:softHyphen/>
              <w:t>nas eller försä</w:t>
            </w:r>
            <w:r>
              <w:t>k</w:t>
            </w:r>
            <w:r>
              <w:t>ringsplikten upp</w:t>
            </w:r>
            <w:r>
              <w:softHyphen/>
              <w:t>hör.</w:t>
            </w:r>
          </w:p>
        </w:tc>
      </w:tr>
      <w:tr w:rsidR="00000000">
        <w:tblPrEx>
          <w:tblCellMar>
            <w:top w:w="0" w:type="dxa"/>
            <w:bottom w:w="0" w:type="dxa"/>
          </w:tblCellMar>
        </w:tblPrEx>
        <w:tc>
          <w:tcPr>
            <w:tcW w:w="3062" w:type="dxa"/>
          </w:tcPr>
          <w:p w:rsidR="00CD32E2" w:rsidRDefault="00CD32E2">
            <w:pPr>
              <w:pStyle w:val="LagtextIndrag"/>
              <w:rPr>
                <w:i/>
              </w:rPr>
            </w:pPr>
            <w:r>
              <w:t>Domstol kan sätta ned trafik</w:t>
            </w:r>
            <w:r>
              <w:softHyphen/>
              <w:t>för</w:t>
            </w:r>
            <w:r>
              <w:softHyphen/>
              <w:t xml:space="preserve">säkringsavgift, om särskilda skäl </w:t>
            </w:r>
            <w:r>
              <w:rPr>
                <w:i/>
              </w:rPr>
              <w:t>föreligger</w:t>
            </w:r>
            <w:r>
              <w:t>. I fråga om pre</w:t>
            </w:r>
            <w:r>
              <w:softHyphen/>
              <w:t>skription av trafikförsäkrings</w:t>
            </w:r>
            <w:r>
              <w:softHyphen/>
              <w:t xml:space="preserve">avgift äger 28 § första stycket </w:t>
            </w:r>
            <w:r>
              <w:rPr>
                <w:i/>
              </w:rPr>
              <w:t>motsvarande tilläm</w:t>
            </w:r>
            <w:r>
              <w:rPr>
                <w:i/>
              </w:rPr>
              <w:t>p</w:t>
            </w:r>
            <w:r>
              <w:rPr>
                <w:i/>
              </w:rPr>
              <w:t>ning</w:t>
            </w:r>
            <w:r>
              <w:t>.</w:t>
            </w:r>
          </w:p>
        </w:tc>
        <w:tc>
          <w:tcPr>
            <w:tcW w:w="3062" w:type="dxa"/>
          </w:tcPr>
          <w:p w:rsidR="00CD32E2" w:rsidRDefault="00CD32E2">
            <w:pPr>
              <w:pStyle w:val="LagtextIndrag"/>
              <w:rPr>
                <w:i/>
              </w:rPr>
            </w:pPr>
            <w:r>
              <w:t xml:space="preserve">Domstol kan sätta ned </w:t>
            </w:r>
            <w:r>
              <w:rPr>
                <w:i/>
              </w:rPr>
              <w:t>tr</w:t>
            </w:r>
            <w:r>
              <w:rPr>
                <w:i/>
              </w:rPr>
              <w:t>a</w:t>
            </w:r>
            <w:r>
              <w:rPr>
                <w:i/>
              </w:rPr>
              <w:t>fik</w:t>
            </w:r>
            <w:r>
              <w:rPr>
                <w:i/>
              </w:rPr>
              <w:softHyphen/>
              <w:t>försäkringsavgiften</w:t>
            </w:r>
            <w:r>
              <w:t xml:space="preserve">, om </w:t>
            </w:r>
            <w:r>
              <w:rPr>
                <w:i/>
              </w:rPr>
              <w:t>det finns</w:t>
            </w:r>
            <w:r>
              <w:t xml:space="preserve"> särskilda skäl. I fråga om pre</w:t>
            </w:r>
            <w:r>
              <w:softHyphen/>
              <w:t>skrip</w:t>
            </w:r>
            <w:r>
              <w:softHyphen/>
              <w:t>tion av trafikförsäkrings</w:t>
            </w:r>
            <w:r>
              <w:softHyphen/>
              <w:t xml:space="preserve">avgift </w:t>
            </w:r>
            <w:r>
              <w:rPr>
                <w:i/>
              </w:rPr>
              <w:t>ti</w:t>
            </w:r>
            <w:r>
              <w:rPr>
                <w:i/>
              </w:rPr>
              <w:t>l</w:t>
            </w:r>
            <w:r>
              <w:rPr>
                <w:i/>
              </w:rPr>
              <w:t>lämpas</w:t>
            </w:r>
            <w:r>
              <w:t xml:space="preserve"> 28 § första stycket.</w:t>
            </w:r>
          </w:p>
        </w:tc>
      </w:tr>
      <w:bookmarkEnd w:id="37"/>
    </w:tbl>
    <w:p w:rsidR="00CD32E2" w:rsidRDefault="00CD32E2">
      <w:pPr>
        <w:spacing w:before="0"/>
        <w:rPr>
          <w:u w:val="single"/>
        </w:rPr>
      </w:pPr>
    </w:p>
    <w:p w:rsidR="00CD32E2" w:rsidRDefault="00CD32E2">
      <w:pPr>
        <w:spacing w:before="0"/>
      </w:pPr>
      <w:r>
        <w:rPr>
          <w:u w:val="single"/>
        </w:rPr>
        <w:t>                                     </w:t>
      </w:r>
    </w:p>
    <w:p w:rsidR="00CD32E2" w:rsidRDefault="00CD32E2">
      <w:pPr>
        <w:pStyle w:val="Normaltindrag"/>
      </w:pPr>
    </w:p>
    <w:p w:rsidR="00CD32E2" w:rsidRDefault="00CD32E2">
      <w:pPr>
        <w:pStyle w:val="Normaltindrag"/>
      </w:pPr>
      <w:r>
        <w:br w:type="page"/>
        <w:t>1. Denna lag träder i kraft den 1 juli 1999.</w:t>
      </w:r>
    </w:p>
    <w:p w:rsidR="00CD32E2" w:rsidRDefault="00CD32E2">
      <w:pPr>
        <w:pStyle w:val="Normaltindrag"/>
      </w:pPr>
      <w:r>
        <w:t>2. Bestämmelserna i 28 § andra och tredje styckena tillämpas även på for</w:t>
      </w:r>
      <w:r>
        <w:t>d</w:t>
      </w:r>
      <w:r>
        <w:t>ringar som har uppkommit före ikraftträdandet och som vid ikraftträdandet inte är preskriberade enligt äldre bestämmelser.</w:t>
      </w:r>
    </w:p>
    <w:p w:rsidR="00CD32E2" w:rsidRDefault="00CD32E2">
      <w:pPr>
        <w:pStyle w:val="Normaltindrag"/>
      </w:pPr>
      <w:r>
        <w:t>3. Äldre bestämmelser om trafikförsäkringsavgift tillämpas även efter ikraf</w:t>
      </w:r>
      <w:r>
        <w:t>t</w:t>
      </w:r>
      <w:r>
        <w:t>trädandet i ärenden som inte är avslutade hos trafikförsäkrings</w:t>
      </w:r>
      <w:r>
        <w:softHyphen/>
        <w:t>för</w:t>
      </w:r>
      <w:r>
        <w:softHyphen/>
        <w:t>eningen när lagen träder i kraft.</w:t>
      </w:r>
    </w:p>
    <w:p w:rsidR="00CD32E2" w:rsidRDefault="00CD32E2">
      <w:pPr>
        <w:pStyle w:val="Rubrik1"/>
      </w:pPr>
    </w:p>
    <w:p w:rsidR="00CD32E2" w:rsidRDefault="00CD32E2">
      <w:pPr>
        <w:sectPr w:rsidR="00000000">
          <w:headerReference w:type="default" r:id="rId11"/>
          <w:footerReference w:type="default" r:id="rId12"/>
          <w:pgSz w:w="11906" w:h="16838" w:code="9"/>
          <w:pgMar w:top="567" w:right="4876" w:bottom="4508" w:left="1134" w:header="227" w:footer="227" w:gutter="0"/>
          <w:cols w:space="720"/>
        </w:sectPr>
      </w:pPr>
    </w:p>
    <w:p w:rsidR="00CD32E2" w:rsidRDefault="00CD32E2">
      <w:pPr>
        <w:pStyle w:val="Rubrik1"/>
        <w:spacing w:before="0"/>
      </w:pPr>
      <w:bookmarkStart w:id="39" w:name="_Toc448648581"/>
      <w:r>
        <w:t>Av reservanterna föreslagen ändring i regeringens förslag till lag om ändring i trafikskadelagen (1975:1410)</w:t>
      </w:r>
      <w:bookmarkEnd w:id="39"/>
    </w:p>
    <w:p w:rsidR="00CD32E2" w:rsidRDefault="00CD32E2"/>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CD32E2" w:rsidRDefault="00CD32E2">
            <w:pPr>
              <w:pStyle w:val="LagtextRubrik"/>
              <w:rPr>
                <w:i/>
              </w:rPr>
            </w:pPr>
            <w:r>
              <w:rPr>
                <w:i/>
              </w:rPr>
              <w:t>Regeringens förslag</w:t>
            </w:r>
          </w:p>
        </w:tc>
        <w:tc>
          <w:tcPr>
            <w:tcW w:w="3062" w:type="dxa"/>
          </w:tcPr>
          <w:p w:rsidR="00CD32E2" w:rsidRDefault="00CD32E2">
            <w:pPr>
              <w:pStyle w:val="LagtextRubrik"/>
              <w:rPr>
                <w:i/>
              </w:rPr>
            </w:pPr>
            <w:r>
              <w:rPr>
                <w:i/>
              </w:rPr>
              <w:t>Reservanternas förslag</w:t>
            </w:r>
          </w:p>
        </w:tc>
      </w:tr>
      <w:tr w:rsidR="00000000">
        <w:tblPrEx>
          <w:tblCellMar>
            <w:top w:w="0" w:type="dxa"/>
            <w:bottom w:w="0" w:type="dxa"/>
          </w:tblCellMar>
        </w:tblPrEx>
        <w:tc>
          <w:tcPr>
            <w:tcW w:w="6124" w:type="dxa"/>
            <w:gridSpan w:val="2"/>
          </w:tcPr>
          <w:p w:rsidR="00CD32E2" w:rsidRDefault="00CD32E2">
            <w:pPr>
              <w:pStyle w:val="LagtextIndrag"/>
              <w:jc w:val="center"/>
            </w:pPr>
            <w:r>
              <w:t>18 §</w:t>
            </w:r>
          </w:p>
        </w:tc>
      </w:tr>
      <w:tr w:rsidR="00000000">
        <w:tblPrEx>
          <w:tblCellMar>
            <w:top w:w="0" w:type="dxa"/>
            <w:bottom w:w="0" w:type="dxa"/>
          </w:tblCellMar>
        </w:tblPrEx>
        <w:tc>
          <w:tcPr>
            <w:tcW w:w="6124" w:type="dxa"/>
            <w:gridSpan w:val="2"/>
          </w:tcPr>
          <w:p w:rsidR="00CD32E2" w:rsidRDefault="00CD32E2">
            <w:pPr>
              <w:pStyle w:val="LagtextIndrag"/>
            </w:pPr>
            <w:r>
              <w:t>Den som drabbas av en skada i följd av trafik med ett motor</w:t>
            </w:r>
            <w:r>
              <w:softHyphen/>
              <w:t>drivet fordon får, trots att han kan få trafikskadeersättning, i stället krä</w:t>
            </w:r>
            <w:r>
              <w:softHyphen/>
              <w:t>va skadestånd enligt vad som gäl</w:t>
            </w:r>
            <w:r>
              <w:softHyphen/>
              <w:t>ler om detta. Har den skade</w:t>
            </w:r>
            <w:r>
              <w:softHyphen/>
              <w:t>lidan</w:t>
            </w:r>
            <w:r>
              <w:softHyphen/>
              <w:t>des rätt till trafikskade</w:t>
            </w:r>
            <w:r>
              <w:softHyphen/>
              <w:t>ersättning helt eller delvis fallit bort på grund av en omständighet som har inträffat efter skade</w:t>
            </w:r>
            <w:r>
              <w:softHyphen/>
              <w:t>händelsen, är han berättigad till skadestånd i den delen endast om det finns särskilda skäl.</w:t>
            </w:r>
          </w:p>
        </w:tc>
      </w:tr>
      <w:tr w:rsidR="00000000">
        <w:tblPrEx>
          <w:tblCellMar>
            <w:top w:w="0" w:type="dxa"/>
            <w:bottom w:w="0" w:type="dxa"/>
          </w:tblCellMar>
        </w:tblPrEx>
        <w:tc>
          <w:tcPr>
            <w:tcW w:w="3062" w:type="dxa"/>
          </w:tcPr>
          <w:p w:rsidR="00CD32E2" w:rsidRDefault="00CD32E2">
            <w:pPr>
              <w:pStyle w:val="LagtextIndrag"/>
            </w:pPr>
            <w:r>
              <w:t>Skadestånd med anledning av en skada på ett motordrivet fordon i trafik eller på egendom som tran</w:t>
            </w:r>
            <w:r>
              <w:t>s</w:t>
            </w:r>
            <w:r>
              <w:t>porterats med det får jämkas efter vad som är skäligt med hänsyn till den medverkan som har förekommit på ömse sidor</w:t>
            </w:r>
            <w:r>
              <w:rPr>
                <w:i/>
              </w:rPr>
              <w:t>, de särskilda risker för skador som motorfordonstrafiken har inneburit</w:t>
            </w:r>
            <w:r>
              <w:t xml:space="preserve"> och omständigheterna i övrigt.</w:t>
            </w:r>
          </w:p>
        </w:tc>
        <w:tc>
          <w:tcPr>
            <w:tcW w:w="3062" w:type="dxa"/>
          </w:tcPr>
          <w:p w:rsidR="00CD32E2" w:rsidRDefault="00CD32E2">
            <w:pPr>
              <w:pStyle w:val="LagtextIndrag"/>
            </w:pPr>
            <w:r>
              <w:t>Skadestånd med anledning av en skada på ett motordrivet fordon i trafik eller på egendom som tran</w:t>
            </w:r>
            <w:r>
              <w:t>s</w:t>
            </w:r>
            <w:r>
              <w:t>porterats med det får jämkas efter vad som är skäligt med hänsyn till den medverkan som har förekommit på ömse sidor och omständigheterna i övrigt.</w:t>
            </w:r>
          </w:p>
        </w:tc>
      </w:tr>
    </w:tbl>
    <w:p w:rsidR="00CD32E2" w:rsidRDefault="00CD32E2">
      <w:pPr>
        <w:pStyle w:val="Normaltindrag"/>
        <w:sectPr w:rsidR="00000000">
          <w:headerReference w:type="default" r:id="rId13"/>
          <w:footerReference w:type="default" r:id="rId14"/>
          <w:pgSz w:w="11906" w:h="16838" w:code="9"/>
          <w:pgMar w:top="567" w:right="4876" w:bottom="4508" w:left="1134" w:header="227" w:footer="227" w:gutter="0"/>
          <w:cols w:space="720"/>
        </w:sectPr>
      </w:pPr>
    </w:p>
    <w:p w:rsidR="00CD32E2" w:rsidRDefault="00CD32E2">
      <w:pPr>
        <w:pStyle w:val="Innehll"/>
        <w:outlineLvl w:val="0"/>
      </w:pPr>
      <w:r>
        <w:t>Innehållsförteckning</w:t>
      </w:r>
    </w:p>
    <w:p w:rsidR="00CD32E2" w:rsidRDefault="00CD32E2">
      <w:pPr>
        <w:pStyle w:val="Innehll1"/>
        <w:rPr>
          <w:noProof/>
        </w:rPr>
      </w:pPr>
      <w:r>
        <w:rPr>
          <w:noProof/>
        </w:rPr>
        <w:t>Sammanfattning</w:t>
      </w:r>
      <w:r>
        <w:rPr>
          <w:noProof/>
        </w:rPr>
        <w:tab/>
        <w:t>1</w:t>
      </w:r>
    </w:p>
    <w:p w:rsidR="00CD32E2" w:rsidRDefault="00CD32E2">
      <w:pPr>
        <w:pStyle w:val="Innehll1"/>
        <w:rPr>
          <w:noProof/>
        </w:rPr>
      </w:pPr>
      <w:r>
        <w:rPr>
          <w:noProof/>
        </w:rPr>
        <w:t>Propositionen</w:t>
      </w:r>
      <w:r>
        <w:rPr>
          <w:noProof/>
        </w:rPr>
        <w:tab/>
        <w:t>1</w:t>
      </w:r>
    </w:p>
    <w:p w:rsidR="00CD32E2" w:rsidRDefault="00CD32E2">
      <w:pPr>
        <w:pStyle w:val="Innehll1"/>
        <w:rPr>
          <w:noProof/>
        </w:rPr>
      </w:pPr>
      <w:r>
        <w:rPr>
          <w:noProof/>
        </w:rPr>
        <w:t>Motionerna</w:t>
      </w:r>
      <w:r>
        <w:rPr>
          <w:noProof/>
        </w:rPr>
        <w:tab/>
        <w:t>1</w:t>
      </w:r>
    </w:p>
    <w:p w:rsidR="00CD32E2" w:rsidRDefault="00CD32E2">
      <w:pPr>
        <w:pStyle w:val="Innehll2"/>
        <w:rPr>
          <w:noProof/>
        </w:rPr>
      </w:pPr>
      <w:r>
        <w:rPr>
          <w:noProof/>
        </w:rPr>
        <w:t>Motioner väckta med anledning av propositionen</w:t>
      </w:r>
      <w:r>
        <w:rPr>
          <w:noProof/>
        </w:rPr>
        <w:tab/>
        <w:t>1</w:t>
      </w:r>
    </w:p>
    <w:p w:rsidR="00CD32E2" w:rsidRDefault="00CD32E2">
      <w:pPr>
        <w:pStyle w:val="Innehll2"/>
        <w:rPr>
          <w:noProof/>
        </w:rPr>
      </w:pPr>
      <w:r>
        <w:rPr>
          <w:noProof/>
        </w:rPr>
        <w:t>Motion väckt under den allmänna motionstiden 1998</w:t>
      </w:r>
      <w:r>
        <w:rPr>
          <w:noProof/>
        </w:rPr>
        <w:tab/>
        <w:t>2</w:t>
      </w:r>
    </w:p>
    <w:p w:rsidR="00CD32E2" w:rsidRDefault="00CD32E2">
      <w:pPr>
        <w:pStyle w:val="Innehll1"/>
        <w:rPr>
          <w:noProof/>
        </w:rPr>
      </w:pPr>
      <w:r>
        <w:rPr>
          <w:noProof/>
        </w:rPr>
        <w:t>Utskottet</w:t>
      </w:r>
      <w:r>
        <w:rPr>
          <w:noProof/>
        </w:rPr>
        <w:tab/>
        <w:t>2</w:t>
      </w:r>
    </w:p>
    <w:p w:rsidR="00CD32E2" w:rsidRDefault="00CD32E2">
      <w:pPr>
        <w:pStyle w:val="Innehll2"/>
        <w:rPr>
          <w:noProof/>
        </w:rPr>
      </w:pPr>
      <w:r>
        <w:rPr>
          <w:noProof/>
        </w:rPr>
        <w:t>Allmän bakgrund</w:t>
      </w:r>
      <w:r>
        <w:rPr>
          <w:noProof/>
        </w:rPr>
        <w:tab/>
        <w:t>2</w:t>
      </w:r>
    </w:p>
    <w:p w:rsidR="00CD32E2" w:rsidRDefault="00CD32E2">
      <w:pPr>
        <w:pStyle w:val="Innehll2"/>
        <w:rPr>
          <w:noProof/>
        </w:rPr>
      </w:pPr>
      <w:r>
        <w:rPr>
          <w:noProof/>
        </w:rPr>
        <w:t>Propositionens förslag i huvuddrag</w:t>
      </w:r>
      <w:r>
        <w:rPr>
          <w:noProof/>
        </w:rPr>
        <w:tab/>
        <w:t>4</w:t>
      </w:r>
    </w:p>
    <w:p w:rsidR="00CD32E2" w:rsidRDefault="00CD32E2">
      <w:pPr>
        <w:pStyle w:val="Innehll2"/>
        <w:rPr>
          <w:noProof/>
        </w:rPr>
      </w:pPr>
      <w:r>
        <w:rPr>
          <w:noProof/>
        </w:rPr>
        <w:t>Jämkning vid skada på motorfordon, m.m.</w:t>
      </w:r>
      <w:r>
        <w:rPr>
          <w:noProof/>
        </w:rPr>
        <w:tab/>
        <w:t>4</w:t>
      </w:r>
    </w:p>
    <w:p w:rsidR="00CD32E2" w:rsidRDefault="00CD32E2">
      <w:pPr>
        <w:pStyle w:val="Innehll2"/>
        <w:rPr>
          <w:noProof/>
        </w:rPr>
      </w:pPr>
      <w:r>
        <w:rPr>
          <w:noProof/>
        </w:rPr>
        <w:t>Jämkning av personskadeersättning vid trafikonykterhetsbrott</w:t>
      </w:r>
      <w:r>
        <w:rPr>
          <w:noProof/>
        </w:rPr>
        <w:tab/>
        <w:t>9</w:t>
      </w:r>
    </w:p>
    <w:p w:rsidR="00CD32E2" w:rsidRDefault="00CD32E2">
      <w:pPr>
        <w:pStyle w:val="Innehll2"/>
        <w:rPr>
          <w:noProof/>
        </w:rPr>
      </w:pPr>
      <w:r>
        <w:rPr>
          <w:noProof/>
        </w:rPr>
        <w:t>Hemställan</w:t>
      </w:r>
      <w:r>
        <w:rPr>
          <w:noProof/>
        </w:rPr>
        <w:tab/>
        <w:t>10</w:t>
      </w:r>
    </w:p>
    <w:p w:rsidR="00CD32E2" w:rsidRDefault="00CD32E2">
      <w:pPr>
        <w:pStyle w:val="Innehll1"/>
        <w:rPr>
          <w:noProof/>
        </w:rPr>
      </w:pPr>
      <w:r>
        <w:rPr>
          <w:noProof/>
        </w:rPr>
        <w:t>Reservation</w:t>
      </w:r>
      <w:r>
        <w:rPr>
          <w:noProof/>
        </w:rPr>
        <w:tab/>
        <w:t>10</w:t>
      </w:r>
    </w:p>
    <w:p w:rsidR="00CD32E2" w:rsidRDefault="00CD32E2">
      <w:pPr>
        <w:pStyle w:val="Innehll2"/>
        <w:rPr>
          <w:noProof/>
        </w:rPr>
      </w:pPr>
      <w:r>
        <w:rPr>
          <w:noProof/>
        </w:rPr>
        <w:t>Jämkning vid skada på motorfordon m.m. (m, v, kd)</w:t>
      </w:r>
      <w:r>
        <w:rPr>
          <w:noProof/>
        </w:rPr>
        <w:tab/>
        <w:t>10</w:t>
      </w:r>
    </w:p>
    <w:p w:rsidR="00CD32E2" w:rsidRDefault="00CD32E2">
      <w:pPr>
        <w:pStyle w:val="Innehll1"/>
        <w:rPr>
          <w:noProof/>
        </w:rPr>
      </w:pPr>
      <w:r>
        <w:rPr>
          <w:noProof/>
        </w:rPr>
        <w:t>Bilaga 1 Propositionens lagförslag</w:t>
      </w:r>
      <w:r>
        <w:rPr>
          <w:noProof/>
        </w:rPr>
        <w:tab/>
        <w:t>12</w:t>
      </w:r>
    </w:p>
    <w:p w:rsidR="00CD32E2" w:rsidRDefault="00CD32E2">
      <w:pPr>
        <w:pStyle w:val="Innehll1"/>
        <w:rPr>
          <w:noProof/>
        </w:rPr>
      </w:pPr>
      <w:r>
        <w:rPr>
          <w:noProof/>
        </w:rPr>
        <w:t xml:space="preserve">Bilaga 2 Av reservanterna föreslagen ändring i regeringens förslag </w:t>
      </w:r>
    </w:p>
    <w:p w:rsidR="00CD32E2" w:rsidRDefault="00CD32E2">
      <w:pPr>
        <w:pStyle w:val="Innehll1"/>
        <w:rPr>
          <w:noProof/>
        </w:rPr>
      </w:pPr>
      <w:r>
        <w:rPr>
          <w:noProof/>
        </w:rPr>
        <w:t>till lag om ändring i trafikskadelagen (1975:1410)</w:t>
      </w:r>
      <w:r>
        <w:rPr>
          <w:noProof/>
        </w:rPr>
        <w:tab/>
        <w:t>15</w:t>
      </w:r>
    </w:p>
    <w:p w:rsidR="00CD32E2" w:rsidRDefault="00CD32E2"/>
    <w:p w:rsidR="00CD32E2" w:rsidRDefault="00CD32E2">
      <w:pPr>
        <w:pStyle w:val="Tryckort"/>
        <w:framePr w:wrap="around"/>
      </w:pPr>
      <w:r>
        <w:t>Elanders Gotab, Stockholm  1999</w:t>
      </w:r>
    </w:p>
    <w:p w:rsidR="00CD32E2" w:rsidRDefault="00CD32E2">
      <w:pPr>
        <w:pStyle w:val="Normaltindrag"/>
      </w:pPr>
    </w:p>
    <w:sectPr w:rsidR="00CD32E2">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32E2" w:rsidRDefault="00CD32E2">
      <w:pPr>
        <w:spacing w:before="0" w:line="240" w:lineRule="auto"/>
      </w:pPr>
      <w:r>
        <w:separator/>
      </w:r>
    </w:p>
  </w:endnote>
  <w:endnote w:type="continuationSeparator" w:id="0">
    <w:p w:rsidR="00CD32E2" w:rsidRDefault="00CD32E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2E2" w:rsidRDefault="00CD32E2">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CD32E2" w:rsidRDefault="00CD32E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2E2" w:rsidRDefault="00CD32E2">
    <w:pPr>
      <w:pStyle w:val="SidfotH"/>
      <w:framePr w:wrap="around"/>
    </w:pPr>
    <w:r>
      <w:fldChar w:fldCharType="begin" w:fldLock="1"/>
    </w:r>
    <w:r>
      <w:instrText xml:space="preserve"> P</w:instrText>
    </w:r>
    <w:r>
      <w:instrText>A</w:instrText>
    </w:r>
    <w:r>
      <w:instrText xml:space="preserve">GE </w:instrText>
    </w:r>
    <w:r>
      <w:fldChar w:fldCharType="separate"/>
    </w:r>
    <w:r>
      <w:rPr>
        <w:noProof/>
      </w:rPr>
      <w:t>12</w:t>
    </w:r>
    <w:r>
      <w:fldChar w:fldCharType="end"/>
    </w:r>
  </w:p>
  <w:p w:rsidR="00CD32E2" w:rsidRDefault="00CD32E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2E2" w:rsidRDefault="00CD32E2">
    <w:pPr>
      <w:pStyle w:val="SidfotH"/>
      <w:framePr w:wrap="around"/>
    </w:pPr>
    <w:r>
      <w:fldChar w:fldCharType="begin" w:fldLock="1"/>
    </w:r>
    <w:r>
      <w:instrText xml:space="preserve"> P</w:instrText>
    </w:r>
    <w:r>
      <w:instrText>A</w:instrText>
    </w:r>
    <w:r>
      <w:instrText xml:space="preserve">GE </w:instrText>
    </w:r>
    <w:r>
      <w:fldChar w:fldCharType="separate"/>
    </w:r>
    <w:r>
      <w:rPr>
        <w:noProof/>
      </w:rPr>
      <w:t>15</w:t>
    </w:r>
    <w:r>
      <w:fldChar w:fldCharType="end"/>
    </w:r>
  </w:p>
  <w:p w:rsidR="00CD32E2" w:rsidRDefault="00CD32E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2E2" w:rsidRDefault="00CD32E2">
    <w:pPr>
      <w:pStyle w:val="SidfotH"/>
      <w:framePr w:wrap="around"/>
    </w:pPr>
    <w:r>
      <w:fldChar w:fldCharType="begin" w:fldLock="1"/>
    </w:r>
    <w:r>
      <w:instrText xml:space="preserve"> P</w:instrText>
    </w:r>
    <w:r>
      <w:instrText>A</w:instrText>
    </w:r>
    <w:r>
      <w:instrText xml:space="preserve">GE </w:instrText>
    </w:r>
    <w:r>
      <w:fldChar w:fldCharType="separate"/>
    </w:r>
    <w:r>
      <w:rPr>
        <w:noProof/>
      </w:rPr>
      <w:t>16</w:t>
    </w:r>
    <w:r>
      <w:fldChar w:fldCharType="end"/>
    </w:r>
  </w:p>
  <w:p w:rsidR="00CD32E2" w:rsidRDefault="00CD32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32E2" w:rsidRDefault="00CD32E2"/>
  </w:footnote>
  <w:footnote w:type="continuationSeparator" w:id="0">
    <w:p w:rsidR="00CD32E2" w:rsidRDefault="00CD32E2">
      <w:pPr>
        <w:spacing w:before="0" w:line="240" w:lineRule="auto"/>
      </w:pPr>
      <w:r>
        <w:continuationSeparator/>
      </w:r>
    </w:p>
  </w:footnote>
  <w:footnote w:id="1">
    <w:p w:rsidR="00CD32E2" w:rsidRDefault="00CD32E2">
      <w:pPr>
        <w:pStyle w:val="Fotnotstext"/>
      </w:pPr>
      <w:r>
        <w:rPr>
          <w:rStyle w:val="Fotnotsreferens"/>
        </w:rPr>
        <w:footnoteRef/>
      </w:r>
      <w:r>
        <w:t xml:space="preserve"> Senaste lydelse 1983:309.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2E2" w:rsidRDefault="00CD32E2">
    <w:pPr>
      <w:pStyle w:val="SidhuvudKant"/>
      <w:framePr w:w="1985" w:h="2743" w:hRule="exact" w:wrap="around" w:vAnchor="page" w:hAnchor="page" w:x="7372" w:y="568" w:anchorLock="0"/>
      <w:rPr>
        <w:noProof/>
      </w:rPr>
    </w:pPr>
    <w:r>
      <w:rPr>
        <w:noProof/>
      </w:rPr>
      <w:t>1998/99:LU19</w:t>
    </w:r>
  </w:p>
  <w:p w:rsidR="00CD32E2" w:rsidRDefault="00CD32E2">
    <w:pPr>
      <w:pStyle w:val="SidhuvudKantBilaga"/>
      <w:framePr w:w="1985" w:h="2743" w:hRule="exact" w:wrap="around" w:vAnchor="page" w:hAnchor="page" w:x="7372" w:y="568" w:anchorLock="0"/>
      <w:rPr>
        <w:noProof/>
      </w:rPr>
    </w:pPr>
  </w:p>
  <w:p w:rsidR="00CD32E2" w:rsidRDefault="00CD32E2">
    <w:pPr>
      <w:pStyle w:val="SidhuvudKant"/>
      <w:framePr w:w="1985" w:h="2743" w:hRule="exact" w:wrap="around" w:vAnchor="page" w:hAnchor="page" w:x="7372" w:y="568" w:anchorLock="0"/>
    </w:pPr>
  </w:p>
  <w:p w:rsidR="00CD32E2" w:rsidRDefault="00CD32E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2E2" w:rsidRDefault="00CD32E2">
    <w:pPr>
      <w:pStyle w:val="SidhuvudKant"/>
      <w:framePr w:w="1985" w:h="2743" w:hRule="exact" w:wrap="around" w:vAnchor="page" w:hAnchor="page" w:x="7372" w:y="568" w:anchorLock="0"/>
      <w:rPr>
        <w:noProof/>
      </w:rPr>
    </w:pPr>
    <w:r>
      <w:rPr>
        <w:noProof/>
      </w:rPr>
      <w:t>1998/99:LU19</w:t>
    </w:r>
  </w:p>
  <w:p w:rsidR="00CD32E2" w:rsidRDefault="00CD32E2">
    <w:pPr>
      <w:pStyle w:val="SidhuvudKantBilaga"/>
      <w:framePr w:w="1985" w:h="2743" w:hRule="exact" w:wrap="around" w:vAnchor="page" w:hAnchor="page" w:x="7372" w:y="568" w:anchorLock="0"/>
      <w:rPr>
        <w:noProof/>
      </w:rPr>
    </w:pPr>
    <w:r>
      <w:rPr>
        <w:noProof/>
      </w:rPr>
      <w:t>Bilaga 1</w:t>
    </w:r>
  </w:p>
  <w:p w:rsidR="00CD32E2" w:rsidRDefault="00CD32E2">
    <w:pPr>
      <w:pStyle w:val="SidhuvudKant"/>
      <w:framePr w:w="1985" w:h="2743" w:hRule="exact" w:wrap="around" w:vAnchor="page" w:hAnchor="page" w:x="7372" w:y="568" w:anchorLock="0"/>
    </w:pPr>
  </w:p>
  <w:p w:rsidR="00CD32E2" w:rsidRDefault="00CD32E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2E2" w:rsidRDefault="00CD32E2">
    <w:pPr>
      <w:pStyle w:val="SidhuvudKant"/>
      <w:framePr w:w="1985" w:h="2743" w:hRule="exact" w:wrap="around" w:vAnchor="page" w:hAnchor="page" w:x="7372" w:y="568" w:anchorLock="0"/>
      <w:rPr>
        <w:noProof/>
      </w:rPr>
    </w:pPr>
    <w:r>
      <w:rPr>
        <w:noProof/>
      </w:rPr>
      <w:t>1998/99:LU19</w:t>
    </w:r>
  </w:p>
  <w:p w:rsidR="00CD32E2" w:rsidRDefault="00CD32E2">
    <w:pPr>
      <w:pStyle w:val="SidhuvudKantBilaga"/>
      <w:framePr w:w="1985" w:h="2743" w:hRule="exact" w:wrap="around" w:vAnchor="page" w:hAnchor="page" w:x="7372" w:y="568" w:anchorLock="0"/>
      <w:rPr>
        <w:noProof/>
      </w:rPr>
    </w:pPr>
    <w:r>
      <w:rPr>
        <w:noProof/>
      </w:rPr>
      <w:t>Bilaga 2</w:t>
    </w:r>
  </w:p>
  <w:p w:rsidR="00CD32E2" w:rsidRDefault="00CD32E2">
    <w:pPr>
      <w:pStyle w:val="SidhuvudKant"/>
      <w:framePr w:w="1985" w:h="2743" w:hRule="exact" w:wrap="around" w:vAnchor="page" w:hAnchor="page" w:x="7372" w:y="568" w:anchorLock="0"/>
    </w:pPr>
  </w:p>
  <w:p w:rsidR="00CD32E2" w:rsidRDefault="00CD32E2">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2E2" w:rsidRDefault="00CD32E2">
    <w:pPr>
      <w:pStyle w:val="SidhuvudKant"/>
      <w:framePr w:w="1985" w:h="2743" w:hRule="exact" w:wrap="around" w:vAnchor="page" w:hAnchor="page" w:x="7372" w:y="568" w:anchorLock="0"/>
      <w:rPr>
        <w:noProof/>
      </w:rPr>
    </w:pPr>
    <w:r>
      <w:rPr>
        <w:noProof/>
      </w:rPr>
      <w:t>1998/99:LU19</w:t>
    </w:r>
  </w:p>
  <w:p w:rsidR="00CD32E2" w:rsidRDefault="00CD32E2">
    <w:pPr>
      <w:pStyle w:val="SidhuvudKantBilaga"/>
      <w:framePr w:w="1985" w:h="2743" w:hRule="exact" w:wrap="around" w:vAnchor="page" w:hAnchor="page" w:x="7372" w:y="568" w:anchorLock="0"/>
      <w:rPr>
        <w:noProof/>
      </w:rPr>
    </w:pPr>
  </w:p>
  <w:p w:rsidR="00CD32E2" w:rsidRDefault="00CD32E2">
    <w:pPr>
      <w:pStyle w:val="SidhuvudKant"/>
      <w:framePr w:w="1985" w:h="2743" w:hRule="exact" w:wrap="around" w:vAnchor="page" w:hAnchor="page" w:x="7372" w:y="568" w:anchorLock="0"/>
    </w:pPr>
  </w:p>
  <w:p w:rsidR="00CD32E2" w:rsidRDefault="00CD32E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899"/>
  </w:docVars>
  <w:rsids>
    <w:rsidRoot w:val="00904767"/>
    <w:rsid w:val="00006756"/>
    <w:rsid w:val="00904767"/>
    <w:rsid w:val="00CD32E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4231E0-892B-459E-A070-42C6D0AA6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5601</Words>
  <Characters>33162</Characters>
  <Application>Microsoft Office Word</Application>
  <DocSecurity>4</DocSecurity>
  <Lines>705</Lines>
  <Paragraphs>167</Paragraphs>
  <ScaleCrop>false</ScaleCrop>
  <HeadingPairs>
    <vt:vector size="4" baseType="variant">
      <vt:variant>
        <vt:lpstr>Title</vt:lpstr>
      </vt:variant>
      <vt:variant>
        <vt:i4>1</vt:i4>
      </vt:variant>
      <vt:variant>
        <vt:lpstr>Rubriker</vt:lpstr>
      </vt:variant>
      <vt:variant>
        <vt:i4>23</vt:i4>
      </vt:variant>
    </vt:vector>
  </HeadingPairs>
  <TitlesOfParts>
    <vt:vector size="24" baseType="lpstr">
      <vt:lpstr>Lagutskottets betänkande</vt:lpstr>
      <vt:lpstr>Sammanfattning</vt:lpstr>
      <vt:lpstr>Propositionen</vt:lpstr>
      <vt:lpstr>Motionerna</vt:lpstr>
      <vt:lpstr>    Motioner väckta med anledning av propositionen</vt:lpstr>
      <vt:lpstr>    Motion väckt under den allmänna motionstiden 1998</vt:lpstr>
      <vt:lpstr>Utskottet</vt:lpstr>
      <vt:lpstr>    Allmän bakgrund</vt:lpstr>
      <vt:lpstr>    Propositionens förslag i huvuddrag</vt:lpstr>
      <vt:lpstr>    Jämkning vid skada på motorfordon, m.m.</vt:lpstr>
      <vt:lpstr>    Jämkning av personskadeersättning vid trafikonykterhetsbrott</vt:lpstr>
      <vt:lpstr>    Hemställan</vt:lpstr>
      <vt:lpstr>Utskottet hemställer</vt:lpstr>
      <vt:lpstr>1. beträffande jämkning vid skada på motorfordon m.m.</vt:lpstr>
      <vt:lpstr>2. beträffande lagförslaget i övrigt</vt:lpstr>
      <vt:lpstr>3. beträffande jämkning vid trafikonykterhetsbrott</vt:lpstr>
      <vt:lpstr>Stockholm den 13 april 1999</vt:lpstr>
      <vt:lpstr>Reservation</vt:lpstr>
      <vt:lpstr>    Jämkning vid skada på motorfordon m.m. (mom. 1)</vt:lpstr>
      <vt:lpstr>Propositionens lagförslag</vt:lpstr>
      <vt:lpstr>Förslag till lag om ändring i trafikskadelagen (1975:1410)</vt:lpstr>
      <vt:lpstr/>
      <vt:lpstr>Av reservanterna föreslagen ändring i regeringens förslag till lag om ändring i </vt:lpstr>
      <vt:lpstr>Innehållsförteckning</vt:lpstr>
    </vt:vector>
  </TitlesOfParts>
  <Company>Riksdagen</Company>
  <LinksUpToDate>false</LinksUpToDate>
  <CharactersWithSpaces>38596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1999-04-16T12:34:00Z</cp:lastPrinted>
  <dcterms:created xsi:type="dcterms:W3CDTF">2025-12-15T19:17:00Z</dcterms:created>
  <dcterms:modified xsi:type="dcterms:W3CDTF">2025-12-15T19:17:00Z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19</vt:lpwstr>
  </property>
  <property fmtid="{D5CDD505-2E9C-101B-9397-08002B2CF9AE}" pid="3" name="Utskott">
    <vt:lpwstr>LU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