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2A95C" w14:textId="77777777" w:rsidR="00FB32B9" w:rsidRDefault="00F2158B" w:rsidP="00FB32B9">
      <w:pPr>
        <w:pStyle w:val="UDrubrik"/>
        <w:tabs>
          <w:tab w:val="left" w:pos="1701"/>
          <w:tab w:val="left" w:pos="1985"/>
        </w:tabs>
        <w:rPr>
          <w:rFonts w:cs="Arial"/>
          <w:sz w:val="28"/>
        </w:rPr>
      </w:pPr>
      <w:bookmarkStart w:id="0" w:name="_GoBack"/>
      <w:bookmarkEnd w:id="0"/>
    </w:p>
    <w:p w14:paraId="5BA2A95D" w14:textId="77777777" w:rsidR="00FB32B9" w:rsidRDefault="00F2158B" w:rsidP="00FB32B9">
      <w:pPr>
        <w:pStyle w:val="UDrubrik"/>
        <w:tabs>
          <w:tab w:val="left" w:pos="1701"/>
          <w:tab w:val="left" w:pos="1985"/>
        </w:tabs>
        <w:rPr>
          <w:rFonts w:cs="Arial"/>
          <w:sz w:val="28"/>
        </w:rPr>
      </w:pPr>
    </w:p>
    <w:p w14:paraId="5BA2A95E" w14:textId="77777777" w:rsidR="00FB32B9" w:rsidRDefault="00F2158B" w:rsidP="00FB32B9">
      <w:pPr>
        <w:pStyle w:val="UDrubrik"/>
        <w:tabs>
          <w:tab w:val="left" w:pos="1701"/>
          <w:tab w:val="left" w:pos="1985"/>
        </w:tabs>
        <w:rPr>
          <w:rFonts w:cs="Arial"/>
          <w:sz w:val="28"/>
        </w:rPr>
      </w:pPr>
    </w:p>
    <w:p w14:paraId="5BA2A95F" w14:textId="77777777" w:rsidR="00FB32B9" w:rsidRDefault="00F2158B" w:rsidP="00FB32B9">
      <w:pPr>
        <w:pStyle w:val="UDrubrik"/>
        <w:tabs>
          <w:tab w:val="left" w:pos="1701"/>
          <w:tab w:val="left" w:pos="1985"/>
        </w:tabs>
        <w:rPr>
          <w:rFonts w:cs="Arial"/>
          <w:sz w:val="28"/>
        </w:rPr>
      </w:pPr>
    </w:p>
    <w:p w14:paraId="5BA2A961" w14:textId="4D9BBD51" w:rsidR="00FB32B9" w:rsidRDefault="004C71A4" w:rsidP="00AB08BA">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AB08BA">
        <w:rPr>
          <w:rFonts w:cs="Arial"/>
          <w:sz w:val="28"/>
        </w:rPr>
        <w:t xml:space="preserve">onsdagen den 29 april 2015, </w:t>
      </w:r>
      <w:r>
        <w:rPr>
          <w:rFonts w:cs="Arial"/>
          <w:sz w:val="28"/>
        </w:rPr>
        <w:t xml:space="preserve">vecka </w:t>
      </w:r>
      <w:r w:rsidR="00AB08BA">
        <w:rPr>
          <w:rFonts w:cs="Arial"/>
          <w:sz w:val="28"/>
        </w:rPr>
        <w:t xml:space="preserve"> 18.</w:t>
      </w:r>
    </w:p>
    <w:p w14:paraId="666520F6" w14:textId="77777777" w:rsidR="00AB08BA" w:rsidRPr="00AB08BA" w:rsidRDefault="00AB08BA" w:rsidP="00AB08BA">
      <w:pPr>
        <w:pStyle w:val="Brdtext"/>
      </w:pPr>
    </w:p>
    <w:p w14:paraId="5BA2A962" w14:textId="6ABA9900" w:rsidR="00FB32B9" w:rsidRDefault="004C71A4" w:rsidP="00FB32B9">
      <w:pPr>
        <w:pStyle w:val="Brdtext"/>
      </w:pPr>
      <w:r>
        <w:t xml:space="preserve">Överlämnas för skriftligt samråd till </w:t>
      </w:r>
      <w:r w:rsidR="00AB08BA">
        <w:t xml:space="preserve">måndagen den 4 maj 2015, kl 09.00. </w:t>
      </w:r>
    </w:p>
    <w:p w14:paraId="5BA2A963" w14:textId="77777777" w:rsidR="00FB32B9" w:rsidRDefault="004C71A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BA2A964" w14:textId="77777777" w:rsidR="00D957FB" w:rsidRPr="00FB32B9" w:rsidRDefault="004C71A4">
          <w:pPr>
            <w:pStyle w:val="Innehllsfrteckningsrubrik"/>
            <w:rPr>
              <w:color w:val="auto"/>
            </w:rPr>
          </w:pPr>
          <w:r w:rsidRPr="00FB32B9">
            <w:rPr>
              <w:color w:val="auto"/>
            </w:rPr>
            <w:t>Innehållsförteckning</w:t>
          </w:r>
        </w:p>
        <w:p w14:paraId="5BA2A965" w14:textId="77777777" w:rsidR="00DA7250" w:rsidRPr="00DA7250" w:rsidRDefault="00F2158B" w:rsidP="00DA7250">
          <w:pPr>
            <w:rPr>
              <w:lang w:val="en-US" w:eastAsia="ja-JP"/>
            </w:rPr>
          </w:pPr>
        </w:p>
        <w:p w14:paraId="05D4E72D" w14:textId="77777777" w:rsidR="00F85511" w:rsidRDefault="004C71A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8000107" w:history="1">
            <w:r w:rsidR="00F85511" w:rsidRPr="00857EA9">
              <w:rPr>
                <w:rStyle w:val="Hyperlnk"/>
                <w:noProof/>
              </w:rPr>
              <w:t>1.</w:t>
            </w:r>
            <w:r w:rsidR="00F85511">
              <w:rPr>
                <w:rFonts w:asciiTheme="minorHAnsi" w:eastAsiaTheme="minorEastAsia" w:hAnsiTheme="minorHAnsi" w:cstheme="minorBidi"/>
                <w:noProof/>
                <w:lang w:eastAsia="sv-SE"/>
              </w:rPr>
              <w:tab/>
            </w:r>
            <w:r w:rsidR="00F85511" w:rsidRPr="00857EA9">
              <w:rPr>
                <w:rStyle w:val="Hyperlnk"/>
                <w:noProof/>
              </w:rPr>
              <w:t>Case before the Court of Justice of the European Union (C-72/15 (Rosneft))</w:t>
            </w:r>
            <w:r w:rsidR="00F85511">
              <w:rPr>
                <w:noProof/>
                <w:webHidden/>
              </w:rPr>
              <w:tab/>
            </w:r>
            <w:r w:rsidR="00F85511">
              <w:rPr>
                <w:noProof/>
                <w:webHidden/>
              </w:rPr>
              <w:fldChar w:fldCharType="begin"/>
            </w:r>
            <w:r w:rsidR="00F85511">
              <w:rPr>
                <w:noProof/>
                <w:webHidden/>
              </w:rPr>
              <w:instrText xml:space="preserve"> PAGEREF _Toc418000107 \h </w:instrText>
            </w:r>
            <w:r w:rsidR="00F85511">
              <w:rPr>
                <w:noProof/>
                <w:webHidden/>
              </w:rPr>
            </w:r>
            <w:r w:rsidR="00F85511">
              <w:rPr>
                <w:noProof/>
                <w:webHidden/>
              </w:rPr>
              <w:fldChar w:fldCharType="separate"/>
            </w:r>
            <w:r w:rsidR="00F85511">
              <w:rPr>
                <w:noProof/>
                <w:webHidden/>
              </w:rPr>
              <w:t>3</w:t>
            </w:r>
            <w:r w:rsidR="00F85511">
              <w:rPr>
                <w:noProof/>
                <w:webHidden/>
              </w:rPr>
              <w:fldChar w:fldCharType="end"/>
            </w:r>
          </w:hyperlink>
        </w:p>
        <w:p w14:paraId="53B55854" w14:textId="77777777" w:rsidR="00F85511" w:rsidRDefault="00F2158B">
          <w:pPr>
            <w:pStyle w:val="Innehll1"/>
            <w:tabs>
              <w:tab w:val="left" w:pos="440"/>
              <w:tab w:val="right" w:leader="dot" w:pos="9062"/>
            </w:tabs>
            <w:rPr>
              <w:rFonts w:asciiTheme="minorHAnsi" w:eastAsiaTheme="minorEastAsia" w:hAnsiTheme="minorHAnsi" w:cstheme="minorBidi"/>
              <w:noProof/>
              <w:lang w:eastAsia="sv-SE"/>
            </w:rPr>
          </w:pPr>
          <w:hyperlink w:anchor="_Toc418000108" w:history="1">
            <w:r w:rsidR="00F85511" w:rsidRPr="00857EA9">
              <w:rPr>
                <w:rStyle w:val="Hyperlnk"/>
                <w:noProof/>
              </w:rPr>
              <w:t>2.</w:t>
            </w:r>
            <w:r w:rsidR="00F85511">
              <w:rPr>
                <w:rFonts w:asciiTheme="minorHAnsi" w:eastAsiaTheme="minorEastAsia" w:hAnsiTheme="minorHAnsi" w:cstheme="minorBidi"/>
                <w:noProof/>
                <w:lang w:eastAsia="sv-SE"/>
              </w:rPr>
              <w:tab/>
            </w:r>
            <w:r w:rsidR="00F85511" w:rsidRPr="00857EA9">
              <w:rPr>
                <w:rStyle w:val="Hyperlnk"/>
                <w:noProof/>
              </w:rPr>
              <w:t>Judgment of the Court of Justice of 14 April 2015 in Case C-409/13 (Council of the European Union, supported by Czech Republic, Federal Republic of Germany, Kingdom of Spain, French Republic, Italian Republic, Kingdom of the Netherlands, Slovak Republic, Republic of Finland, Kingdom of Sweden and United Kingdom of Great Britain and Northern Ireland, interveners, against European Commission)</w:t>
            </w:r>
            <w:r w:rsidR="00F85511">
              <w:rPr>
                <w:noProof/>
                <w:webHidden/>
              </w:rPr>
              <w:tab/>
            </w:r>
            <w:r w:rsidR="00F85511">
              <w:rPr>
                <w:noProof/>
                <w:webHidden/>
              </w:rPr>
              <w:fldChar w:fldCharType="begin"/>
            </w:r>
            <w:r w:rsidR="00F85511">
              <w:rPr>
                <w:noProof/>
                <w:webHidden/>
              </w:rPr>
              <w:instrText xml:space="preserve"> PAGEREF _Toc418000108 \h </w:instrText>
            </w:r>
            <w:r w:rsidR="00F85511">
              <w:rPr>
                <w:noProof/>
                <w:webHidden/>
              </w:rPr>
            </w:r>
            <w:r w:rsidR="00F85511">
              <w:rPr>
                <w:noProof/>
                <w:webHidden/>
              </w:rPr>
              <w:fldChar w:fldCharType="separate"/>
            </w:r>
            <w:r w:rsidR="00F85511">
              <w:rPr>
                <w:noProof/>
                <w:webHidden/>
              </w:rPr>
              <w:t>3</w:t>
            </w:r>
            <w:r w:rsidR="00F85511">
              <w:rPr>
                <w:noProof/>
                <w:webHidden/>
              </w:rPr>
              <w:fldChar w:fldCharType="end"/>
            </w:r>
          </w:hyperlink>
        </w:p>
        <w:p w14:paraId="6F0A6415" w14:textId="77777777" w:rsidR="00F85511" w:rsidRDefault="00F2158B">
          <w:pPr>
            <w:pStyle w:val="Innehll1"/>
            <w:tabs>
              <w:tab w:val="left" w:pos="440"/>
              <w:tab w:val="right" w:leader="dot" w:pos="9062"/>
            </w:tabs>
            <w:rPr>
              <w:rFonts w:asciiTheme="minorHAnsi" w:eastAsiaTheme="minorEastAsia" w:hAnsiTheme="minorHAnsi" w:cstheme="minorBidi"/>
              <w:noProof/>
              <w:lang w:eastAsia="sv-SE"/>
            </w:rPr>
          </w:pPr>
          <w:hyperlink w:anchor="_Toc418000109" w:history="1">
            <w:r w:rsidR="00F85511" w:rsidRPr="00857EA9">
              <w:rPr>
                <w:rStyle w:val="Hyperlnk"/>
                <w:noProof/>
              </w:rPr>
              <w:t>3.</w:t>
            </w:r>
            <w:r w:rsidR="00F85511">
              <w:rPr>
                <w:rFonts w:asciiTheme="minorHAnsi" w:eastAsiaTheme="minorEastAsia" w:hAnsiTheme="minorHAnsi" w:cstheme="minorBidi"/>
                <w:noProof/>
                <w:lang w:eastAsia="sv-SE"/>
              </w:rPr>
              <w:tab/>
            </w:r>
            <w:r w:rsidR="00F85511" w:rsidRPr="00857EA9">
              <w:rPr>
                <w:rStyle w:val="Hyperlnk"/>
                <w:noProof/>
              </w:rPr>
              <w:t>Case before the Court of Justice (Opinion 1/15) –Request by the European Parliament for an opinion pursuant to Article 218(11) TFEU on the compatibility with the treaties of the proposed agreement between Canada and the European Union on the transfer and processing of Passenger Name Record data</w:t>
            </w:r>
            <w:r w:rsidR="00F85511">
              <w:rPr>
                <w:noProof/>
                <w:webHidden/>
              </w:rPr>
              <w:tab/>
            </w:r>
            <w:r w:rsidR="00F85511">
              <w:rPr>
                <w:noProof/>
                <w:webHidden/>
              </w:rPr>
              <w:fldChar w:fldCharType="begin"/>
            </w:r>
            <w:r w:rsidR="00F85511">
              <w:rPr>
                <w:noProof/>
                <w:webHidden/>
              </w:rPr>
              <w:instrText xml:space="preserve"> PAGEREF _Toc418000109 \h </w:instrText>
            </w:r>
            <w:r w:rsidR="00F85511">
              <w:rPr>
                <w:noProof/>
                <w:webHidden/>
              </w:rPr>
            </w:r>
            <w:r w:rsidR="00F85511">
              <w:rPr>
                <w:noProof/>
                <w:webHidden/>
              </w:rPr>
              <w:fldChar w:fldCharType="separate"/>
            </w:r>
            <w:r w:rsidR="00F85511">
              <w:rPr>
                <w:noProof/>
                <w:webHidden/>
              </w:rPr>
              <w:t>4</w:t>
            </w:r>
            <w:r w:rsidR="00F85511">
              <w:rPr>
                <w:noProof/>
                <w:webHidden/>
              </w:rPr>
              <w:fldChar w:fldCharType="end"/>
            </w:r>
          </w:hyperlink>
        </w:p>
        <w:p w14:paraId="7CAE6419" w14:textId="77777777" w:rsidR="00F85511" w:rsidRDefault="00F2158B">
          <w:pPr>
            <w:pStyle w:val="Innehll1"/>
            <w:tabs>
              <w:tab w:val="left" w:pos="440"/>
              <w:tab w:val="right" w:leader="dot" w:pos="9062"/>
            </w:tabs>
            <w:rPr>
              <w:rFonts w:asciiTheme="minorHAnsi" w:eastAsiaTheme="minorEastAsia" w:hAnsiTheme="minorHAnsi" w:cstheme="minorBidi"/>
              <w:noProof/>
              <w:lang w:eastAsia="sv-SE"/>
            </w:rPr>
          </w:pPr>
          <w:hyperlink w:anchor="_Toc418000110" w:history="1">
            <w:r w:rsidR="00F85511" w:rsidRPr="00857EA9">
              <w:rPr>
                <w:rStyle w:val="Hyperlnk"/>
                <w:noProof/>
              </w:rPr>
              <w:t>4.</w:t>
            </w:r>
            <w:r w:rsidR="00F85511">
              <w:rPr>
                <w:rFonts w:asciiTheme="minorHAnsi" w:eastAsiaTheme="minorEastAsia" w:hAnsiTheme="minorHAnsi" w:cstheme="minorBidi"/>
                <w:noProof/>
                <w:lang w:eastAsia="sv-SE"/>
              </w:rPr>
              <w:tab/>
            </w:r>
            <w:r w:rsidR="00F85511" w:rsidRPr="00857EA9">
              <w:rPr>
                <w:rStyle w:val="Hyperlnk"/>
                <w:noProof/>
              </w:rPr>
              <w:t>New draft design of a commemorative 2 euro coin submitted by Belgium</w:t>
            </w:r>
            <w:r w:rsidR="00F85511">
              <w:rPr>
                <w:noProof/>
                <w:webHidden/>
              </w:rPr>
              <w:tab/>
            </w:r>
            <w:r w:rsidR="00F85511">
              <w:rPr>
                <w:noProof/>
                <w:webHidden/>
              </w:rPr>
              <w:fldChar w:fldCharType="begin"/>
            </w:r>
            <w:r w:rsidR="00F85511">
              <w:rPr>
                <w:noProof/>
                <w:webHidden/>
              </w:rPr>
              <w:instrText xml:space="preserve"> PAGEREF _Toc418000110 \h </w:instrText>
            </w:r>
            <w:r w:rsidR="00F85511">
              <w:rPr>
                <w:noProof/>
                <w:webHidden/>
              </w:rPr>
            </w:r>
            <w:r w:rsidR="00F85511">
              <w:rPr>
                <w:noProof/>
                <w:webHidden/>
              </w:rPr>
              <w:fldChar w:fldCharType="separate"/>
            </w:r>
            <w:r w:rsidR="00F85511">
              <w:rPr>
                <w:noProof/>
                <w:webHidden/>
              </w:rPr>
              <w:t>4</w:t>
            </w:r>
            <w:r w:rsidR="00F85511">
              <w:rPr>
                <w:noProof/>
                <w:webHidden/>
              </w:rPr>
              <w:fldChar w:fldCharType="end"/>
            </w:r>
          </w:hyperlink>
        </w:p>
        <w:p w14:paraId="494317A1" w14:textId="77777777" w:rsidR="00F85511" w:rsidRDefault="00F2158B">
          <w:pPr>
            <w:pStyle w:val="Innehll1"/>
            <w:tabs>
              <w:tab w:val="left" w:pos="440"/>
              <w:tab w:val="right" w:leader="dot" w:pos="9062"/>
            </w:tabs>
            <w:rPr>
              <w:rFonts w:asciiTheme="minorHAnsi" w:eastAsiaTheme="minorEastAsia" w:hAnsiTheme="minorHAnsi" w:cstheme="minorBidi"/>
              <w:noProof/>
              <w:lang w:eastAsia="sv-SE"/>
            </w:rPr>
          </w:pPr>
          <w:hyperlink w:anchor="_Toc418000111" w:history="1">
            <w:r w:rsidR="00F85511" w:rsidRPr="00857EA9">
              <w:rPr>
                <w:rStyle w:val="Hyperlnk"/>
                <w:noProof/>
              </w:rPr>
              <w:t>5.</w:t>
            </w:r>
            <w:r w:rsidR="00F85511">
              <w:rPr>
                <w:rFonts w:asciiTheme="minorHAnsi" w:eastAsiaTheme="minorEastAsia" w:hAnsiTheme="minorHAnsi" w:cstheme="minorBidi"/>
                <w:noProof/>
                <w:lang w:eastAsia="sv-SE"/>
              </w:rPr>
              <w:tab/>
            </w:r>
            <w:r w:rsidR="00F85511" w:rsidRPr="00857EA9">
              <w:rPr>
                <w:rStyle w:val="Hyperlnk"/>
                <w:noProof/>
              </w:rPr>
              <w:t>Enlargement: Accession negotiations with Serbia</w:t>
            </w:r>
            <w:r w:rsidR="00F85511">
              <w:rPr>
                <w:noProof/>
                <w:webHidden/>
              </w:rPr>
              <w:tab/>
            </w:r>
            <w:r w:rsidR="00F85511">
              <w:rPr>
                <w:noProof/>
                <w:webHidden/>
              </w:rPr>
              <w:fldChar w:fldCharType="begin"/>
            </w:r>
            <w:r w:rsidR="00F85511">
              <w:rPr>
                <w:noProof/>
                <w:webHidden/>
              </w:rPr>
              <w:instrText xml:space="preserve"> PAGEREF _Toc418000111 \h </w:instrText>
            </w:r>
            <w:r w:rsidR="00F85511">
              <w:rPr>
                <w:noProof/>
                <w:webHidden/>
              </w:rPr>
            </w:r>
            <w:r w:rsidR="00F85511">
              <w:rPr>
                <w:noProof/>
                <w:webHidden/>
              </w:rPr>
              <w:fldChar w:fldCharType="separate"/>
            </w:r>
            <w:r w:rsidR="00F85511">
              <w:rPr>
                <w:noProof/>
                <w:webHidden/>
              </w:rPr>
              <w:t>4</w:t>
            </w:r>
            <w:r w:rsidR="00F85511">
              <w:rPr>
                <w:noProof/>
                <w:webHidden/>
              </w:rPr>
              <w:fldChar w:fldCharType="end"/>
            </w:r>
          </w:hyperlink>
        </w:p>
        <w:p w14:paraId="2DEE61C4" w14:textId="77777777" w:rsidR="00F85511" w:rsidRDefault="00F2158B">
          <w:pPr>
            <w:pStyle w:val="Innehll1"/>
            <w:tabs>
              <w:tab w:val="left" w:pos="440"/>
              <w:tab w:val="right" w:leader="dot" w:pos="9062"/>
            </w:tabs>
            <w:rPr>
              <w:rFonts w:asciiTheme="minorHAnsi" w:eastAsiaTheme="minorEastAsia" w:hAnsiTheme="minorHAnsi" w:cstheme="minorBidi"/>
              <w:noProof/>
              <w:lang w:eastAsia="sv-SE"/>
            </w:rPr>
          </w:pPr>
          <w:hyperlink w:anchor="_Toc418000112" w:history="1">
            <w:r w:rsidR="00F85511" w:rsidRPr="00857EA9">
              <w:rPr>
                <w:rStyle w:val="Hyperlnk"/>
                <w:noProof/>
              </w:rPr>
              <w:t>6.</w:t>
            </w:r>
            <w:r w:rsidR="00F85511">
              <w:rPr>
                <w:rFonts w:asciiTheme="minorHAnsi" w:eastAsiaTheme="minorEastAsia" w:hAnsiTheme="minorHAnsi" w:cstheme="minorBidi"/>
                <w:noProof/>
                <w:lang w:eastAsia="sv-SE"/>
              </w:rPr>
              <w:tab/>
            </w:r>
            <w:r w:rsidR="00F85511" w:rsidRPr="00857EA9">
              <w:rPr>
                <w:rStyle w:val="Hyperlnk"/>
                <w:noProof/>
              </w:rPr>
              <w:t>Enlargement: Accession negotiations with Serbia</w:t>
            </w:r>
            <w:r w:rsidR="00F85511">
              <w:rPr>
                <w:noProof/>
                <w:webHidden/>
              </w:rPr>
              <w:tab/>
            </w:r>
            <w:r w:rsidR="00F85511">
              <w:rPr>
                <w:noProof/>
                <w:webHidden/>
              </w:rPr>
              <w:fldChar w:fldCharType="begin"/>
            </w:r>
            <w:r w:rsidR="00F85511">
              <w:rPr>
                <w:noProof/>
                <w:webHidden/>
              </w:rPr>
              <w:instrText xml:space="preserve"> PAGEREF _Toc418000112 \h </w:instrText>
            </w:r>
            <w:r w:rsidR="00F85511">
              <w:rPr>
                <w:noProof/>
                <w:webHidden/>
              </w:rPr>
            </w:r>
            <w:r w:rsidR="00F85511">
              <w:rPr>
                <w:noProof/>
                <w:webHidden/>
              </w:rPr>
              <w:fldChar w:fldCharType="separate"/>
            </w:r>
            <w:r w:rsidR="00F85511">
              <w:rPr>
                <w:noProof/>
                <w:webHidden/>
              </w:rPr>
              <w:t>5</w:t>
            </w:r>
            <w:r w:rsidR="00F85511">
              <w:rPr>
                <w:noProof/>
                <w:webHidden/>
              </w:rPr>
              <w:fldChar w:fldCharType="end"/>
            </w:r>
          </w:hyperlink>
        </w:p>
        <w:p w14:paraId="2D2973B9" w14:textId="77777777" w:rsidR="00F85511" w:rsidRDefault="00F2158B">
          <w:pPr>
            <w:pStyle w:val="Innehll1"/>
            <w:tabs>
              <w:tab w:val="left" w:pos="440"/>
              <w:tab w:val="right" w:leader="dot" w:pos="9062"/>
            </w:tabs>
            <w:rPr>
              <w:rFonts w:asciiTheme="minorHAnsi" w:eastAsiaTheme="minorEastAsia" w:hAnsiTheme="minorHAnsi" w:cstheme="minorBidi"/>
              <w:noProof/>
              <w:lang w:eastAsia="sv-SE"/>
            </w:rPr>
          </w:pPr>
          <w:hyperlink w:anchor="_Toc418000113" w:history="1">
            <w:r w:rsidR="00F85511" w:rsidRPr="00857EA9">
              <w:rPr>
                <w:rStyle w:val="Hyperlnk"/>
                <w:noProof/>
              </w:rPr>
              <w:t>7.</w:t>
            </w:r>
            <w:r w:rsidR="00F85511">
              <w:rPr>
                <w:rFonts w:asciiTheme="minorHAnsi" w:eastAsiaTheme="minorEastAsia" w:hAnsiTheme="minorHAnsi" w:cstheme="minorBidi"/>
                <w:noProof/>
                <w:lang w:eastAsia="sv-SE"/>
              </w:rPr>
              <w:tab/>
            </w:r>
            <w:r w:rsidR="00F85511" w:rsidRPr="00857EA9">
              <w:rPr>
                <w:rStyle w:val="Hyperlnk"/>
                <w:noProof/>
              </w:rPr>
              <w:t>Initiative to Promote Fundamental Labour Rights and Practices in Myanmar/Burma</w:t>
            </w:r>
            <w:r w:rsidR="00F85511">
              <w:rPr>
                <w:noProof/>
                <w:webHidden/>
              </w:rPr>
              <w:tab/>
            </w:r>
            <w:r w:rsidR="00F85511">
              <w:rPr>
                <w:noProof/>
                <w:webHidden/>
              </w:rPr>
              <w:fldChar w:fldCharType="begin"/>
            </w:r>
            <w:r w:rsidR="00F85511">
              <w:rPr>
                <w:noProof/>
                <w:webHidden/>
              </w:rPr>
              <w:instrText xml:space="preserve"> PAGEREF _Toc418000113 \h </w:instrText>
            </w:r>
            <w:r w:rsidR="00F85511">
              <w:rPr>
                <w:noProof/>
                <w:webHidden/>
              </w:rPr>
            </w:r>
            <w:r w:rsidR="00F85511">
              <w:rPr>
                <w:noProof/>
                <w:webHidden/>
              </w:rPr>
              <w:fldChar w:fldCharType="separate"/>
            </w:r>
            <w:r w:rsidR="00F85511">
              <w:rPr>
                <w:noProof/>
                <w:webHidden/>
              </w:rPr>
              <w:t>5</w:t>
            </w:r>
            <w:r w:rsidR="00F85511">
              <w:rPr>
                <w:noProof/>
                <w:webHidden/>
              </w:rPr>
              <w:fldChar w:fldCharType="end"/>
            </w:r>
          </w:hyperlink>
        </w:p>
        <w:p w14:paraId="2A4939AE" w14:textId="77777777" w:rsidR="00F85511" w:rsidRDefault="00F2158B">
          <w:pPr>
            <w:pStyle w:val="Innehll1"/>
            <w:tabs>
              <w:tab w:val="left" w:pos="440"/>
              <w:tab w:val="right" w:leader="dot" w:pos="9062"/>
            </w:tabs>
            <w:rPr>
              <w:rFonts w:asciiTheme="minorHAnsi" w:eastAsiaTheme="minorEastAsia" w:hAnsiTheme="minorHAnsi" w:cstheme="minorBidi"/>
              <w:noProof/>
              <w:lang w:eastAsia="sv-SE"/>
            </w:rPr>
          </w:pPr>
          <w:hyperlink w:anchor="_Toc418000114" w:history="1">
            <w:r w:rsidR="00F85511" w:rsidRPr="00857EA9">
              <w:rPr>
                <w:rStyle w:val="Hyperlnk"/>
                <w:noProof/>
              </w:rPr>
              <w:t>8.</w:t>
            </w:r>
            <w:r w:rsidR="00F85511">
              <w:rPr>
                <w:rFonts w:asciiTheme="minorHAnsi" w:eastAsiaTheme="minorEastAsia" w:hAnsiTheme="minorHAnsi" w:cstheme="minorBidi"/>
                <w:noProof/>
                <w:lang w:eastAsia="sv-SE"/>
              </w:rPr>
              <w:tab/>
            </w:r>
            <w:r w:rsidR="00F85511" w:rsidRPr="00857EA9">
              <w:rPr>
                <w:rStyle w:val="Hyperlnk"/>
                <w:noProof/>
              </w:rPr>
              <w:t>a)Council Decision on the signing, on behalf of the European Union, and provisional application of the Agreement between the European Union and Saint Lucia, the Commonwealth of Dominica, Grenada, Saint Vincent and the Grenadines, the Republic of Vanuatu, the Democratic Republic of Timor-Leste, the Independent State of Samoa and the Republic of Trinidad and Tobago on the short-stay visa waiver –Adoption b)Council Decision on the conclusion of the Agreement between the European Union and Saint Lucia, the Commonwealth of Dominica, Grenada, Saint Vincent and the Grenadines, the Republic of Vanuatu, the Democratic Republic of Timor-Leste, the Independent State of Samoa and the Republic of Trinidad and Tobago on the short-stay visa waiver –Request by the Council for the consent of the EP</w:t>
            </w:r>
            <w:r w:rsidR="00F85511">
              <w:rPr>
                <w:noProof/>
                <w:webHidden/>
              </w:rPr>
              <w:tab/>
            </w:r>
            <w:r w:rsidR="00F85511">
              <w:rPr>
                <w:noProof/>
                <w:webHidden/>
              </w:rPr>
              <w:fldChar w:fldCharType="begin"/>
            </w:r>
            <w:r w:rsidR="00F85511">
              <w:rPr>
                <w:noProof/>
                <w:webHidden/>
              </w:rPr>
              <w:instrText xml:space="preserve"> PAGEREF _Toc418000114 \h </w:instrText>
            </w:r>
            <w:r w:rsidR="00F85511">
              <w:rPr>
                <w:noProof/>
                <w:webHidden/>
              </w:rPr>
            </w:r>
            <w:r w:rsidR="00F85511">
              <w:rPr>
                <w:noProof/>
                <w:webHidden/>
              </w:rPr>
              <w:fldChar w:fldCharType="separate"/>
            </w:r>
            <w:r w:rsidR="00F85511">
              <w:rPr>
                <w:noProof/>
                <w:webHidden/>
              </w:rPr>
              <w:t>6</w:t>
            </w:r>
            <w:r w:rsidR="00F85511">
              <w:rPr>
                <w:noProof/>
                <w:webHidden/>
              </w:rPr>
              <w:fldChar w:fldCharType="end"/>
            </w:r>
          </w:hyperlink>
        </w:p>
        <w:p w14:paraId="563687E6" w14:textId="77777777" w:rsidR="00F85511" w:rsidRDefault="00F2158B">
          <w:pPr>
            <w:pStyle w:val="Innehll1"/>
            <w:tabs>
              <w:tab w:val="left" w:pos="440"/>
              <w:tab w:val="right" w:leader="dot" w:pos="9062"/>
            </w:tabs>
            <w:rPr>
              <w:rFonts w:asciiTheme="minorHAnsi" w:eastAsiaTheme="minorEastAsia" w:hAnsiTheme="minorHAnsi" w:cstheme="minorBidi"/>
              <w:noProof/>
              <w:lang w:eastAsia="sv-SE"/>
            </w:rPr>
          </w:pPr>
          <w:hyperlink w:anchor="_Toc418000115" w:history="1">
            <w:r w:rsidR="00F85511" w:rsidRPr="00857EA9">
              <w:rPr>
                <w:rStyle w:val="Hyperlnk"/>
                <w:noProof/>
              </w:rPr>
              <w:t>9.</w:t>
            </w:r>
            <w:r w:rsidR="00F85511">
              <w:rPr>
                <w:rFonts w:asciiTheme="minorHAnsi" w:eastAsiaTheme="minorEastAsia" w:hAnsiTheme="minorHAnsi" w:cstheme="minorBidi"/>
                <w:noProof/>
                <w:lang w:eastAsia="sv-SE"/>
              </w:rPr>
              <w:tab/>
            </w:r>
            <w:r w:rsidR="00F85511" w:rsidRPr="00857EA9">
              <w:rPr>
                <w:rStyle w:val="Hyperlnk"/>
                <w:noProof/>
              </w:rPr>
              <w:t>Approval of the re-election of the President of the College of Eurojust</w:t>
            </w:r>
            <w:r w:rsidR="00F85511">
              <w:rPr>
                <w:noProof/>
                <w:webHidden/>
              </w:rPr>
              <w:tab/>
            </w:r>
            <w:r w:rsidR="00F85511">
              <w:rPr>
                <w:noProof/>
                <w:webHidden/>
              </w:rPr>
              <w:fldChar w:fldCharType="begin"/>
            </w:r>
            <w:r w:rsidR="00F85511">
              <w:rPr>
                <w:noProof/>
                <w:webHidden/>
              </w:rPr>
              <w:instrText xml:space="preserve"> PAGEREF _Toc418000115 \h </w:instrText>
            </w:r>
            <w:r w:rsidR="00F85511">
              <w:rPr>
                <w:noProof/>
                <w:webHidden/>
              </w:rPr>
            </w:r>
            <w:r w:rsidR="00F85511">
              <w:rPr>
                <w:noProof/>
                <w:webHidden/>
              </w:rPr>
              <w:fldChar w:fldCharType="separate"/>
            </w:r>
            <w:r w:rsidR="00F85511">
              <w:rPr>
                <w:noProof/>
                <w:webHidden/>
              </w:rPr>
              <w:t>7</w:t>
            </w:r>
            <w:r w:rsidR="00F85511">
              <w:rPr>
                <w:noProof/>
                <w:webHidden/>
              </w:rPr>
              <w:fldChar w:fldCharType="end"/>
            </w:r>
          </w:hyperlink>
        </w:p>
        <w:p w14:paraId="05086B88" w14:textId="77777777" w:rsidR="00F85511" w:rsidRDefault="00F2158B">
          <w:pPr>
            <w:pStyle w:val="Innehll1"/>
            <w:tabs>
              <w:tab w:val="left" w:pos="660"/>
              <w:tab w:val="right" w:leader="dot" w:pos="9062"/>
            </w:tabs>
            <w:rPr>
              <w:rFonts w:asciiTheme="minorHAnsi" w:eastAsiaTheme="minorEastAsia" w:hAnsiTheme="minorHAnsi" w:cstheme="minorBidi"/>
              <w:noProof/>
              <w:lang w:eastAsia="sv-SE"/>
            </w:rPr>
          </w:pPr>
          <w:hyperlink w:anchor="_Toc418000116" w:history="1">
            <w:r w:rsidR="00F85511" w:rsidRPr="00857EA9">
              <w:rPr>
                <w:rStyle w:val="Hyperlnk"/>
                <w:noProof/>
              </w:rPr>
              <w:t>10.</w:t>
            </w:r>
            <w:r w:rsidR="00F85511">
              <w:rPr>
                <w:rFonts w:asciiTheme="minorHAnsi" w:eastAsiaTheme="minorEastAsia" w:hAnsiTheme="minorHAnsi" w:cstheme="minorBidi"/>
                <w:noProof/>
                <w:lang w:eastAsia="sv-SE"/>
              </w:rPr>
              <w:tab/>
            </w:r>
            <w:r w:rsidR="00F85511" w:rsidRPr="00857EA9">
              <w:rPr>
                <w:rStyle w:val="Hyperlnk"/>
                <w:noProof/>
              </w:rPr>
              <w:t>Appeal against the judgments of the General Court of 19 March 2015 in Cases T-412/13 and T-413/13 (Dumping – Imports of bicycles – Circumvention)</w:t>
            </w:r>
            <w:r w:rsidR="00F85511">
              <w:rPr>
                <w:noProof/>
                <w:webHidden/>
              </w:rPr>
              <w:tab/>
            </w:r>
            <w:r w:rsidR="00F85511">
              <w:rPr>
                <w:noProof/>
                <w:webHidden/>
              </w:rPr>
              <w:fldChar w:fldCharType="begin"/>
            </w:r>
            <w:r w:rsidR="00F85511">
              <w:rPr>
                <w:noProof/>
                <w:webHidden/>
              </w:rPr>
              <w:instrText xml:space="preserve"> PAGEREF _Toc418000116 \h </w:instrText>
            </w:r>
            <w:r w:rsidR="00F85511">
              <w:rPr>
                <w:noProof/>
                <w:webHidden/>
              </w:rPr>
            </w:r>
            <w:r w:rsidR="00F85511">
              <w:rPr>
                <w:noProof/>
                <w:webHidden/>
              </w:rPr>
              <w:fldChar w:fldCharType="separate"/>
            </w:r>
            <w:r w:rsidR="00F85511">
              <w:rPr>
                <w:noProof/>
                <w:webHidden/>
              </w:rPr>
              <w:t>7</w:t>
            </w:r>
            <w:r w:rsidR="00F85511">
              <w:rPr>
                <w:noProof/>
                <w:webHidden/>
              </w:rPr>
              <w:fldChar w:fldCharType="end"/>
            </w:r>
          </w:hyperlink>
        </w:p>
        <w:p w14:paraId="5BA2A972" w14:textId="77777777" w:rsidR="00D957FB" w:rsidRDefault="004C71A4">
          <w:r>
            <w:rPr>
              <w:b/>
              <w:bCs/>
              <w:noProof/>
            </w:rPr>
            <w:fldChar w:fldCharType="end"/>
          </w:r>
        </w:p>
      </w:sdtContent>
    </w:sdt>
    <w:p w14:paraId="5BA2A973" w14:textId="77777777" w:rsidR="00D957FB" w:rsidRDefault="004C71A4">
      <w:pPr>
        <w:ind w:left="0"/>
      </w:pPr>
      <w:r>
        <w:br w:type="page"/>
      </w:r>
    </w:p>
    <w:p w14:paraId="5BA2A974" w14:textId="77777777" w:rsidR="00643D86" w:rsidRDefault="00F2158B" w:rsidP="00643D86">
      <w:pPr>
        <w:pStyle w:val="Rubrik1"/>
        <w:numPr>
          <w:ilvl w:val="0"/>
          <w:numId w:val="0"/>
        </w:numPr>
      </w:pPr>
      <w:bookmarkStart w:id="1" w:name="_Toc364854645"/>
    </w:p>
    <w:p w14:paraId="5BA2A989" w14:textId="77777777" w:rsidR="00643D86" w:rsidRDefault="004C71A4" w:rsidP="00643D86">
      <w:pPr>
        <w:pStyle w:val="Rubrik1"/>
      </w:pPr>
      <w:bookmarkStart w:id="2" w:name="_Toc418000107"/>
      <w:r>
        <w:rPr>
          <w:noProof/>
        </w:rPr>
        <w:t>Case before the Court of Justice of the European Union (C-72/15 (Rosneft))</w:t>
      </w:r>
      <w:bookmarkEnd w:id="2"/>
    </w:p>
    <w:p w14:paraId="6BE29600" w14:textId="77777777" w:rsidR="00AB08BA" w:rsidRDefault="004C71A4" w:rsidP="00643D86">
      <w:pPr>
        <w:rPr>
          <w:lang w:val="en-US"/>
        </w:rPr>
      </w:pPr>
      <w:r>
        <w:rPr>
          <w:noProof/>
          <w:lang w:val="en-US"/>
        </w:rPr>
        <w:t>–</w:t>
      </w:r>
      <w:r>
        <w:rPr>
          <w:lang w:val="en-US"/>
        </w:rPr>
        <w:t>Reference for a preliminary ruling from the High Court of Justice (England &amp;amp; Wales), Queen's Bench Division (Divisional Court) (United Kingdom)</w:t>
      </w:r>
    </w:p>
    <w:p w14:paraId="5BA2A98A" w14:textId="4343481A" w:rsidR="00643D86" w:rsidRDefault="004C71A4" w:rsidP="00643D86">
      <w:pPr>
        <w:rPr>
          <w:lang w:val="en-US"/>
        </w:rPr>
      </w:pPr>
      <w:r>
        <w:rPr>
          <w:noProof/>
          <w:lang w:val="en-US"/>
        </w:rPr>
        <w:t>8069</w:t>
      </w:r>
      <w:r>
        <w:rPr>
          <w:lang w:val="en-US"/>
        </w:rPr>
        <w:t>/15 JUR 261 RELEX 305 CFSP/PESC 60 COEST 119</w:t>
      </w:r>
    </w:p>
    <w:p w14:paraId="5BA2A98B" w14:textId="77777777" w:rsidR="00643D86" w:rsidRDefault="004C71A4" w:rsidP="00643D86">
      <w:r>
        <w:rPr>
          <w:b/>
        </w:rPr>
        <w:t>Ansvarigt statsråd</w:t>
      </w:r>
      <w:r>
        <w:rPr>
          <w:b/>
        </w:rPr>
        <w:br/>
      </w:r>
      <w:r>
        <w:rPr>
          <w:noProof/>
        </w:rPr>
        <w:t>Margot Wallström</w:t>
      </w:r>
    </w:p>
    <w:p w14:paraId="5BA2A98E" w14:textId="77777777" w:rsidR="00643D86" w:rsidRDefault="004C71A4" w:rsidP="00643D86">
      <w:r w:rsidRPr="00B44CE2">
        <w:rPr>
          <w:b/>
        </w:rPr>
        <w:t>Annotering</w:t>
      </w:r>
      <w:r>
        <w:rPr>
          <w:b/>
        </w:rPr>
        <w:br/>
      </w:r>
      <w:r>
        <w:rPr>
          <w:b/>
          <w:bCs/>
        </w:rPr>
        <w:t xml:space="preserve">Avsikt med behandlingen i rådet: </w:t>
      </w:r>
      <w:r>
        <w:t xml:space="preserve">Information om ett mål vid EU-domstolen där rådet har utsett ombud.   </w:t>
      </w:r>
    </w:p>
    <w:p w14:paraId="5BA2A98F" w14:textId="77777777" w:rsidR="001D336F" w:rsidRDefault="004C71A4">
      <w:pPr>
        <w:spacing w:after="280" w:afterAutospacing="1"/>
      </w:pPr>
      <w:r>
        <w:rPr>
          <w:b/>
          <w:bCs/>
        </w:rPr>
        <w:t>Hur regeringen ställer sig till den blivande A-punkten:</w:t>
      </w:r>
      <w:r>
        <w:t xml:space="preserve"> Regeringen har ingen erinran mot denna informationspunkt. </w:t>
      </w:r>
    </w:p>
    <w:p w14:paraId="5BA2A991" w14:textId="0EB557D4" w:rsidR="00FB32B9" w:rsidRDefault="004C71A4">
      <w:pPr>
        <w:spacing w:after="280" w:afterAutospacing="1"/>
        <w:rPr>
          <w:noProof/>
        </w:rPr>
      </w:pPr>
      <w:r>
        <w:rPr>
          <w:b/>
          <w:bCs/>
        </w:rPr>
        <w:t>Bakgrund:</w:t>
      </w:r>
      <w:r>
        <w:t xml:space="preserve"> Målet rör en begäran om förhandsavgörande från UK där den nationella domstolen har ställt frågor angående giltigheten och tolkningen av rådets beslut 2014/512/Gusp och rådets förordning 833/2014 av den 31 juli 2014 om restriktiva åtgärder mot bakgrund av Rysslands åtgärder som destabiliserar situationen i Ukraina.</w:t>
      </w:r>
    </w:p>
    <w:p w14:paraId="5BA2A992" w14:textId="77777777" w:rsidR="00643D86" w:rsidRDefault="004C71A4" w:rsidP="00643D86">
      <w:pPr>
        <w:pStyle w:val="Rubrik1"/>
      </w:pPr>
      <w:bookmarkStart w:id="3" w:name="_Toc418000108"/>
      <w:r>
        <w:rPr>
          <w:noProof/>
        </w:rPr>
        <w:t>Judgment of the Court of Justice of 14 April 2015 in Case C-409/13 (Council of the European Union, supported by Czech Republic, Federal Republic of Germany, Kingdom of Spain, French Republic, Italian Republic, Kingdom of the Netherlands, Slovak Republic, Republic of Finland, Kingdom of Sweden and United Kingdom of Great Britain and Northern Ireland, interveners, against European Commission)</w:t>
      </w:r>
      <w:bookmarkEnd w:id="3"/>
    </w:p>
    <w:p w14:paraId="0757FDEA" w14:textId="77777777" w:rsidR="00AB08BA" w:rsidRDefault="004C71A4" w:rsidP="00643D86">
      <w:pPr>
        <w:rPr>
          <w:lang w:val="en-US"/>
        </w:rPr>
      </w:pPr>
      <w:r>
        <w:rPr>
          <w:noProof/>
          <w:lang w:val="en-US"/>
        </w:rPr>
        <w:t>–</w:t>
      </w:r>
      <w:r>
        <w:rPr>
          <w:lang w:val="en-US"/>
        </w:rPr>
        <w:t>Information note to Permanent Representatives Committee (Part 2)</w:t>
      </w:r>
    </w:p>
    <w:p w14:paraId="5BA2A993" w14:textId="60FB8582" w:rsidR="00643D86" w:rsidRDefault="004C71A4" w:rsidP="00643D86">
      <w:pPr>
        <w:rPr>
          <w:lang w:val="en-US"/>
        </w:rPr>
      </w:pPr>
      <w:r>
        <w:rPr>
          <w:noProof/>
          <w:lang w:val="en-US"/>
        </w:rPr>
        <w:t>8264</w:t>
      </w:r>
      <w:r>
        <w:rPr>
          <w:lang w:val="en-US"/>
        </w:rPr>
        <w:t>/15 JUR 271 ECOFIN 264 CODEC 587 NIS 16 COEST 123 RELEX 321</w:t>
      </w:r>
    </w:p>
    <w:p w14:paraId="5BA2A994" w14:textId="77777777" w:rsidR="00643D86" w:rsidRDefault="004C71A4" w:rsidP="00643D86">
      <w:r>
        <w:rPr>
          <w:b/>
        </w:rPr>
        <w:t>Ansvarigt statsråd</w:t>
      </w:r>
      <w:r>
        <w:rPr>
          <w:b/>
        </w:rPr>
        <w:br/>
      </w:r>
      <w:r>
        <w:rPr>
          <w:noProof/>
        </w:rPr>
        <w:t>Margot Wallström</w:t>
      </w:r>
    </w:p>
    <w:p w14:paraId="5BA2A997" w14:textId="77777777" w:rsidR="00643D86" w:rsidRDefault="004C71A4" w:rsidP="00643D86">
      <w:r w:rsidRPr="00B44CE2">
        <w:rPr>
          <w:b/>
        </w:rPr>
        <w:t>Annotering</w:t>
      </w:r>
      <w:r>
        <w:rPr>
          <w:b/>
        </w:rPr>
        <w:br/>
      </w:r>
      <w:r>
        <w:rPr>
          <w:b/>
          <w:bCs/>
        </w:rPr>
        <w:t xml:space="preserve">Avsikt med behandlingen i rådet: </w:t>
      </w:r>
      <w:r>
        <w:t xml:space="preserve">Information om EU-domstolens dom i mål C-409/13. </w:t>
      </w:r>
    </w:p>
    <w:p w14:paraId="5BA2A998" w14:textId="77777777" w:rsidR="001D336F" w:rsidRDefault="004C71A4">
      <w:pPr>
        <w:spacing w:after="280" w:afterAutospacing="1"/>
      </w:pPr>
      <w:r>
        <w:rPr>
          <w:b/>
          <w:bCs/>
        </w:rPr>
        <w:t>Hur regeringen ställer sig till den blivande A-punkten:</w:t>
      </w:r>
      <w:r>
        <w:t xml:space="preserve"> Regeringen har ingen erinran mot denna informationspunkt. </w:t>
      </w:r>
    </w:p>
    <w:p w14:paraId="5BA2A99A" w14:textId="107646E5" w:rsidR="00FB32B9" w:rsidRDefault="004C71A4">
      <w:pPr>
        <w:spacing w:after="280" w:afterAutospacing="1"/>
        <w:rPr>
          <w:noProof/>
        </w:rPr>
      </w:pPr>
      <w:r>
        <w:rPr>
          <w:b/>
          <w:bCs/>
        </w:rPr>
        <w:t xml:space="preserve">Bakgrund: </w:t>
      </w:r>
      <w:r>
        <w:t>Målet vid EU-domstolen avsåg</w:t>
      </w:r>
      <w:r>
        <w:rPr>
          <w:b/>
          <w:bCs/>
        </w:rPr>
        <w:t xml:space="preserve"> </w:t>
      </w:r>
      <w:r>
        <w:t xml:space="preserve">en talan från rådet om ogiltigförklaring av kommissionens beslut av den 8 maj 2013 att återkalla förslaget till ramförordning om allmänna bestämmelser för makroekonomiskt stöd till tredjeländer. Förslaget återkallades samma dag som det sista trepartsmötet, då Europaparlamentet och rådet skulle formalisera sin principöverenskommelse om förslaget, vilket innebar att akten inte kunde antas. I sin talan framhöll rådet att en absolut skönsmässig befogenhet för kommissionen att återkalla ett lagstiftningsförslag varje gång den är oense om lagstiftarens ändringsförslag skulle vara detsamma som att bevilja kommissionen en omotiverad möjlighet att utöva påtryckning på </w:t>
      </w:r>
      <w:r>
        <w:lastRenderedPageBreak/>
        <w:t>lagstiftningsarbetet samt en vetorätt vid utarbetandet av lagar. Genom domen ogillade EU-domstolen rådets talan.</w:t>
      </w:r>
    </w:p>
    <w:p w14:paraId="5BA2A99B" w14:textId="77777777" w:rsidR="00643D86" w:rsidRDefault="004C71A4" w:rsidP="00643D86">
      <w:pPr>
        <w:pStyle w:val="Rubrik1"/>
      </w:pPr>
      <w:bookmarkStart w:id="4" w:name="_Toc418000109"/>
      <w:r>
        <w:rPr>
          <w:noProof/>
        </w:rPr>
        <w:t>Case before the Court of Justice (Opinion 1/15)</w:t>
      </w:r>
      <w:r>
        <w:rPr>
          <w:noProof/>
        </w:rPr>
        <w:br/>
        <w:t>–Request by the European Parliament for an opinion pursuant to Article 218(11) TFEU on the compatibility with the treaties of the proposed agreement between Canada and the European Union on the transfer and processing of Passenger Name Record data</w:t>
      </w:r>
      <w:bookmarkEnd w:id="4"/>
    </w:p>
    <w:p w14:paraId="273C461D" w14:textId="77777777" w:rsidR="00AB08BA" w:rsidRDefault="004C71A4" w:rsidP="00643D86">
      <w:pPr>
        <w:rPr>
          <w:lang w:val="en-US"/>
        </w:rPr>
      </w:pPr>
      <w:r>
        <w:rPr>
          <w:noProof/>
          <w:lang w:val="en-US"/>
        </w:rPr>
        <w:t>=</w:t>
      </w:r>
      <w:r>
        <w:rPr>
          <w:lang w:val="en-US"/>
        </w:rPr>
        <w:t>Authorisation to submit written observations on behalf of the Council</w:t>
      </w:r>
    </w:p>
    <w:p w14:paraId="5BA2A99C" w14:textId="01F11FEA" w:rsidR="00643D86" w:rsidRDefault="004C71A4" w:rsidP="00643D86">
      <w:pPr>
        <w:rPr>
          <w:lang w:val="en-US"/>
        </w:rPr>
      </w:pPr>
      <w:r>
        <w:rPr>
          <w:noProof/>
          <w:lang w:val="en-US"/>
        </w:rPr>
        <w:t>8289</w:t>
      </w:r>
      <w:r>
        <w:rPr>
          <w:lang w:val="en-US"/>
        </w:rPr>
        <w:t>/15 JUR 275 JAI 248 DATAPROTECT 57 AVIATION 51 RELEX 322CDN 3</w:t>
      </w:r>
    </w:p>
    <w:p w14:paraId="5BA2A99D" w14:textId="77777777" w:rsidR="00643D86" w:rsidRDefault="004C71A4" w:rsidP="00643D86">
      <w:r>
        <w:rPr>
          <w:b/>
        </w:rPr>
        <w:t>Ansvarigt statsråd</w:t>
      </w:r>
      <w:r>
        <w:rPr>
          <w:b/>
        </w:rPr>
        <w:br/>
      </w:r>
      <w:r>
        <w:rPr>
          <w:noProof/>
        </w:rPr>
        <w:t>Margot Wallström</w:t>
      </w:r>
    </w:p>
    <w:p w14:paraId="5BA2A9A0" w14:textId="77777777" w:rsidR="00643D86" w:rsidRDefault="004C71A4" w:rsidP="00643D86">
      <w:r w:rsidRPr="00B44CE2">
        <w:rPr>
          <w:b/>
        </w:rPr>
        <w:t>Annotering</w:t>
      </w:r>
      <w:r>
        <w:rPr>
          <w:b/>
        </w:rPr>
        <w:br/>
      </w:r>
      <w:r>
        <w:rPr>
          <w:b/>
          <w:bCs/>
        </w:rPr>
        <w:t>Avsikt med behandlingen i rådet:</w:t>
      </w:r>
      <w:r>
        <w:t xml:space="preserve"> Mål vid EU-domstolen där rådet föreslås godkänna att generaldirektören för rådets rättstjänst utser ombud som ska författa ett yttrande i målet för rådets räkning.  </w:t>
      </w:r>
    </w:p>
    <w:p w14:paraId="5BA2A9A1" w14:textId="77777777" w:rsidR="001D336F" w:rsidRDefault="004C71A4">
      <w:pPr>
        <w:spacing w:after="280" w:afterAutospacing="1"/>
      </w:pPr>
      <w:r>
        <w:rPr>
          <w:b/>
          <w:bCs/>
        </w:rPr>
        <w:t>Hur regeringen ställer sig till den blivande A-punkten:</w:t>
      </w:r>
      <w:r>
        <w:t xml:space="preserve"> Regeringen har inga invändningar mot att rådet yttrar sig i målet. </w:t>
      </w:r>
    </w:p>
    <w:p w14:paraId="5BA2A9A3" w14:textId="2854A4A5" w:rsidR="00FB32B9" w:rsidRDefault="004C71A4">
      <w:pPr>
        <w:spacing w:after="280" w:afterAutospacing="1"/>
        <w:rPr>
          <w:noProof/>
        </w:rPr>
      </w:pPr>
      <w:r>
        <w:rPr>
          <w:b/>
          <w:bCs/>
        </w:rPr>
        <w:t xml:space="preserve">Bakgrund: </w:t>
      </w:r>
      <w:r>
        <w:t>Målet avser en begäran från Europarlamentet om att EU-domstolen ska yttra sig över frågan om ett föreslaget avtal mellan EU och Kanada avseende överföring av passageraruppgifter är förenligt med fördragen.</w:t>
      </w:r>
    </w:p>
    <w:p w14:paraId="5BA2A9A4" w14:textId="77777777" w:rsidR="00643D86" w:rsidRDefault="004C71A4" w:rsidP="00643D86">
      <w:pPr>
        <w:pStyle w:val="Rubrik1"/>
      </w:pPr>
      <w:bookmarkStart w:id="5" w:name="_Toc418000110"/>
      <w:r>
        <w:rPr>
          <w:noProof/>
        </w:rPr>
        <w:t>New draft design of a commemorative 2 euro coin submitted by Belgium</w:t>
      </w:r>
      <w:bookmarkEnd w:id="5"/>
    </w:p>
    <w:p w14:paraId="5BA2A9A5" w14:textId="2711039D" w:rsidR="00643D86" w:rsidRDefault="004C71A4" w:rsidP="00643D86">
      <w:pPr>
        <w:rPr>
          <w:lang w:val="en-US"/>
        </w:rPr>
      </w:pPr>
      <w:r>
        <w:rPr>
          <w:noProof/>
          <w:lang w:val="en-US"/>
        </w:rPr>
        <w:t>8258</w:t>
      </w:r>
      <w:r>
        <w:rPr>
          <w:lang w:val="en-US"/>
        </w:rPr>
        <w:t>/15 ECOFIN 263 UEM 100</w:t>
      </w:r>
    </w:p>
    <w:p w14:paraId="5BA2A9A6" w14:textId="77777777" w:rsidR="00643D86" w:rsidRDefault="004C71A4" w:rsidP="00643D86">
      <w:r>
        <w:rPr>
          <w:b/>
        </w:rPr>
        <w:t>Ansvarigt statsråd</w:t>
      </w:r>
      <w:r>
        <w:rPr>
          <w:b/>
        </w:rPr>
        <w:br/>
      </w:r>
      <w:r>
        <w:rPr>
          <w:noProof/>
        </w:rPr>
        <w:t>Per Bolund</w:t>
      </w:r>
    </w:p>
    <w:p w14:paraId="5BA2A9A9" w14:textId="77777777" w:rsidR="00643D86" w:rsidRDefault="004C71A4" w:rsidP="00643D86">
      <w:r w:rsidRPr="00B44CE2">
        <w:rPr>
          <w:b/>
        </w:rPr>
        <w:t>Annotering</w:t>
      </w:r>
      <w:r>
        <w:rPr>
          <w:b/>
        </w:rPr>
        <w:br/>
      </w:r>
      <w:r>
        <w:t>Föranleder ingen annotering.</w:t>
      </w:r>
    </w:p>
    <w:p w14:paraId="5BA2A9AA" w14:textId="77777777" w:rsidR="00643D86" w:rsidRDefault="004C71A4" w:rsidP="00643D86">
      <w:pPr>
        <w:pStyle w:val="Rubrik1"/>
      </w:pPr>
      <w:bookmarkStart w:id="6" w:name="_Toc418000111"/>
      <w:r>
        <w:rPr>
          <w:noProof/>
        </w:rPr>
        <w:t>Enlargement: Accession negotiations with Serbia</w:t>
      </w:r>
      <w:bookmarkEnd w:id="6"/>
    </w:p>
    <w:p w14:paraId="2340C10A" w14:textId="77777777" w:rsidR="00AB08BA" w:rsidRDefault="004C71A4" w:rsidP="00643D86">
      <w:pPr>
        <w:rPr>
          <w:lang w:val="en-US"/>
        </w:rPr>
      </w:pPr>
      <w:r>
        <w:rPr>
          <w:noProof/>
          <w:lang w:val="en-US"/>
        </w:rPr>
        <w:t>–</w:t>
      </w:r>
      <w:r>
        <w:rPr>
          <w:lang w:val="en-US"/>
        </w:rPr>
        <w:t>Outcome of screening on Chapter 20: Enterprise and industrial policy</w:t>
      </w:r>
    </w:p>
    <w:p w14:paraId="5BA2A9AB" w14:textId="08FBD653" w:rsidR="00643D86" w:rsidRDefault="004C71A4" w:rsidP="00643D86">
      <w:pPr>
        <w:rPr>
          <w:lang w:val="en-US"/>
        </w:rPr>
      </w:pPr>
      <w:r>
        <w:rPr>
          <w:noProof/>
          <w:lang w:val="en-US"/>
        </w:rPr>
        <w:t>8143</w:t>
      </w:r>
      <w:r>
        <w:rPr>
          <w:lang w:val="en-US"/>
        </w:rPr>
        <w:t>/14 ELARG 18</w:t>
      </w:r>
    </w:p>
    <w:p w14:paraId="5BA2A9AC" w14:textId="77777777" w:rsidR="00643D86" w:rsidRDefault="004C71A4" w:rsidP="00643D86">
      <w:r>
        <w:rPr>
          <w:b/>
        </w:rPr>
        <w:t>Ansvarigt statsråd</w:t>
      </w:r>
      <w:r>
        <w:rPr>
          <w:b/>
        </w:rPr>
        <w:br/>
      </w:r>
      <w:r>
        <w:rPr>
          <w:noProof/>
        </w:rPr>
        <w:t>Margot Wallström</w:t>
      </w:r>
    </w:p>
    <w:p w14:paraId="5BA2A9B0" w14:textId="32F10B99" w:rsidR="001D336F" w:rsidRDefault="004C71A4" w:rsidP="00AB08BA">
      <w:r w:rsidRPr="00B44CE2">
        <w:rPr>
          <w:b/>
        </w:rPr>
        <w:t>Annotering</w:t>
      </w:r>
      <w:r>
        <w:rPr>
          <w:b/>
        </w:rPr>
        <w:br/>
      </w:r>
      <w:r>
        <w:rPr>
          <w:b/>
          <w:bCs/>
        </w:rPr>
        <w:t xml:space="preserve">Avsikt med behandlingen i rådet: </w:t>
      </w:r>
      <w:r>
        <w:rPr>
          <w:b/>
          <w:bCs/>
        </w:rPr>
        <w:br/>
      </w:r>
      <w:r>
        <w:t>Rådet avser godkänna en screening rapport beträffande kapitel 20 för Serbiens anslutningsförhandlingar.</w:t>
      </w:r>
    </w:p>
    <w:p w14:paraId="5BA2A9B1" w14:textId="77777777" w:rsidR="001D336F" w:rsidRDefault="004C71A4">
      <w:pPr>
        <w:spacing w:after="280" w:afterAutospacing="1"/>
      </w:pPr>
      <w:r>
        <w:rPr>
          <w:b/>
          <w:bCs/>
        </w:rPr>
        <w:lastRenderedPageBreak/>
        <w:t>Hur regeringen ställer sig till den blivande A-punkten:</w:t>
      </w:r>
      <w:r>
        <w:t xml:space="preserve"> </w:t>
      </w:r>
      <w:r>
        <w:br/>
        <w:t>Regeringen avser rösta ja.</w:t>
      </w:r>
    </w:p>
    <w:p w14:paraId="5BA2A9B5" w14:textId="0D8A22BA" w:rsidR="00FB32B9" w:rsidRDefault="004C71A4">
      <w:pPr>
        <w:spacing w:after="280" w:afterAutospacing="1"/>
        <w:rPr>
          <w:noProof/>
        </w:rPr>
      </w:pPr>
      <w:r>
        <w:rPr>
          <w:b/>
          <w:bCs/>
        </w:rPr>
        <w:t>Bakgrund:</w:t>
      </w:r>
      <w:r>
        <w:t xml:space="preserve"> </w:t>
      </w:r>
      <w:r>
        <w:br/>
        <w:t>Screeningrapporten för kapitel 20 omfattar hur väl Serbien har uppfyllt relevant aqcuis i företags- och industripolitik.</w:t>
      </w:r>
    </w:p>
    <w:p w14:paraId="5BA2A9B6" w14:textId="77777777" w:rsidR="00643D86" w:rsidRDefault="004C71A4" w:rsidP="00643D86">
      <w:pPr>
        <w:pStyle w:val="Rubrik1"/>
      </w:pPr>
      <w:bookmarkStart w:id="7" w:name="_Toc418000112"/>
      <w:r>
        <w:rPr>
          <w:noProof/>
        </w:rPr>
        <w:t>Enlargement: Accession negotiations with Serbia</w:t>
      </w:r>
      <w:bookmarkEnd w:id="7"/>
    </w:p>
    <w:p w14:paraId="3131F1F4" w14:textId="77777777" w:rsidR="00AB08BA" w:rsidRDefault="004C71A4" w:rsidP="00643D86">
      <w:pPr>
        <w:rPr>
          <w:lang w:val="en-US"/>
        </w:rPr>
      </w:pPr>
      <w:r>
        <w:rPr>
          <w:noProof/>
          <w:lang w:val="en-US"/>
        </w:rPr>
        <w:t>–</w:t>
      </w:r>
      <w:r>
        <w:rPr>
          <w:lang w:val="en-US"/>
        </w:rPr>
        <w:t>Outcome of screening on Chapter 5: Public procurement</w:t>
      </w:r>
    </w:p>
    <w:p w14:paraId="5BA2A9B7" w14:textId="10F4FD2C" w:rsidR="00643D86" w:rsidRDefault="004C71A4" w:rsidP="00643D86">
      <w:pPr>
        <w:rPr>
          <w:lang w:val="en-US"/>
        </w:rPr>
      </w:pPr>
      <w:r>
        <w:rPr>
          <w:noProof/>
          <w:lang w:val="en-US"/>
        </w:rPr>
        <w:t>8144</w:t>
      </w:r>
      <w:r>
        <w:rPr>
          <w:lang w:val="en-US"/>
        </w:rPr>
        <w:t>/14 ELARG 19</w:t>
      </w:r>
    </w:p>
    <w:p w14:paraId="5BA2A9B8" w14:textId="77777777" w:rsidR="00643D86" w:rsidRDefault="004C71A4" w:rsidP="00643D86">
      <w:r>
        <w:rPr>
          <w:b/>
        </w:rPr>
        <w:t>Ansvarigt statsråd</w:t>
      </w:r>
      <w:r>
        <w:rPr>
          <w:b/>
        </w:rPr>
        <w:br/>
      </w:r>
      <w:r>
        <w:rPr>
          <w:noProof/>
        </w:rPr>
        <w:t>Margot Wallström</w:t>
      </w:r>
    </w:p>
    <w:p w14:paraId="5BA2A9BC" w14:textId="110C64DD" w:rsidR="001D336F" w:rsidRDefault="004C71A4" w:rsidP="00AB08BA">
      <w:r w:rsidRPr="00B44CE2">
        <w:rPr>
          <w:b/>
        </w:rPr>
        <w:t>Annotering</w:t>
      </w:r>
      <w:r>
        <w:rPr>
          <w:b/>
        </w:rPr>
        <w:br/>
      </w:r>
      <w:r>
        <w:rPr>
          <w:b/>
          <w:bCs/>
        </w:rPr>
        <w:t xml:space="preserve">Avsikt med behandlingen i rådet: </w:t>
      </w:r>
      <w:r>
        <w:rPr>
          <w:b/>
          <w:bCs/>
        </w:rPr>
        <w:br/>
      </w:r>
      <w:r>
        <w:t>Rådet avser godkänna en screening rapport beträffande kapitel 5 för Serbiens anslutningsförhandlingar.</w:t>
      </w:r>
    </w:p>
    <w:p w14:paraId="5BA2A9BD" w14:textId="77777777" w:rsidR="001D336F" w:rsidRDefault="004C71A4">
      <w:pPr>
        <w:spacing w:after="280" w:afterAutospacing="1"/>
      </w:pPr>
      <w:r>
        <w:rPr>
          <w:b/>
          <w:bCs/>
        </w:rPr>
        <w:t xml:space="preserve">Hur regeringen ställer sig till den blivande A-punkten: </w:t>
      </w:r>
      <w:r>
        <w:rPr>
          <w:b/>
          <w:bCs/>
        </w:rPr>
        <w:br/>
      </w:r>
      <w:r>
        <w:t>Regeringen avser rösta ja.</w:t>
      </w:r>
    </w:p>
    <w:p w14:paraId="5BA2A9C0" w14:textId="1BAC91FA" w:rsidR="00FB32B9" w:rsidRDefault="004C71A4">
      <w:pPr>
        <w:spacing w:after="280" w:afterAutospacing="1"/>
        <w:rPr>
          <w:noProof/>
        </w:rPr>
      </w:pPr>
      <w:r>
        <w:rPr>
          <w:b/>
          <w:bCs/>
        </w:rPr>
        <w:t xml:space="preserve">Bakgrund: </w:t>
      </w:r>
      <w:r>
        <w:rPr>
          <w:b/>
          <w:bCs/>
        </w:rPr>
        <w:br/>
      </w:r>
      <w:r>
        <w:t>Screeningrapporten för kapitel 5 omfattar hur väl Serbien har uppfyllt relevant aqcuis i offentlig upphandling.</w:t>
      </w:r>
    </w:p>
    <w:p w14:paraId="5BA2A9C1" w14:textId="77777777" w:rsidR="00643D86" w:rsidRDefault="004C71A4" w:rsidP="00643D86">
      <w:pPr>
        <w:pStyle w:val="Rubrik1"/>
      </w:pPr>
      <w:bookmarkStart w:id="8" w:name="_Toc418000113"/>
      <w:r>
        <w:rPr>
          <w:noProof/>
        </w:rPr>
        <w:t>Initiative to Promote Fundamental Labour Rights and Practices in Myanmar/Burma</w:t>
      </w:r>
      <w:bookmarkEnd w:id="8"/>
    </w:p>
    <w:p w14:paraId="4010B6C7" w14:textId="77777777" w:rsidR="00F85511" w:rsidRDefault="004C71A4" w:rsidP="00643D86">
      <w:pPr>
        <w:rPr>
          <w:lang w:val="en-US"/>
        </w:rPr>
      </w:pPr>
      <w:r>
        <w:rPr>
          <w:noProof/>
          <w:lang w:val="en-US"/>
        </w:rPr>
        <w:t>–</w:t>
      </w:r>
      <w:r>
        <w:rPr>
          <w:lang w:val="en-US"/>
        </w:rPr>
        <w:t>Agreement that the European Union should join the Initiative</w:t>
      </w:r>
    </w:p>
    <w:p w14:paraId="5BA2A9C2" w14:textId="58858811" w:rsidR="00643D86" w:rsidRDefault="004C71A4" w:rsidP="00643D86">
      <w:pPr>
        <w:rPr>
          <w:lang w:val="en-US"/>
        </w:rPr>
      </w:pPr>
      <w:r>
        <w:rPr>
          <w:noProof/>
          <w:lang w:val="en-US"/>
        </w:rPr>
        <w:t>8268</w:t>
      </w:r>
      <w:r>
        <w:rPr>
          <w:lang w:val="en-US"/>
        </w:rPr>
        <w:t>/15 WTO 92 COASI 54</w:t>
      </w:r>
      <w:r w:rsidR="00F85511">
        <w:rPr>
          <w:lang w:val="en-US"/>
        </w:rPr>
        <w:t xml:space="preserve"> </w:t>
      </w:r>
      <w:r>
        <w:rPr>
          <w:lang w:val="en-US"/>
        </w:rPr>
        <w:t>7734/15 WTO 80 COASI 41</w:t>
      </w:r>
    </w:p>
    <w:p w14:paraId="5BA2A9C3" w14:textId="77777777" w:rsidR="00643D86" w:rsidRDefault="004C71A4" w:rsidP="00643D86">
      <w:r>
        <w:rPr>
          <w:b/>
        </w:rPr>
        <w:t>Ansvarigt statsråd</w:t>
      </w:r>
      <w:r>
        <w:rPr>
          <w:b/>
        </w:rPr>
        <w:br/>
      </w:r>
      <w:r>
        <w:rPr>
          <w:noProof/>
        </w:rPr>
        <w:t>Margot Wallström</w:t>
      </w:r>
    </w:p>
    <w:p w14:paraId="5BA2A9C7" w14:textId="10659E3E" w:rsidR="001D336F" w:rsidRDefault="004C71A4" w:rsidP="00F85511">
      <w:r w:rsidRPr="00B44CE2">
        <w:rPr>
          <w:b/>
        </w:rPr>
        <w:t>Annotering</w:t>
      </w:r>
      <w:r>
        <w:rPr>
          <w:b/>
        </w:rPr>
        <w:br/>
      </w:r>
      <w:r w:rsidRPr="00F85511">
        <w:rPr>
          <w:b/>
        </w:rPr>
        <w:t>Avsikt med behandlingen i rådet:</w:t>
      </w:r>
      <w:r>
        <w:t xml:space="preserve"> Rådet föreslås godkänna förslaget till beslut att EU skall ansluta sig till initiativet om att främja grundläggande arbetsrättigheter och tillämpningar i Myanmar/Burma.</w:t>
      </w:r>
    </w:p>
    <w:p w14:paraId="5BA2A9C8" w14:textId="77777777" w:rsidR="001D336F" w:rsidRDefault="004C71A4">
      <w:pPr>
        <w:spacing w:after="280" w:afterAutospacing="1"/>
      </w:pPr>
      <w:r w:rsidRPr="00F85511">
        <w:rPr>
          <w:b/>
        </w:rPr>
        <w:t>Hur regeringen ställer sig till den blivande A-punkten:</w:t>
      </w:r>
      <w:r>
        <w:t xml:space="preserve"> Regeringen avser att rösta ja till att rådet beslutar att EU skall ansluta sig till initiativet om att främja grundläggande arbetsrättigheter och tillämpningar i Myanmar/Burma. </w:t>
      </w:r>
    </w:p>
    <w:p w14:paraId="5BA2A9CA" w14:textId="58440BA5" w:rsidR="00FB32B9" w:rsidRDefault="004C71A4">
      <w:pPr>
        <w:spacing w:after="280" w:afterAutospacing="1"/>
        <w:rPr>
          <w:noProof/>
        </w:rPr>
      </w:pPr>
      <w:r w:rsidRPr="00F85511">
        <w:rPr>
          <w:b/>
        </w:rPr>
        <w:t>Bakgrund:</w:t>
      </w:r>
      <w:r>
        <w:t xml:space="preserve"> Myanmar, USA, Danmark, Japan och ILO lanserade den 13 november 2014 ett initiativ för att modernisera Myanmars grundläggande arbetslagstiftning i syfte att säkerställa att arbetsvillkoren och tillämpningen uppfyller internationell standard samt att stimulera en dialog mellan regering, företag, anställda och det civila samhället. Kommissionen har i beslut C(2015) 1939 final, beslutat att EU skall ansluta sig till initiativet. </w:t>
      </w:r>
    </w:p>
    <w:p w14:paraId="5BA2A9CB" w14:textId="77777777" w:rsidR="00643D86" w:rsidRDefault="004C71A4" w:rsidP="00643D86">
      <w:pPr>
        <w:pStyle w:val="Rubrik1"/>
      </w:pPr>
      <w:bookmarkStart w:id="9" w:name="_Toc418000114"/>
      <w:r>
        <w:rPr>
          <w:noProof/>
        </w:rPr>
        <w:t>a)Council Decision on the signing, on behalf of the European Union, and provisional application of the Agreement between the European Union and Saint Lucia, the Commonwealth of Dominica, Grenada, Saint Vincent and the Grenadines, the Republic of Vanuatu, the Democratic Republic of Timor-Leste, the Independent State of Samoa and the Republic of Trinidad and Tobago on the short-stay visa waiver</w:t>
      </w:r>
      <w:r>
        <w:rPr>
          <w:noProof/>
        </w:rPr>
        <w:br/>
        <w:t>–Adoption</w:t>
      </w:r>
      <w:r>
        <w:rPr>
          <w:noProof/>
        </w:rPr>
        <w:br/>
        <w:t>b)Council Decision on the conclusion of the Agreement between the European Union and Saint Lucia, the Commonwealth of Dominica, Grenada, Saint Vincent and the Grenadines, the Republic of Vanuatu, the Democratic Republic of Timor-Leste, the Independent State of Samoa and the Republic of Trinidad and Tobago on the short-stay visa waiver</w:t>
      </w:r>
      <w:r>
        <w:rPr>
          <w:noProof/>
        </w:rPr>
        <w:br/>
        <w:t>–Request by the Council for the consent of the EP</w:t>
      </w:r>
      <w:bookmarkEnd w:id="9"/>
    </w:p>
    <w:p w14:paraId="5BA2A9CC" w14:textId="4B569DB8" w:rsidR="00643D86" w:rsidRDefault="004C71A4" w:rsidP="00643D86">
      <w:pPr>
        <w:rPr>
          <w:lang w:val="en-US"/>
        </w:rPr>
      </w:pPr>
      <w:r>
        <w:rPr>
          <w:noProof/>
          <w:lang w:val="en-US"/>
        </w:rPr>
        <w:t>7951</w:t>
      </w:r>
      <w:r>
        <w:rPr>
          <w:lang w:val="en-US"/>
        </w:rPr>
        <w:t>/15 VISA 147 COLAC 44 COASI 44</w:t>
      </w:r>
      <w:r w:rsidR="00F85511">
        <w:rPr>
          <w:lang w:val="en-US"/>
        </w:rPr>
        <w:t xml:space="preserve"> </w:t>
      </w:r>
      <w:r>
        <w:rPr>
          <w:lang w:val="en-US"/>
        </w:rPr>
        <w:t>7104/15 VISA 84 COLAC 19</w:t>
      </w:r>
      <w:r w:rsidR="00F85511">
        <w:rPr>
          <w:lang w:val="en-US"/>
        </w:rPr>
        <w:t xml:space="preserve"> </w:t>
      </w:r>
      <w:r>
        <w:rPr>
          <w:lang w:val="en-US"/>
        </w:rPr>
        <w:t>7107/15 VISA 85 COLAC 20</w:t>
      </w:r>
      <w:r w:rsidR="00F85511">
        <w:rPr>
          <w:lang w:val="en-US"/>
        </w:rPr>
        <w:t xml:space="preserve"> </w:t>
      </w:r>
      <w:r>
        <w:rPr>
          <w:lang w:val="en-US"/>
        </w:rPr>
        <w:t>7187/15 VISA 105 COLAC 30</w:t>
      </w:r>
      <w:r w:rsidR="00F85511">
        <w:rPr>
          <w:lang w:val="en-US"/>
        </w:rPr>
        <w:t xml:space="preserve"> </w:t>
      </w:r>
      <w:r>
        <w:rPr>
          <w:lang w:val="en-US"/>
        </w:rPr>
        <w:t>7109/15 VISA 86 COLAC 21</w:t>
      </w:r>
      <w:r w:rsidR="00F85511">
        <w:rPr>
          <w:lang w:val="en-US"/>
        </w:rPr>
        <w:t xml:space="preserve"> </w:t>
      </w:r>
      <w:r>
        <w:rPr>
          <w:lang w:val="en-US"/>
        </w:rPr>
        <w:t>7111/15 VISA 87 COLAC 22</w:t>
      </w:r>
      <w:r w:rsidR="00F85511">
        <w:rPr>
          <w:lang w:val="en-US"/>
        </w:rPr>
        <w:t xml:space="preserve"> </w:t>
      </w:r>
      <w:r>
        <w:rPr>
          <w:lang w:val="en-US"/>
        </w:rPr>
        <w:t>7189/15 VISA 106 COLAC 31</w:t>
      </w:r>
      <w:r w:rsidR="00F85511">
        <w:rPr>
          <w:lang w:val="en-US"/>
        </w:rPr>
        <w:t xml:space="preserve"> </w:t>
      </w:r>
      <w:r>
        <w:rPr>
          <w:lang w:val="en-US"/>
        </w:rPr>
        <w:t>7112/15 VISA 88 COLAC 23</w:t>
      </w:r>
      <w:r w:rsidR="00F85511">
        <w:rPr>
          <w:lang w:val="en-US"/>
        </w:rPr>
        <w:t xml:space="preserve"> </w:t>
      </w:r>
      <w:r>
        <w:rPr>
          <w:lang w:val="en-US"/>
        </w:rPr>
        <w:t>7113/15 VISA 89 COLAC 24</w:t>
      </w:r>
      <w:r w:rsidR="00F85511">
        <w:rPr>
          <w:lang w:val="en-US"/>
        </w:rPr>
        <w:t xml:space="preserve"> </w:t>
      </w:r>
      <w:r>
        <w:rPr>
          <w:lang w:val="en-US"/>
        </w:rPr>
        <w:t>7190/15 VISA 107 COLAC 32</w:t>
      </w:r>
      <w:r w:rsidR="00F85511">
        <w:rPr>
          <w:lang w:val="en-US"/>
        </w:rPr>
        <w:t xml:space="preserve"> </w:t>
      </w:r>
      <w:r>
        <w:rPr>
          <w:lang w:val="en-US"/>
        </w:rPr>
        <w:t>7114/15 VISA 90 COLAC 25</w:t>
      </w:r>
      <w:r w:rsidR="00F85511">
        <w:rPr>
          <w:lang w:val="en-US"/>
        </w:rPr>
        <w:t xml:space="preserve"> </w:t>
      </w:r>
      <w:r>
        <w:rPr>
          <w:lang w:val="en-US"/>
        </w:rPr>
        <w:t>7115/15 VISA 91 COLAC 26</w:t>
      </w:r>
      <w:r w:rsidR="00F85511">
        <w:rPr>
          <w:lang w:val="en-US"/>
        </w:rPr>
        <w:t xml:space="preserve"> </w:t>
      </w:r>
      <w:r>
        <w:rPr>
          <w:lang w:val="en-US"/>
        </w:rPr>
        <w:t>7191/15 VISA 108 COLAC 33</w:t>
      </w:r>
      <w:r w:rsidR="00F85511">
        <w:rPr>
          <w:lang w:val="en-US"/>
        </w:rPr>
        <w:t xml:space="preserve"> </w:t>
      </w:r>
      <w:r>
        <w:rPr>
          <w:lang w:val="en-US"/>
        </w:rPr>
        <w:t>7117/15 VISA 92 COASI 26</w:t>
      </w:r>
      <w:r w:rsidR="00F85511">
        <w:rPr>
          <w:lang w:val="en-US"/>
        </w:rPr>
        <w:t xml:space="preserve"> </w:t>
      </w:r>
      <w:r>
        <w:rPr>
          <w:lang w:val="en-US"/>
        </w:rPr>
        <w:t>7119/15 VISA 93 COASI 27</w:t>
      </w:r>
      <w:r w:rsidR="00F85511">
        <w:rPr>
          <w:lang w:val="en-US"/>
        </w:rPr>
        <w:t xml:space="preserve"> </w:t>
      </w:r>
      <w:r>
        <w:rPr>
          <w:lang w:val="en-US"/>
        </w:rPr>
        <w:t>7192/15 VISA 109 COASI 32</w:t>
      </w:r>
      <w:r w:rsidR="00F85511">
        <w:rPr>
          <w:lang w:val="en-US"/>
        </w:rPr>
        <w:t xml:space="preserve"> </w:t>
      </w:r>
      <w:r>
        <w:rPr>
          <w:lang w:val="en-US"/>
        </w:rPr>
        <w:t>7123/15 VISA 94 COASI 28</w:t>
      </w:r>
      <w:r w:rsidR="00F85511">
        <w:rPr>
          <w:lang w:val="en-US"/>
        </w:rPr>
        <w:t xml:space="preserve"> </w:t>
      </w:r>
      <w:r>
        <w:rPr>
          <w:lang w:val="en-US"/>
        </w:rPr>
        <w:t>7125/15 VISA 95 COASI 29</w:t>
      </w:r>
      <w:r w:rsidR="00F85511">
        <w:rPr>
          <w:lang w:val="en-US"/>
        </w:rPr>
        <w:t xml:space="preserve"> </w:t>
      </w:r>
      <w:r>
        <w:rPr>
          <w:lang w:val="en-US"/>
        </w:rPr>
        <w:t>7194/15 VISA 110 COASI 33</w:t>
      </w:r>
      <w:r w:rsidR="00F85511">
        <w:rPr>
          <w:lang w:val="en-US"/>
        </w:rPr>
        <w:t xml:space="preserve"> </w:t>
      </w:r>
      <w:r>
        <w:rPr>
          <w:lang w:val="en-US"/>
        </w:rPr>
        <w:t>7126/15 VISA 96 COASI 30</w:t>
      </w:r>
      <w:r w:rsidR="00F85511">
        <w:rPr>
          <w:lang w:val="en-US"/>
        </w:rPr>
        <w:t xml:space="preserve"> </w:t>
      </w:r>
      <w:r>
        <w:rPr>
          <w:lang w:val="en-US"/>
        </w:rPr>
        <w:t>7127/15 VISA 97 COASI 31</w:t>
      </w:r>
      <w:r w:rsidR="00F85511">
        <w:rPr>
          <w:lang w:val="en-US"/>
        </w:rPr>
        <w:t xml:space="preserve"> </w:t>
      </w:r>
      <w:r>
        <w:rPr>
          <w:lang w:val="en-US"/>
        </w:rPr>
        <w:t>7195/15 VISA 111 COASI 34</w:t>
      </w:r>
      <w:r w:rsidR="00F85511">
        <w:rPr>
          <w:lang w:val="en-US"/>
        </w:rPr>
        <w:t xml:space="preserve"> </w:t>
      </w:r>
      <w:r>
        <w:rPr>
          <w:lang w:val="en-US"/>
        </w:rPr>
        <w:t>7128/15 VISA 98 COLAC 27</w:t>
      </w:r>
      <w:r w:rsidR="00F85511">
        <w:rPr>
          <w:lang w:val="en-US"/>
        </w:rPr>
        <w:t xml:space="preserve"> </w:t>
      </w:r>
      <w:r>
        <w:rPr>
          <w:lang w:val="en-US"/>
        </w:rPr>
        <w:t>7129/15 VISA 99 COLAC 28</w:t>
      </w:r>
      <w:r w:rsidR="00F85511">
        <w:rPr>
          <w:lang w:val="en-US"/>
        </w:rPr>
        <w:t xml:space="preserve"> </w:t>
      </w:r>
      <w:r>
        <w:rPr>
          <w:lang w:val="en-US"/>
        </w:rPr>
        <w:t>7196/15 VISA 112 COLAC 34</w:t>
      </w:r>
    </w:p>
    <w:p w14:paraId="5BA2A9CD" w14:textId="77777777" w:rsidR="00643D86" w:rsidRDefault="004C71A4" w:rsidP="00643D86">
      <w:r>
        <w:rPr>
          <w:b/>
        </w:rPr>
        <w:t>Ansvarigt statsråd</w:t>
      </w:r>
      <w:r>
        <w:rPr>
          <w:b/>
        </w:rPr>
        <w:br/>
      </w:r>
      <w:r>
        <w:rPr>
          <w:noProof/>
        </w:rPr>
        <w:t>Morgan Johansson</w:t>
      </w:r>
    </w:p>
    <w:p w14:paraId="5BA2A9D1" w14:textId="0013FDA6" w:rsidR="001D336F" w:rsidRDefault="004C71A4" w:rsidP="00F85511">
      <w:r w:rsidRPr="00B44CE2">
        <w:rPr>
          <w:b/>
        </w:rPr>
        <w:t>Annotering</w:t>
      </w:r>
      <w:r>
        <w:rPr>
          <w:b/>
        </w:rPr>
        <w:br/>
      </w:r>
      <w:r>
        <w:rPr>
          <w:b/>
          <w:bCs/>
        </w:rPr>
        <w:t>Avsikt med behandlingen i rådet:</w:t>
      </w:r>
      <w:r>
        <w:t xml:space="preserve"> Rådet föreslås anta beslut om undertecknande och ingående av avtal om undantag från viseringskrav för kortare vistelser mellan EU och ovan nämnda stater (Saint Lucia, Dominica, Grenada, Saint Vincent och Grenadinerna, Vanuatu, Östtimor, Samoa samt Trinidad och Tobago).</w:t>
      </w:r>
    </w:p>
    <w:p w14:paraId="5BA2A9D2" w14:textId="77777777" w:rsidR="001D336F" w:rsidRDefault="004C71A4">
      <w:pPr>
        <w:spacing w:after="280" w:afterAutospacing="1"/>
      </w:pPr>
      <w:r>
        <w:rPr>
          <w:b/>
          <w:bCs/>
        </w:rPr>
        <w:t xml:space="preserve">Hur regeringen ställer sig till den blivande A-punkten: </w:t>
      </w:r>
      <w:r>
        <w:br/>
        <w:t xml:space="preserve">Regeringen avser rösta ja till förslagen.  </w:t>
      </w:r>
    </w:p>
    <w:p w14:paraId="5BA2A9D3" w14:textId="77777777" w:rsidR="001D336F" w:rsidRDefault="004C71A4">
      <w:pPr>
        <w:spacing w:after="280" w:afterAutospacing="1"/>
      </w:pPr>
      <w:r>
        <w:rPr>
          <w:b/>
          <w:bCs/>
        </w:rPr>
        <w:t xml:space="preserve">Bakgrund: </w:t>
      </w:r>
      <w:r>
        <w:rPr>
          <w:b/>
          <w:bCs/>
        </w:rPr>
        <w:br/>
      </w:r>
      <w:r>
        <w:t xml:space="preserve">För att praktiskt kunna genomföra viseringsfritt resande till Schengenområdet för medborgare i Saint Lucia, Dominica, Grenada, Saint Vincent och Grenadinerna, Vanuatu, Östtimor, Samoa samt Trinidad och Tobago, vilket EU beslutat om under våren 2014, så krävs att bilaterala viseringsfrihetsavtal med dessa stater först ska ingås. </w:t>
      </w:r>
    </w:p>
    <w:p w14:paraId="5BA2A9D5" w14:textId="46171BEA" w:rsidR="00FB32B9" w:rsidRDefault="004C71A4">
      <w:pPr>
        <w:spacing w:after="280" w:afterAutospacing="1"/>
        <w:rPr>
          <w:noProof/>
        </w:rPr>
      </w:pPr>
      <w:r>
        <w:t xml:space="preserve">Förhandlingar om viseringsfrihetsavtal inleddes hösten 2014 och är nu slutförda. De bilaterala viseringsfrihetsavtalen kommer att garantera ömsesidig viseringsfrihet för kortare vistelser (upp till 90 dagar under en 180-dagarsperiod) och kommer att innehålla suspenderingsklausuler som säger att avtalen kan komma att sägas upp om viseringsfriheten leder till olaglig invandring, om den viseringsfria ömsesidigheten skulle sättas ur spel eller vid hot mot den allmänna ordningen och säkerheten. </w:t>
      </w:r>
    </w:p>
    <w:p w14:paraId="5BA2A9D6" w14:textId="77777777" w:rsidR="00643D86" w:rsidRDefault="004C71A4" w:rsidP="00643D86">
      <w:pPr>
        <w:pStyle w:val="Rubrik1"/>
      </w:pPr>
      <w:bookmarkStart w:id="10" w:name="_Toc418000115"/>
      <w:r>
        <w:rPr>
          <w:noProof/>
        </w:rPr>
        <w:t>Approval of the re-election of the President of the College of Eurojust</w:t>
      </w:r>
      <w:bookmarkEnd w:id="10"/>
    </w:p>
    <w:p w14:paraId="5BA2A9D7" w14:textId="7EAB78E9" w:rsidR="00643D86" w:rsidRDefault="004C71A4" w:rsidP="00643D86">
      <w:pPr>
        <w:rPr>
          <w:lang w:val="en-US"/>
        </w:rPr>
      </w:pPr>
      <w:r>
        <w:rPr>
          <w:noProof/>
          <w:lang w:val="en-US"/>
        </w:rPr>
        <w:t>8263</w:t>
      </w:r>
      <w:r>
        <w:rPr>
          <w:lang w:val="en-US"/>
        </w:rPr>
        <w:t>/15 EUROJUST 83</w:t>
      </w:r>
    </w:p>
    <w:p w14:paraId="5BA2A9D8" w14:textId="77777777" w:rsidR="00643D86" w:rsidRDefault="004C71A4" w:rsidP="00643D86">
      <w:r>
        <w:rPr>
          <w:b/>
        </w:rPr>
        <w:t>Ansvarigt statsråd</w:t>
      </w:r>
      <w:r>
        <w:rPr>
          <w:b/>
        </w:rPr>
        <w:br/>
      </w:r>
      <w:r>
        <w:rPr>
          <w:noProof/>
        </w:rPr>
        <w:t>Anders Ygeman</w:t>
      </w:r>
    </w:p>
    <w:p w14:paraId="5BA2A9DB" w14:textId="77777777" w:rsidR="00643D86" w:rsidRDefault="004C71A4" w:rsidP="00643D86">
      <w:r w:rsidRPr="00B44CE2">
        <w:rPr>
          <w:b/>
        </w:rPr>
        <w:t>Annotering</w:t>
      </w:r>
      <w:r>
        <w:rPr>
          <w:b/>
        </w:rPr>
        <w:br/>
      </w:r>
      <w:r>
        <w:t>Föranleder ingen annotering.</w:t>
      </w:r>
    </w:p>
    <w:p w14:paraId="5BA2A9DC" w14:textId="3A7DE078" w:rsidR="00643D86" w:rsidRPr="00F85511" w:rsidRDefault="00F85511" w:rsidP="00F85511">
      <w:pPr>
        <w:pStyle w:val="Rubrik1"/>
        <w:rPr>
          <w:noProof/>
        </w:rPr>
      </w:pPr>
      <w:bookmarkStart w:id="11" w:name="_Toc418000116"/>
      <w:bookmarkEnd w:id="1"/>
      <w:r w:rsidRPr="00F85511">
        <w:rPr>
          <w:noProof/>
        </w:rPr>
        <w:t>Appeal against the judgments of the Gen</w:t>
      </w:r>
      <w:r>
        <w:rPr>
          <w:noProof/>
        </w:rPr>
        <w:t>eral Court of 19 March 2015 in C</w:t>
      </w:r>
      <w:r w:rsidRPr="00F85511">
        <w:rPr>
          <w:noProof/>
        </w:rPr>
        <w:t>ases T-412/13 and T-413/13 (Dumping – Imports of bicycles – Circumvention)</w:t>
      </w:r>
      <w:bookmarkEnd w:id="11"/>
    </w:p>
    <w:p w14:paraId="0A19227B" w14:textId="1EF1D248" w:rsidR="00F85511" w:rsidRDefault="00F85511" w:rsidP="00F85511">
      <w:pPr>
        <w:rPr>
          <w:lang w:val="en-US"/>
        </w:rPr>
      </w:pPr>
      <w:r>
        <w:rPr>
          <w:lang w:val="en-US"/>
        </w:rPr>
        <w:t>8283/15 COMER 60 JUR 274</w:t>
      </w:r>
    </w:p>
    <w:p w14:paraId="632CE4D4" w14:textId="53427371" w:rsidR="00F85511" w:rsidRPr="00F85511" w:rsidRDefault="00F85511" w:rsidP="00F85511">
      <w:r w:rsidRPr="00F85511">
        <w:rPr>
          <w:b/>
        </w:rPr>
        <w:t>Avsikt med behandlingen i rådet</w:t>
      </w:r>
      <w:r>
        <w:rPr>
          <w:b/>
          <w:bCs/>
          <w:color w:val="444444"/>
          <w:lang w:eastAsia="sv-SE"/>
        </w:rPr>
        <w:t xml:space="preserve">: </w:t>
      </w:r>
      <w:r w:rsidRPr="00F85511">
        <w:t>Rådet ska rösta om gemensamt ståndpunkt att rösta ja till att överklaga EU-domstolens utlåtande i fallen T-412/13 och 413/13 som båda rör kringgående av antidumpningsåtgärder mot cyklar producerade i Kina.</w:t>
      </w:r>
    </w:p>
    <w:p w14:paraId="4C5378C6" w14:textId="77777777" w:rsidR="00F85511" w:rsidRDefault="00F85511" w:rsidP="00F85511">
      <w:pPr>
        <w:shd w:val="clear" w:color="auto" w:fill="FFFFFF"/>
        <w:spacing w:before="100" w:beforeAutospacing="1" w:after="100" w:afterAutospacing="1"/>
        <w:textAlignment w:val="top"/>
      </w:pPr>
      <w:r>
        <w:rPr>
          <w:b/>
          <w:bCs/>
          <w:color w:val="444444"/>
          <w:lang w:eastAsia="sv-SE"/>
        </w:rPr>
        <w:t xml:space="preserve">Hur regeringen ställer sig till den blivande A-punkten: </w:t>
      </w:r>
      <w:r w:rsidRPr="00F85511">
        <w:t>Regeringen kan acceptera apunkten.</w:t>
      </w:r>
    </w:p>
    <w:p w14:paraId="5F45172F" w14:textId="5663229A" w:rsidR="00F85511" w:rsidRDefault="00F85511" w:rsidP="00F85511">
      <w:pPr>
        <w:shd w:val="clear" w:color="auto" w:fill="FFFFFF"/>
        <w:spacing w:before="100" w:beforeAutospacing="1" w:after="100" w:afterAutospacing="1"/>
        <w:textAlignment w:val="top"/>
      </w:pPr>
      <w:r w:rsidRPr="00F85511">
        <w:rPr>
          <w:b/>
        </w:rPr>
        <w:t xml:space="preserve">Bakgrund: </w:t>
      </w:r>
      <w:r>
        <w:t xml:space="preserve">Generellt har Sverige tidigare motsatt sig ett införande av åtgärder mot cyklar från Kina och även mot att införa antikringgåendeåtgärder mot flera andra länder. </w:t>
      </w:r>
    </w:p>
    <w:p w14:paraId="789751E5" w14:textId="77777777" w:rsidR="00F85511" w:rsidRDefault="00F85511" w:rsidP="00F85511">
      <w:pPr>
        <w:shd w:val="clear" w:color="auto" w:fill="FFFFFF"/>
        <w:spacing w:before="100" w:beforeAutospacing="1" w:after="100" w:afterAutospacing="1"/>
        <w:textAlignment w:val="top"/>
      </w:pPr>
      <w:r>
        <w:t>EU-domstolen har underkänt KOM:s linje att två enskilda företag kringgått antidumpningsåtgärder mot i Kina producerade cyklar. Sverige har motsatt sig ett överklagande av EU-domstolens utlåtande i fallen T-412/13 och 413/13. Frågan om ett eventuellt överklagande av nämnda fall behandlades i Working Party for Trade Questions den 15 april 2015. Sverige var emot ett överklagande, men KOM och en stor majoritet av medlemsländer gav emellertid stöd för överklagande.</w:t>
      </w:r>
    </w:p>
    <w:p w14:paraId="54ED70F6" w14:textId="77777777" w:rsidR="00F85511" w:rsidRPr="00643D86" w:rsidRDefault="00F85511" w:rsidP="00643D86">
      <w:pPr>
        <w:ind w:left="0"/>
        <w:rPr>
          <w:lang w:val="en-US"/>
        </w:rPr>
      </w:pPr>
    </w:p>
    <w:sectPr w:rsidR="00F85511"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2A9EE" w14:textId="77777777" w:rsidR="004754FE" w:rsidRDefault="004C71A4">
      <w:pPr>
        <w:spacing w:after="0" w:line="240" w:lineRule="auto"/>
      </w:pPr>
      <w:r>
        <w:separator/>
      </w:r>
    </w:p>
  </w:endnote>
  <w:endnote w:type="continuationSeparator" w:id="0">
    <w:p w14:paraId="5BA2A9F0" w14:textId="77777777" w:rsidR="004754FE" w:rsidRDefault="004C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2A9EA" w14:textId="77777777" w:rsidR="004754FE" w:rsidRDefault="004C71A4">
      <w:pPr>
        <w:spacing w:after="0" w:line="240" w:lineRule="auto"/>
      </w:pPr>
      <w:r>
        <w:separator/>
      </w:r>
    </w:p>
  </w:footnote>
  <w:footnote w:type="continuationSeparator" w:id="0">
    <w:p w14:paraId="5BA2A9EC" w14:textId="77777777" w:rsidR="004754FE" w:rsidRDefault="004C7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559099"/>
      <w:docPartObj>
        <w:docPartGallery w:val="Page Numbers (Top of Page)"/>
        <w:docPartUnique/>
      </w:docPartObj>
    </w:sdtPr>
    <w:sdtEndPr/>
    <w:sdtContent>
      <w:p w14:paraId="4CEE4A9C" w14:textId="61CABD52" w:rsidR="00F85511" w:rsidRDefault="00F85511">
        <w:pPr>
          <w:pStyle w:val="Sidhuvud"/>
          <w:jc w:val="right"/>
        </w:pPr>
        <w:r>
          <w:fldChar w:fldCharType="begin"/>
        </w:r>
        <w:r>
          <w:instrText>PAGE   \* MERGEFORMAT</w:instrText>
        </w:r>
        <w:r>
          <w:fldChar w:fldCharType="separate"/>
        </w:r>
        <w:r w:rsidR="00F2158B">
          <w:rPr>
            <w:noProof/>
          </w:rPr>
          <w:t>2</w:t>
        </w:r>
        <w:r>
          <w:fldChar w:fldCharType="end"/>
        </w:r>
      </w:p>
    </w:sdtContent>
  </w:sdt>
  <w:p w14:paraId="5BA2A9DE" w14:textId="77777777" w:rsidR="006F1C0D" w:rsidRDefault="00F2158B"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D336F" w14:paraId="5BA2A9E4" w14:textId="77777777" w:rsidTr="006E71D7">
      <w:tc>
        <w:tcPr>
          <w:tcW w:w="4606" w:type="dxa"/>
        </w:tcPr>
        <w:p w14:paraId="5BA2A9DF" w14:textId="77777777" w:rsidR="006E71D7" w:rsidRDefault="004C71A4" w:rsidP="00752770">
          <w:pPr>
            <w:pStyle w:val="Sidhuvud"/>
            <w:ind w:left="0"/>
          </w:pPr>
          <w:r>
            <w:rPr>
              <w:noProof/>
              <w:lang w:eastAsia="sv-SE"/>
            </w:rPr>
            <w:drawing>
              <wp:inline distT="0" distB="0" distL="0" distR="0" wp14:anchorId="5BA2A9EA" wp14:editId="5BA2A9E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BA2A9E0" w14:textId="77777777" w:rsidR="00FB32B9" w:rsidRDefault="00F2158B" w:rsidP="00FB32B9">
          <w:pPr>
            <w:ind w:right="916"/>
            <w:rPr>
              <w:rFonts w:ascii="TradeGothic" w:hAnsi="TradeGothic"/>
              <w:b/>
            </w:rPr>
          </w:pPr>
        </w:p>
        <w:p w14:paraId="5BA2A9E1" w14:textId="77777777" w:rsidR="00FB32B9" w:rsidRDefault="004C71A4" w:rsidP="00FB32B9">
          <w:pPr>
            <w:ind w:right="916"/>
          </w:pPr>
          <w:r>
            <w:rPr>
              <w:rFonts w:ascii="TradeGothic" w:hAnsi="TradeGothic"/>
              <w:b/>
            </w:rPr>
            <w:t>Promemoria</w:t>
          </w:r>
        </w:p>
        <w:p w14:paraId="5BA2A9E2" w14:textId="77777777" w:rsidR="00FB32B9" w:rsidRDefault="00F2158B" w:rsidP="00FB32B9">
          <w:pPr>
            <w:jc w:val="right"/>
          </w:pPr>
        </w:p>
        <w:p w14:paraId="5BA2A9E3" w14:textId="77777777" w:rsidR="006E71D7" w:rsidRDefault="004C71A4" w:rsidP="00FB32B9">
          <w:pPr>
            <w:ind w:right="916"/>
          </w:pPr>
          <w:r>
            <w:rPr>
              <w:rFonts w:ascii="TradeGothic" w:hAnsi="TradeGothic"/>
              <w:b/>
              <w:noProof/>
            </w:rPr>
            <w:t>2015-04-28</w:t>
          </w:r>
          <w:r w:rsidRPr="00934953">
            <w:t xml:space="preserve"> </w:t>
          </w:r>
        </w:p>
      </w:tc>
    </w:tr>
  </w:tbl>
  <w:p w14:paraId="5BA2A9E5" w14:textId="77777777" w:rsidR="00FB32B9" w:rsidRDefault="00F2158B" w:rsidP="00FB32B9">
    <w:pPr>
      <w:pStyle w:val="Avsndare"/>
      <w:framePr w:w="0" w:hRule="auto" w:hSpace="0" w:wrap="auto" w:vAnchor="margin" w:hAnchor="text" w:xAlign="left" w:yAlign="inline"/>
      <w:rPr>
        <w:b/>
        <w:i w:val="0"/>
        <w:sz w:val="22"/>
      </w:rPr>
    </w:pPr>
  </w:p>
  <w:p w14:paraId="5BA2A9E6" w14:textId="77777777" w:rsidR="00FB32B9" w:rsidRDefault="004C71A4" w:rsidP="00FB32B9">
    <w:pPr>
      <w:pStyle w:val="Avsndare"/>
      <w:framePr w:w="0" w:hRule="auto" w:hSpace="0" w:wrap="auto" w:vAnchor="margin" w:hAnchor="text" w:xAlign="left" w:yAlign="inline"/>
      <w:rPr>
        <w:b/>
        <w:i w:val="0"/>
        <w:sz w:val="22"/>
      </w:rPr>
    </w:pPr>
    <w:r>
      <w:rPr>
        <w:b/>
        <w:i w:val="0"/>
        <w:sz w:val="22"/>
      </w:rPr>
      <w:t>Statsrådsberedningen</w:t>
    </w:r>
  </w:p>
  <w:p w14:paraId="5BA2A9E7" w14:textId="77777777" w:rsidR="00FB32B9" w:rsidRDefault="00F2158B" w:rsidP="00FB32B9">
    <w:pPr>
      <w:pStyle w:val="Avsndare"/>
      <w:framePr w:w="0" w:hRule="auto" w:hSpace="0" w:wrap="auto" w:vAnchor="margin" w:hAnchor="text" w:xAlign="left" w:yAlign="inline"/>
    </w:pPr>
  </w:p>
  <w:p w14:paraId="5BA2A9E8" w14:textId="77777777" w:rsidR="00FB32B9" w:rsidRDefault="004C71A4" w:rsidP="00FB32B9">
    <w:pPr>
      <w:pStyle w:val="Avsndare"/>
      <w:framePr w:w="0" w:hRule="auto" w:hSpace="0" w:wrap="auto" w:vAnchor="margin" w:hAnchor="text" w:xAlign="left" w:yAlign="inline"/>
    </w:pPr>
    <w:r>
      <w:t>EU-kansliet</w:t>
    </w:r>
  </w:p>
  <w:p w14:paraId="5BA2A9E9" w14:textId="77777777" w:rsidR="0012376B" w:rsidRDefault="00F2158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EB4C8A44">
      <w:start w:val="1"/>
      <w:numFmt w:val="decimal"/>
      <w:pStyle w:val="Rubrik1"/>
      <w:lvlText w:val="%1."/>
      <w:lvlJc w:val="left"/>
      <w:pPr>
        <w:ind w:left="720" w:hanging="360"/>
      </w:pPr>
    </w:lvl>
    <w:lvl w:ilvl="1" w:tplc="F3AEFECA" w:tentative="1">
      <w:start w:val="1"/>
      <w:numFmt w:val="lowerLetter"/>
      <w:lvlText w:val="%2."/>
      <w:lvlJc w:val="left"/>
      <w:pPr>
        <w:ind w:left="1440" w:hanging="360"/>
      </w:pPr>
    </w:lvl>
    <w:lvl w:ilvl="2" w:tplc="224634B6" w:tentative="1">
      <w:start w:val="1"/>
      <w:numFmt w:val="lowerRoman"/>
      <w:lvlText w:val="%3."/>
      <w:lvlJc w:val="right"/>
      <w:pPr>
        <w:ind w:left="2160" w:hanging="180"/>
      </w:pPr>
    </w:lvl>
    <w:lvl w:ilvl="3" w:tplc="A36614E8" w:tentative="1">
      <w:start w:val="1"/>
      <w:numFmt w:val="decimal"/>
      <w:lvlText w:val="%4."/>
      <w:lvlJc w:val="left"/>
      <w:pPr>
        <w:ind w:left="2880" w:hanging="360"/>
      </w:pPr>
    </w:lvl>
    <w:lvl w:ilvl="4" w:tplc="534C0F0C" w:tentative="1">
      <w:start w:val="1"/>
      <w:numFmt w:val="lowerLetter"/>
      <w:lvlText w:val="%5."/>
      <w:lvlJc w:val="left"/>
      <w:pPr>
        <w:ind w:left="3600" w:hanging="360"/>
      </w:pPr>
    </w:lvl>
    <w:lvl w:ilvl="5" w:tplc="ADEE1C54" w:tentative="1">
      <w:start w:val="1"/>
      <w:numFmt w:val="lowerRoman"/>
      <w:lvlText w:val="%6."/>
      <w:lvlJc w:val="right"/>
      <w:pPr>
        <w:ind w:left="4320" w:hanging="180"/>
      </w:pPr>
    </w:lvl>
    <w:lvl w:ilvl="6" w:tplc="47029FA6" w:tentative="1">
      <w:start w:val="1"/>
      <w:numFmt w:val="decimal"/>
      <w:lvlText w:val="%7."/>
      <w:lvlJc w:val="left"/>
      <w:pPr>
        <w:ind w:left="5040" w:hanging="360"/>
      </w:pPr>
    </w:lvl>
    <w:lvl w:ilvl="7" w:tplc="26E8F04E" w:tentative="1">
      <w:start w:val="1"/>
      <w:numFmt w:val="lowerLetter"/>
      <w:lvlText w:val="%8."/>
      <w:lvlJc w:val="left"/>
      <w:pPr>
        <w:ind w:left="5760" w:hanging="360"/>
      </w:pPr>
    </w:lvl>
    <w:lvl w:ilvl="8" w:tplc="86EA418E" w:tentative="1">
      <w:start w:val="1"/>
      <w:numFmt w:val="lowerRoman"/>
      <w:lvlText w:val="%9."/>
      <w:lvlJc w:val="right"/>
      <w:pPr>
        <w:ind w:left="6480" w:hanging="180"/>
      </w:pPr>
    </w:lvl>
  </w:abstractNum>
  <w:abstractNum w:abstractNumId="1">
    <w:nsid w:val="73990993"/>
    <w:multiLevelType w:val="hybridMultilevel"/>
    <w:tmpl w:val="3BD822EE"/>
    <w:lvl w:ilvl="0" w:tplc="1B32B91A">
      <w:start w:val="1"/>
      <w:numFmt w:val="decimal"/>
      <w:lvlText w:val="%1."/>
      <w:lvlJc w:val="left"/>
      <w:pPr>
        <w:ind w:left="360" w:hanging="360"/>
      </w:pPr>
      <w:rPr>
        <w:b w:val="0"/>
      </w:rPr>
    </w:lvl>
    <w:lvl w:ilvl="1" w:tplc="C920588E" w:tentative="1">
      <w:start w:val="1"/>
      <w:numFmt w:val="lowerLetter"/>
      <w:lvlText w:val="%2."/>
      <w:lvlJc w:val="left"/>
      <w:pPr>
        <w:ind w:left="1080" w:hanging="360"/>
      </w:pPr>
    </w:lvl>
    <w:lvl w:ilvl="2" w:tplc="93406422" w:tentative="1">
      <w:start w:val="1"/>
      <w:numFmt w:val="lowerRoman"/>
      <w:lvlText w:val="%3."/>
      <w:lvlJc w:val="right"/>
      <w:pPr>
        <w:ind w:left="1800" w:hanging="180"/>
      </w:pPr>
    </w:lvl>
    <w:lvl w:ilvl="3" w:tplc="DBBA2242" w:tentative="1">
      <w:start w:val="1"/>
      <w:numFmt w:val="decimal"/>
      <w:lvlText w:val="%4."/>
      <w:lvlJc w:val="left"/>
      <w:pPr>
        <w:ind w:left="2520" w:hanging="360"/>
      </w:pPr>
    </w:lvl>
    <w:lvl w:ilvl="4" w:tplc="A5402864" w:tentative="1">
      <w:start w:val="1"/>
      <w:numFmt w:val="lowerLetter"/>
      <w:lvlText w:val="%5."/>
      <w:lvlJc w:val="left"/>
      <w:pPr>
        <w:ind w:left="3240" w:hanging="360"/>
      </w:pPr>
    </w:lvl>
    <w:lvl w:ilvl="5" w:tplc="E59C1AC8" w:tentative="1">
      <w:start w:val="1"/>
      <w:numFmt w:val="lowerRoman"/>
      <w:lvlText w:val="%6."/>
      <w:lvlJc w:val="right"/>
      <w:pPr>
        <w:ind w:left="3960" w:hanging="180"/>
      </w:pPr>
    </w:lvl>
    <w:lvl w:ilvl="6" w:tplc="D41CAFF6" w:tentative="1">
      <w:start w:val="1"/>
      <w:numFmt w:val="decimal"/>
      <w:lvlText w:val="%7."/>
      <w:lvlJc w:val="left"/>
      <w:pPr>
        <w:ind w:left="4680" w:hanging="360"/>
      </w:pPr>
    </w:lvl>
    <w:lvl w:ilvl="7" w:tplc="0FCC4280" w:tentative="1">
      <w:start w:val="1"/>
      <w:numFmt w:val="lowerLetter"/>
      <w:lvlText w:val="%8."/>
      <w:lvlJc w:val="left"/>
      <w:pPr>
        <w:ind w:left="5400" w:hanging="360"/>
      </w:pPr>
    </w:lvl>
    <w:lvl w:ilvl="8" w:tplc="8B18919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6F"/>
    <w:rsid w:val="001D336F"/>
    <w:rsid w:val="004754FE"/>
    <w:rsid w:val="004C71A4"/>
    <w:rsid w:val="00AB08BA"/>
    <w:rsid w:val="00F2158B"/>
    <w:rsid w:val="00F85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A95C"/>
  <w15:docId w15:val="{6962CA34-A61B-4A90-8B96-90010209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4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JE6N4JFJXNNF-9-67732</_dlc_DocId>
    <_dlc_DocIdUrl xmlns="8b66ae41-1ec6-402e-b662-35d1932ca064">
      <Url>http://rkdhs-sb/enhet/EUKansli/_layouts/DocIdRedir.aspx?ID=JE6N4JFJXNNF-9-67732</Url>
      <Description>JE6N4JFJXNNF-9-67732</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92EE-D4D5-4F89-AA79-70112C96C320}">
  <ds:schemaRefs>
    <ds:schemaRef ds:uri="http://schemas.microsoft.com/sharepoint/v3/contenttype/forms"/>
  </ds:schemaRefs>
</ds:datastoreItem>
</file>

<file path=customXml/itemProps2.xml><?xml version="1.0" encoding="utf-8"?>
<ds:datastoreItem xmlns:ds="http://schemas.openxmlformats.org/officeDocument/2006/customXml" ds:itemID="{299965B1-D0B1-4B0D-9879-9273DFD0B691}">
  <ds:schemaRefs>
    <ds:schemaRef ds:uri="http://schemas.openxmlformats.org/package/2006/metadata/core-properties"/>
    <ds:schemaRef ds:uri="8b66ae41-1ec6-402e-b662-35d1932ca064"/>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4c0beb7-0294-4d25-9600-346807c0961e"/>
    <ds:schemaRef ds:uri="http://www.w3.org/XML/1998/namespace"/>
    <ds:schemaRef ds:uri="http://purl.org/dc/dcmitype/"/>
  </ds:schemaRefs>
</ds:datastoreItem>
</file>

<file path=customXml/itemProps3.xml><?xml version="1.0" encoding="utf-8"?>
<ds:datastoreItem xmlns:ds="http://schemas.openxmlformats.org/officeDocument/2006/customXml" ds:itemID="{E2F96B69-25F2-4D31-8E01-2B0CD0FC64D8}">
  <ds:schemaRefs>
    <ds:schemaRef ds:uri="http://schemas.microsoft.com/sharepoint/v3/contenttype/forms/url"/>
  </ds:schemaRefs>
</ds:datastoreItem>
</file>

<file path=customXml/itemProps4.xml><?xml version="1.0" encoding="utf-8"?>
<ds:datastoreItem xmlns:ds="http://schemas.openxmlformats.org/officeDocument/2006/customXml" ds:itemID="{6B29B6B9-510A-44E9-9F62-14BEFD55BA9D}">
  <ds:schemaRefs>
    <ds:schemaRef ds:uri="http://schemas.microsoft.com/office/2006/metadata/customXsn"/>
  </ds:schemaRefs>
</ds:datastoreItem>
</file>

<file path=customXml/itemProps5.xml><?xml version="1.0" encoding="utf-8"?>
<ds:datastoreItem xmlns:ds="http://schemas.openxmlformats.org/officeDocument/2006/customXml" ds:itemID="{CB187359-CD75-4A47-B611-F280F0B2D54D}">
  <ds:schemaRefs>
    <ds:schemaRef ds:uri="http://schemas.microsoft.com/sharepoint/events"/>
  </ds:schemaRefs>
</ds:datastoreItem>
</file>

<file path=customXml/itemProps6.xml><?xml version="1.0" encoding="utf-8"?>
<ds:datastoreItem xmlns:ds="http://schemas.openxmlformats.org/officeDocument/2006/customXml" ds:itemID="{AF7F30D2-9866-41B1-8D3F-AB333373A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CCF0B08-291C-4E8B-BC13-CC56FCED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10756</Characters>
  <Application>Microsoft Office Word</Application>
  <DocSecurity>4</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2015-04-29T09:20:00Z</dcterms:created>
  <dcterms:modified xsi:type="dcterms:W3CDTF">2015-04-29T09:20:00Z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3f578a95-a884-4aef-a5d8-9662c1382d8a</vt:lpwstr>
  </property>
</Properties>
</file>