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67EB9" w:rsidRPr="00A529CA">
        <w:tblPrEx>
          <w:tblCellMar>
            <w:top w:w="0" w:type="dxa"/>
            <w:bottom w:w="0" w:type="dxa"/>
          </w:tblCellMar>
        </w:tblPrEx>
        <w:tc>
          <w:tcPr>
            <w:tcW w:w="2268" w:type="dxa"/>
          </w:tcPr>
          <w:p w:rsidR="00A67EB9" w:rsidRPr="00A529CA" w:rsidRDefault="00A67EB9">
            <w:pPr>
              <w:framePr w:w="4400" w:h="1644" w:wrap="notBeside" w:vAnchor="page" w:hAnchor="page" w:x="6573" w:y="721"/>
              <w:rPr>
                <w:rFonts w:ascii="TradeGothic" w:hAnsi="TradeGothic"/>
                <w:i/>
                <w:sz w:val="18"/>
              </w:rPr>
            </w:pPr>
          </w:p>
        </w:tc>
        <w:tc>
          <w:tcPr>
            <w:tcW w:w="2347" w:type="dxa"/>
            <w:gridSpan w:val="2"/>
          </w:tcPr>
          <w:p w:rsidR="00A67EB9" w:rsidRPr="00A529CA" w:rsidRDefault="00A67EB9">
            <w:pPr>
              <w:framePr w:w="4400" w:h="1644" w:wrap="notBeside" w:vAnchor="page" w:hAnchor="page" w:x="6573" w:y="721"/>
              <w:rPr>
                <w:rFonts w:ascii="TradeGothic" w:hAnsi="TradeGothic"/>
                <w:i/>
                <w:sz w:val="18"/>
              </w:rPr>
            </w:pPr>
          </w:p>
        </w:tc>
      </w:tr>
      <w:tr w:rsidR="00A67EB9" w:rsidRPr="00A529CA">
        <w:tblPrEx>
          <w:tblCellMar>
            <w:top w:w="0" w:type="dxa"/>
            <w:bottom w:w="0" w:type="dxa"/>
          </w:tblCellMar>
        </w:tblPrEx>
        <w:trPr>
          <w:cantSplit/>
        </w:trPr>
        <w:tc>
          <w:tcPr>
            <w:tcW w:w="4615" w:type="dxa"/>
            <w:gridSpan w:val="3"/>
          </w:tcPr>
          <w:p w:rsidR="00A67EB9" w:rsidRPr="00A529CA" w:rsidRDefault="00CC3098">
            <w:pPr>
              <w:framePr w:w="4400" w:h="1644" w:wrap="notBeside" w:vAnchor="page" w:hAnchor="page" w:x="6573" w:y="721"/>
              <w:rPr>
                <w:rFonts w:ascii="TradeGothic" w:hAnsi="TradeGothic"/>
                <w:b/>
                <w:sz w:val="22"/>
              </w:rPr>
            </w:pPr>
            <w:r w:rsidRPr="00A529CA">
              <w:rPr>
                <w:rFonts w:ascii="TradeGothic" w:hAnsi="TradeGothic"/>
                <w:b/>
                <w:sz w:val="22"/>
              </w:rPr>
              <w:t>Rådspromemoria inför EU-nämnden</w:t>
            </w:r>
          </w:p>
        </w:tc>
      </w:tr>
      <w:tr w:rsidR="00A67EB9" w:rsidRPr="00A529CA">
        <w:tblPrEx>
          <w:tblCellMar>
            <w:top w:w="0" w:type="dxa"/>
            <w:bottom w:w="0" w:type="dxa"/>
          </w:tblCellMar>
        </w:tblPrEx>
        <w:tc>
          <w:tcPr>
            <w:tcW w:w="3402" w:type="dxa"/>
            <w:gridSpan w:val="2"/>
          </w:tcPr>
          <w:p w:rsidR="00A67EB9" w:rsidRPr="00A529CA" w:rsidRDefault="00A67EB9">
            <w:pPr>
              <w:framePr w:w="4400" w:h="1644" w:wrap="notBeside" w:vAnchor="page" w:hAnchor="page" w:x="6573" w:y="721"/>
            </w:pPr>
          </w:p>
        </w:tc>
        <w:tc>
          <w:tcPr>
            <w:tcW w:w="1213" w:type="dxa"/>
          </w:tcPr>
          <w:p w:rsidR="00A67EB9" w:rsidRPr="00A529CA" w:rsidRDefault="00A67EB9">
            <w:pPr>
              <w:framePr w:w="4400" w:h="1644" w:wrap="notBeside" w:vAnchor="page" w:hAnchor="page" w:x="6573" w:y="721"/>
            </w:pPr>
          </w:p>
        </w:tc>
      </w:tr>
      <w:tr w:rsidR="00A67EB9" w:rsidRPr="00A529CA">
        <w:tblPrEx>
          <w:tblCellMar>
            <w:top w:w="0" w:type="dxa"/>
            <w:bottom w:w="0" w:type="dxa"/>
          </w:tblCellMar>
        </w:tblPrEx>
        <w:tc>
          <w:tcPr>
            <w:tcW w:w="2268" w:type="dxa"/>
          </w:tcPr>
          <w:p w:rsidR="00A67EB9" w:rsidRPr="00A529CA" w:rsidRDefault="00CC3098">
            <w:pPr>
              <w:framePr w:w="4400" w:h="1644" w:wrap="notBeside" w:vAnchor="page" w:hAnchor="page" w:x="6573" w:y="721"/>
            </w:pPr>
            <w:r w:rsidRPr="00A529CA">
              <w:t>2007-11</w:t>
            </w:r>
            <w:r w:rsidR="00063180" w:rsidRPr="00A529CA">
              <w:t>-</w:t>
            </w:r>
            <w:r w:rsidRPr="00A529CA">
              <w:t>16</w:t>
            </w:r>
          </w:p>
        </w:tc>
        <w:tc>
          <w:tcPr>
            <w:tcW w:w="2347" w:type="dxa"/>
            <w:gridSpan w:val="2"/>
          </w:tcPr>
          <w:p w:rsidR="00A67EB9" w:rsidRPr="00A529CA" w:rsidRDefault="00A67EB9">
            <w:pPr>
              <w:framePr w:w="4400" w:h="1644" w:wrap="notBeside" w:vAnchor="page" w:hAnchor="page" w:x="6573" w:y="721"/>
            </w:pPr>
          </w:p>
        </w:tc>
      </w:tr>
      <w:tr w:rsidR="00A67EB9" w:rsidRPr="00A529CA">
        <w:tblPrEx>
          <w:tblCellMar>
            <w:top w:w="0" w:type="dxa"/>
            <w:bottom w:w="0" w:type="dxa"/>
          </w:tblCellMar>
        </w:tblPrEx>
        <w:tc>
          <w:tcPr>
            <w:tcW w:w="2268" w:type="dxa"/>
          </w:tcPr>
          <w:p w:rsidR="00A67EB9" w:rsidRPr="00A529CA" w:rsidRDefault="00A67EB9">
            <w:pPr>
              <w:framePr w:w="4400" w:h="1644" w:wrap="notBeside" w:vAnchor="page" w:hAnchor="page" w:x="6573" w:y="721"/>
            </w:pPr>
          </w:p>
        </w:tc>
        <w:tc>
          <w:tcPr>
            <w:tcW w:w="2347" w:type="dxa"/>
            <w:gridSpan w:val="2"/>
          </w:tcPr>
          <w:p w:rsidR="00A67EB9" w:rsidRPr="00A529CA" w:rsidRDefault="00A67EB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67EB9" w:rsidRPr="00A529CA">
        <w:tblPrEx>
          <w:tblCellMar>
            <w:top w:w="0" w:type="dxa"/>
            <w:bottom w:w="0" w:type="dxa"/>
          </w:tblCellMar>
        </w:tblPrEx>
        <w:trPr>
          <w:trHeight w:val="284"/>
        </w:trPr>
        <w:tc>
          <w:tcPr>
            <w:tcW w:w="4911" w:type="dxa"/>
          </w:tcPr>
          <w:p w:rsidR="00A67EB9" w:rsidRPr="00A529CA" w:rsidRDefault="00A67EB9">
            <w:pPr>
              <w:pStyle w:val="Avsndare"/>
              <w:framePr w:h="2483" w:wrap="notBeside" w:x="1504"/>
              <w:rPr>
                <w:b/>
                <w:i w:val="0"/>
                <w:sz w:val="22"/>
              </w:rPr>
            </w:pPr>
            <w:r w:rsidRPr="00A529CA">
              <w:rPr>
                <w:b/>
                <w:i w:val="0"/>
                <w:sz w:val="22"/>
              </w:rPr>
              <w:t>Näringsdepartementet</w:t>
            </w:r>
          </w:p>
        </w:tc>
      </w:tr>
      <w:tr w:rsidR="00A67EB9" w:rsidRPr="00A529CA">
        <w:tblPrEx>
          <w:tblCellMar>
            <w:top w:w="0" w:type="dxa"/>
            <w:bottom w:w="0" w:type="dxa"/>
          </w:tblCellMar>
        </w:tblPrEx>
        <w:trPr>
          <w:trHeight w:val="284"/>
        </w:trPr>
        <w:tc>
          <w:tcPr>
            <w:tcW w:w="4911" w:type="dxa"/>
          </w:tcPr>
          <w:p w:rsidR="00A67EB9" w:rsidRPr="00A529CA" w:rsidRDefault="00A67EB9">
            <w:pPr>
              <w:pStyle w:val="Avsndare"/>
              <w:framePr w:h="2483" w:wrap="notBeside" w:x="1504"/>
              <w:rPr>
                <w:bCs/>
                <w:iCs/>
              </w:rPr>
            </w:pPr>
          </w:p>
        </w:tc>
      </w:tr>
      <w:tr w:rsidR="00A67EB9" w:rsidRPr="00A529CA">
        <w:tblPrEx>
          <w:tblCellMar>
            <w:top w:w="0" w:type="dxa"/>
            <w:bottom w:w="0" w:type="dxa"/>
          </w:tblCellMar>
        </w:tblPrEx>
        <w:trPr>
          <w:trHeight w:val="284"/>
        </w:trPr>
        <w:tc>
          <w:tcPr>
            <w:tcW w:w="4911" w:type="dxa"/>
          </w:tcPr>
          <w:p w:rsidR="00A67EB9" w:rsidRPr="00A529CA" w:rsidRDefault="00B60FFC">
            <w:pPr>
              <w:pStyle w:val="Avsndare"/>
              <w:framePr w:h="2483" w:wrap="notBeside" w:x="1504"/>
              <w:rPr>
                <w:bCs/>
                <w:iCs/>
              </w:rPr>
            </w:pPr>
            <w:r w:rsidRPr="00A529CA">
              <w:rPr>
                <w:bCs/>
                <w:iCs/>
              </w:rPr>
              <w:t>Jaak Meri</w:t>
            </w:r>
          </w:p>
          <w:p w:rsidR="00B60FFC" w:rsidRPr="00A529CA" w:rsidRDefault="00CC3098">
            <w:pPr>
              <w:pStyle w:val="Avsndare"/>
              <w:framePr w:h="2483" w:wrap="notBeside" w:x="1504"/>
              <w:rPr>
                <w:bCs/>
                <w:iCs/>
              </w:rPr>
            </w:pPr>
            <w:r w:rsidRPr="00A529CA">
              <w:rPr>
                <w:bCs/>
                <w:iCs/>
              </w:rPr>
              <w:t>Trafikenheten</w:t>
            </w:r>
          </w:p>
          <w:p w:rsidR="00B60FFC" w:rsidRPr="00A529CA" w:rsidRDefault="00B60FFC">
            <w:pPr>
              <w:pStyle w:val="Avsndare"/>
              <w:framePr w:h="2483" w:wrap="notBeside" w:x="1504"/>
              <w:rPr>
                <w:bCs/>
                <w:iCs/>
              </w:rPr>
            </w:pPr>
            <w:r w:rsidRPr="00A529CA">
              <w:rPr>
                <w:bCs/>
                <w:iCs/>
              </w:rPr>
              <w:t>Tel. 08-405 12 03</w:t>
            </w:r>
          </w:p>
          <w:p w:rsidR="00B60FFC" w:rsidRPr="00A529CA" w:rsidRDefault="00B60FFC">
            <w:pPr>
              <w:pStyle w:val="Avsndare"/>
              <w:framePr w:h="2483" w:wrap="notBeside" w:x="1504"/>
              <w:rPr>
                <w:bCs/>
                <w:iCs/>
              </w:rPr>
            </w:pPr>
            <w:r w:rsidRPr="00A529CA">
              <w:rPr>
                <w:bCs/>
                <w:iCs/>
              </w:rPr>
              <w:t>Mobiltelefon 070-590 66 84</w:t>
            </w:r>
          </w:p>
        </w:tc>
      </w:tr>
      <w:tr w:rsidR="00A67EB9" w:rsidRPr="00A529CA">
        <w:tblPrEx>
          <w:tblCellMar>
            <w:top w:w="0" w:type="dxa"/>
            <w:bottom w:w="0" w:type="dxa"/>
          </w:tblCellMar>
        </w:tblPrEx>
        <w:trPr>
          <w:trHeight w:val="284"/>
        </w:trPr>
        <w:tc>
          <w:tcPr>
            <w:tcW w:w="4911" w:type="dxa"/>
          </w:tcPr>
          <w:p w:rsidR="00A67EB9" w:rsidRPr="00A529CA" w:rsidRDefault="00A67EB9">
            <w:pPr>
              <w:pStyle w:val="Avsndare"/>
              <w:framePr w:h="2483" w:wrap="notBeside" w:x="1504"/>
              <w:rPr>
                <w:bCs/>
                <w:iCs/>
              </w:rPr>
            </w:pPr>
          </w:p>
        </w:tc>
      </w:tr>
      <w:tr w:rsidR="00A67EB9" w:rsidRPr="00A529CA">
        <w:tblPrEx>
          <w:tblCellMar>
            <w:top w:w="0" w:type="dxa"/>
            <w:bottom w:w="0" w:type="dxa"/>
          </w:tblCellMar>
        </w:tblPrEx>
        <w:trPr>
          <w:trHeight w:val="284"/>
        </w:trPr>
        <w:tc>
          <w:tcPr>
            <w:tcW w:w="4911" w:type="dxa"/>
          </w:tcPr>
          <w:p w:rsidR="00A67EB9" w:rsidRPr="00A529CA" w:rsidRDefault="00A67EB9">
            <w:pPr>
              <w:pStyle w:val="Avsndare"/>
              <w:framePr w:h="2483" w:wrap="notBeside" w:x="1504"/>
              <w:rPr>
                <w:bCs/>
                <w:iCs/>
              </w:rPr>
            </w:pPr>
          </w:p>
        </w:tc>
      </w:tr>
      <w:tr w:rsidR="00A67EB9" w:rsidRPr="00A529CA">
        <w:tblPrEx>
          <w:tblCellMar>
            <w:top w:w="0" w:type="dxa"/>
            <w:bottom w:w="0" w:type="dxa"/>
          </w:tblCellMar>
        </w:tblPrEx>
        <w:trPr>
          <w:trHeight w:val="284"/>
        </w:trPr>
        <w:tc>
          <w:tcPr>
            <w:tcW w:w="4911" w:type="dxa"/>
          </w:tcPr>
          <w:p w:rsidR="00A67EB9" w:rsidRPr="00A529CA" w:rsidRDefault="00A67EB9">
            <w:pPr>
              <w:pStyle w:val="Avsndare"/>
              <w:framePr w:h="2483" w:wrap="notBeside" w:x="1504"/>
              <w:rPr>
                <w:bCs/>
                <w:iCs/>
              </w:rPr>
            </w:pPr>
          </w:p>
        </w:tc>
      </w:tr>
      <w:tr w:rsidR="00A67EB9" w:rsidRPr="00A529CA">
        <w:tblPrEx>
          <w:tblCellMar>
            <w:top w:w="0" w:type="dxa"/>
            <w:bottom w:w="0" w:type="dxa"/>
          </w:tblCellMar>
        </w:tblPrEx>
        <w:trPr>
          <w:trHeight w:val="284"/>
        </w:trPr>
        <w:tc>
          <w:tcPr>
            <w:tcW w:w="4911" w:type="dxa"/>
          </w:tcPr>
          <w:p w:rsidR="00A67EB9" w:rsidRPr="00A529CA" w:rsidRDefault="00A67EB9">
            <w:pPr>
              <w:pStyle w:val="Avsndare"/>
              <w:framePr w:h="2483" w:wrap="notBeside" w:x="1504"/>
              <w:rPr>
                <w:bCs/>
                <w:iCs/>
              </w:rPr>
            </w:pPr>
          </w:p>
        </w:tc>
      </w:tr>
      <w:tr w:rsidR="00A67EB9" w:rsidRPr="00A529CA">
        <w:tblPrEx>
          <w:tblCellMar>
            <w:top w:w="0" w:type="dxa"/>
            <w:bottom w:w="0" w:type="dxa"/>
          </w:tblCellMar>
        </w:tblPrEx>
        <w:trPr>
          <w:trHeight w:val="284"/>
        </w:trPr>
        <w:tc>
          <w:tcPr>
            <w:tcW w:w="4911" w:type="dxa"/>
          </w:tcPr>
          <w:p w:rsidR="00A67EB9" w:rsidRPr="00A529CA" w:rsidRDefault="00A67EB9">
            <w:pPr>
              <w:pStyle w:val="Avsndare"/>
              <w:framePr w:h="2483" w:wrap="notBeside" w:x="1504"/>
              <w:rPr>
                <w:bCs/>
                <w:iCs/>
              </w:rPr>
            </w:pPr>
          </w:p>
        </w:tc>
      </w:tr>
      <w:tr w:rsidR="00A67EB9" w:rsidRPr="00A529CA">
        <w:tblPrEx>
          <w:tblCellMar>
            <w:top w:w="0" w:type="dxa"/>
            <w:bottom w:w="0" w:type="dxa"/>
          </w:tblCellMar>
        </w:tblPrEx>
        <w:trPr>
          <w:trHeight w:val="284"/>
        </w:trPr>
        <w:tc>
          <w:tcPr>
            <w:tcW w:w="4911" w:type="dxa"/>
          </w:tcPr>
          <w:p w:rsidR="00A67EB9" w:rsidRPr="00A529CA" w:rsidRDefault="00A67EB9">
            <w:pPr>
              <w:pStyle w:val="Avsndare"/>
              <w:framePr w:h="2483" w:wrap="notBeside" w:x="1504"/>
              <w:rPr>
                <w:bCs/>
                <w:iCs/>
              </w:rPr>
            </w:pPr>
          </w:p>
        </w:tc>
      </w:tr>
    </w:tbl>
    <w:p w:rsidR="00A67EB9" w:rsidRPr="00A529CA" w:rsidRDefault="00A67EB9">
      <w:pPr>
        <w:framePr w:w="4400" w:h="2523" w:wrap="notBeside" w:vAnchor="page" w:hAnchor="page" w:x="6453" w:y="2445"/>
        <w:ind w:left="142"/>
        <w:rPr>
          <w:b/>
        </w:rPr>
      </w:pPr>
    </w:p>
    <w:p w:rsidR="00A67EB9" w:rsidRPr="00A529CA" w:rsidRDefault="00A67EB9">
      <w:pPr>
        <w:framePr w:w="4400" w:h="2523" w:wrap="notBeside" w:vAnchor="page" w:hAnchor="page" w:x="6453" w:y="2445"/>
        <w:ind w:left="142"/>
        <w:rPr>
          <w:b/>
        </w:rPr>
      </w:pPr>
    </w:p>
    <w:p w:rsidR="00A67EB9" w:rsidRPr="00A529CA" w:rsidRDefault="00CC3098">
      <w:pPr>
        <w:pStyle w:val="RKrubrik"/>
        <w:pBdr>
          <w:bottom w:val="single" w:sz="6" w:space="1" w:color="auto"/>
        </w:pBdr>
      </w:pPr>
      <w:bookmarkStart w:id="0" w:name="bRubrik"/>
      <w:bookmarkEnd w:id="0"/>
      <w:r w:rsidRPr="00A529CA">
        <w:t>X.</w:t>
      </w:r>
      <w:r w:rsidR="00063180" w:rsidRPr="00A529CA">
        <w:t xml:space="preserve"> </w:t>
      </w:r>
      <w:r w:rsidRPr="00A529CA">
        <w:t>Förslag till Europarådets och rådets direktiv om gemensamma regler och standarder för organisationer som utför inspektioner och utövar tillsyn av fartyg och för sjöfartsadministrationernas verksamhet i förbindelse därmed</w:t>
      </w:r>
    </w:p>
    <w:p w:rsidR="00A67EB9" w:rsidRPr="00A529CA" w:rsidRDefault="00A67EB9">
      <w:pPr>
        <w:pStyle w:val="RKrubrik"/>
      </w:pPr>
      <w:r w:rsidRPr="00A529CA">
        <w:t>Dokumentbeteckning</w:t>
      </w:r>
    </w:p>
    <w:p w:rsidR="00A67EB9" w:rsidRPr="00A529CA" w:rsidRDefault="00063180" w:rsidP="003B6E5A">
      <w:pPr>
        <w:pStyle w:val="RKnormal"/>
      </w:pPr>
      <w:r w:rsidRPr="00A529CA">
        <w:t xml:space="preserve">Rådsdokument </w:t>
      </w:r>
      <w:r w:rsidR="00CC3098" w:rsidRPr="00A529CA">
        <w:t>saknas eftersom Coreper ännu inte behandlat förslaget.</w:t>
      </w:r>
    </w:p>
    <w:p w:rsidR="005E00DE" w:rsidRPr="00A529CA" w:rsidRDefault="005E00DE" w:rsidP="003B6E5A">
      <w:pPr>
        <w:pStyle w:val="RKnormal"/>
      </w:pPr>
    </w:p>
    <w:p w:rsidR="005E00DE" w:rsidRPr="00A529CA" w:rsidRDefault="005E00DE" w:rsidP="003B6E5A">
      <w:pPr>
        <w:pStyle w:val="RKnormal"/>
      </w:pPr>
      <w:r w:rsidRPr="00A529CA">
        <w:t>KOM:s ursprungsdokument: KOM(2005)587 slutlig</w:t>
      </w:r>
    </w:p>
    <w:p w:rsidR="00A67EB9" w:rsidRPr="00A529CA" w:rsidRDefault="00A67EB9">
      <w:pPr>
        <w:pStyle w:val="RKrubrik"/>
      </w:pPr>
      <w:r w:rsidRPr="00A529CA">
        <w:t>Sammanfattning</w:t>
      </w:r>
    </w:p>
    <w:p w:rsidR="00CC3098" w:rsidRPr="00A529CA" w:rsidRDefault="00CC3098" w:rsidP="00CC3098">
      <w:pPr>
        <w:pStyle w:val="RKnormal"/>
      </w:pPr>
      <w:r w:rsidRPr="00A529CA">
        <w:t>Som ett led i det tredje sjösäkerhetspaketet föreslår kommissionen skärpningar av EG-lagstiftningen om gemensamma regler och standarder för organisationer (s.k. klassificeringssällskap) som utför inspektioner och utövar tillsyn av fartyg och för sjöfartsadministrationernas verksamhet i förbindelse därmed. Förslaget behandlar hur EU ska skärpa kraven på klassificeringssällskapen, dvs. de organ som inspekterar och certifierar fartyg. Syftet är att reformera gällande bestämmelser om erkännande av klassificeringssällskap. Ändringarna omfattar bl.a. skärpt kontroll, kriterier för erkännande av klassificeringssällskap, påföljder, kommissionens tillsyn och sällskapens organisationsform.</w:t>
      </w:r>
    </w:p>
    <w:p w:rsidR="00CC3098" w:rsidRPr="00A529CA" w:rsidRDefault="00CC3098" w:rsidP="00CC3098">
      <w:pPr>
        <w:pStyle w:val="RKnormal"/>
      </w:pPr>
    </w:p>
    <w:p w:rsidR="00CC3098" w:rsidRPr="00A529CA" w:rsidRDefault="00CC3098" w:rsidP="00CC3098">
      <w:pPr>
        <w:pStyle w:val="RKnormal"/>
      </w:pPr>
      <w:r w:rsidRPr="00A529CA">
        <w:t>Coreper kommer den 21 november 2007 inför TTE-rådet att behandla utestående frågor i förslaget. Det är därför fortfarande oklart vilka utestående frågor som kommer att gå till TTE-rådet. Följande frågor kan dock hamna på rådets bord:</w:t>
      </w:r>
    </w:p>
    <w:p w:rsidR="00CC3098" w:rsidRPr="00A529CA" w:rsidRDefault="00CC3098" w:rsidP="00CC3098">
      <w:pPr>
        <w:pStyle w:val="RKnormal"/>
      </w:pPr>
    </w:p>
    <w:p w:rsidR="00CC3098" w:rsidRPr="00A529CA" w:rsidRDefault="00CC3098" w:rsidP="00CC3098">
      <w:pPr>
        <w:pStyle w:val="RKnormal"/>
      </w:pPr>
      <w:r w:rsidRPr="00A529CA">
        <w:t xml:space="preserve">Samarbetsorgan: I artikel 21 föreslår KOM att ett särskilt samarbetsorgan inrättas inom EU. Alla klassificeringssällskap ska vara medlemmar av detta organ, som i praktiken ska styras av KOM. </w:t>
      </w:r>
    </w:p>
    <w:p w:rsidR="005E00DE" w:rsidRPr="00A529CA" w:rsidRDefault="005E00DE" w:rsidP="00CC3098">
      <w:pPr>
        <w:pStyle w:val="RKnormal"/>
      </w:pPr>
    </w:p>
    <w:p w:rsidR="001C3AC0" w:rsidRPr="00A529CA" w:rsidRDefault="00CC3098" w:rsidP="00CC3098">
      <w:pPr>
        <w:pStyle w:val="RKnormal"/>
      </w:pPr>
      <w:r w:rsidRPr="00A529CA">
        <w:lastRenderedPageBreak/>
        <w:t xml:space="preserve">Rättsaktens form: Rådets rättstjänst anser att förslaget innehåller bestämmelser som riktar sig mot enskilda och att rättsakten därför bör anta formen av förordning. Om dessa bestämmelser finns i ett direktiv skulle det bli svårt för MS att genomföra dem i sin nationella lagstiftning eftersom det är KOM som ska vidta åtgärder i form av sanktioner. Man kan också dela upp rättsakten i ett direktiv och en förordning eller anpassa texten så att den bättre passar ett direktiv. </w:t>
      </w:r>
    </w:p>
    <w:p w:rsidR="00A67EB9" w:rsidRPr="00A529CA" w:rsidRDefault="00A67EB9">
      <w:pPr>
        <w:pStyle w:val="RKrubrik"/>
      </w:pPr>
      <w:r w:rsidRPr="00A529CA">
        <w:t>Rättslig grund och beslutsförfarande</w:t>
      </w:r>
    </w:p>
    <w:p w:rsidR="001C3AC0" w:rsidRPr="00A529CA" w:rsidRDefault="001C3AC0" w:rsidP="001C3AC0">
      <w:pPr>
        <w:pStyle w:val="RKnormal"/>
      </w:pPr>
      <w:r w:rsidRPr="00A529CA">
        <w:t>Rättslig grund utgörs av EG-fördragets artikel 80.2. Beslut fattas med kvalificerad majoritet efter beslutsförfarande i enlighet med artikel 251.</w:t>
      </w:r>
    </w:p>
    <w:p w:rsidR="00A67EB9" w:rsidRPr="00A529CA" w:rsidRDefault="00A67EB9">
      <w:pPr>
        <w:pStyle w:val="RKrubrik"/>
      </w:pPr>
      <w:r w:rsidRPr="00A529CA">
        <w:t>I Ståndpunkter</w:t>
      </w:r>
    </w:p>
    <w:p w:rsidR="00A67EB9" w:rsidRPr="00A529CA" w:rsidRDefault="00A67EB9">
      <w:pPr>
        <w:pStyle w:val="RKrubrik"/>
      </w:pPr>
      <w:r w:rsidRPr="00A529CA">
        <w:t>1. Svensk ståndpunkt</w:t>
      </w:r>
    </w:p>
    <w:p w:rsidR="005E00DE" w:rsidRPr="00A529CA" w:rsidRDefault="005E00DE" w:rsidP="005E00DE">
      <w:pPr>
        <w:pStyle w:val="RKnormal"/>
      </w:pPr>
      <w:r w:rsidRPr="00A529CA">
        <w:t>Sverige är generellt sett positiv till att man ser över gemenskapens regler för klassificeringssällskap. Vissa delar av förslaget är dock kontroversiella även ur ett svenskt perspektiv, främst artikel 21.</w:t>
      </w:r>
    </w:p>
    <w:p w:rsidR="005E00DE" w:rsidRPr="00A529CA" w:rsidRDefault="005E00DE" w:rsidP="005E00DE">
      <w:pPr>
        <w:pStyle w:val="RKnormal"/>
      </w:pPr>
    </w:p>
    <w:p w:rsidR="005E00DE" w:rsidRPr="00A529CA" w:rsidRDefault="005E00DE" w:rsidP="005E00DE">
      <w:pPr>
        <w:pStyle w:val="RKnormal"/>
      </w:pPr>
      <w:r w:rsidRPr="00A529CA">
        <w:t xml:space="preserve">Samarbetsorgan: SE arbetar mycket aktivt inom IMO för att inte detaljreglera sällskapens verksamhet utan i stället ta fram målbaserade och användarvänliga regler. Om EU skulle föreslå att man genom ett särskilt samarbetsorgan detaljstyr sällskapens arbete, skulle detta gå tvärt emot det förebyggande arbete som SE sedan länge driver inom IMO. SE anser också att det redan finns ett väl fungerande internationellt samarbetsorgan för klassificeringssällskap, IACS, som arbetar för samma syften som det föreslagna organet föreslås göra. SE bör därför stödja förslag som innebär att artikel 21 stryks eller omarbetas. </w:t>
      </w:r>
    </w:p>
    <w:p w:rsidR="005E00DE" w:rsidRPr="00A529CA" w:rsidRDefault="005E00DE" w:rsidP="005E00DE">
      <w:pPr>
        <w:pStyle w:val="RKnormal"/>
      </w:pPr>
    </w:p>
    <w:p w:rsidR="00C368A0" w:rsidRPr="00A529CA" w:rsidRDefault="005E00DE" w:rsidP="005E00DE">
      <w:pPr>
        <w:pStyle w:val="RKnormal"/>
      </w:pPr>
      <w:r w:rsidRPr="00A529CA">
        <w:t>Rättsaktens form: SE stöder rådets rättstjänst, men kan också godta ORDF förslag om att skriva om förslaget som ett direktiv.</w:t>
      </w:r>
      <w:r w:rsidR="00C368A0" w:rsidRPr="00A529CA">
        <w:t xml:space="preserve"> </w:t>
      </w:r>
    </w:p>
    <w:p w:rsidR="00A67EB9" w:rsidRPr="00A529CA" w:rsidRDefault="00A67EB9">
      <w:pPr>
        <w:pStyle w:val="RKrubrik"/>
      </w:pPr>
      <w:r w:rsidRPr="00A529CA">
        <w:t>2. Övriga medlemsstaters ståndpunkter</w:t>
      </w:r>
    </w:p>
    <w:p w:rsidR="005E00DE" w:rsidRPr="00A529CA" w:rsidRDefault="005E00DE" w:rsidP="005E00DE">
      <w:pPr>
        <w:pStyle w:val="RKnormal"/>
      </w:pPr>
      <w:r w:rsidRPr="00A529CA">
        <w:t>Samarbetsorgan: Flera MS vill antingen stryka eller skriva artikeln eftersom organet riskerar att ge fel signaler till IMO i denna fråga. Diskussionerna i rådsarbetsgruppen faller nämligen tillbaka på vad som pågår inom IMO, där flera stora flaggstat vill ha mycket detaljerade regler för klassificeringssällskap så att ansvarsbördan hamnar på sällskapen vid olyckor. Dessa stater stöder också KOM:s förslag om ett samarbetsorgan som KOM styr. Andra MS vill undvika detaljstyrning och i stället skapa övergripande säkerhetsmål som sällskapen ska uppnå. På så sätt blir regelverket för sällskapen mer öppet och användarvänligt och MS kan lättare styra vilken säkerhetsnivå som ska gälla.</w:t>
      </w:r>
    </w:p>
    <w:p w:rsidR="005E00DE" w:rsidRPr="00A529CA" w:rsidRDefault="005E00DE" w:rsidP="005E00DE">
      <w:pPr>
        <w:pStyle w:val="RKnormal"/>
      </w:pPr>
    </w:p>
    <w:p w:rsidR="005B6DAB" w:rsidRPr="00A529CA" w:rsidRDefault="005E00DE" w:rsidP="00C368A0">
      <w:pPr>
        <w:pStyle w:val="RKnormal"/>
      </w:pPr>
      <w:r w:rsidRPr="00A529CA">
        <w:t>Rättsaktens form: KOM och några MS anser att ett direktiv är lämpligast, ett flertal MS föredrar rättstjänstens förslag om en förordning och vissa MS ställer sig helt flexibla. ORDF har behållt formen direktiv för att kunna avsluta arbetet med förslaget snabbt och effektivt. MS avvaktar förslag från rådets rättstjänst på formulering av de artiklar som behöver skrivas om för att direktivformen ska kunna behållas</w:t>
      </w:r>
      <w:r w:rsidR="002405D3" w:rsidRPr="00A529CA">
        <w:t>.</w:t>
      </w:r>
    </w:p>
    <w:p w:rsidR="00A67EB9" w:rsidRPr="00A529CA" w:rsidRDefault="00A67EB9">
      <w:pPr>
        <w:pStyle w:val="RKrubrik"/>
      </w:pPr>
      <w:r w:rsidRPr="00A529CA">
        <w:t>3. Institutionernas ståndpunkter</w:t>
      </w:r>
    </w:p>
    <w:p w:rsidR="00C368A0" w:rsidRPr="00A529CA" w:rsidRDefault="002405D3" w:rsidP="00C368A0">
      <w:pPr>
        <w:pStyle w:val="RKnormal"/>
      </w:pPr>
      <w:r w:rsidRPr="00A529CA">
        <w:t xml:space="preserve">Europaparlamentet </w:t>
      </w:r>
      <w:r w:rsidR="005E00DE" w:rsidRPr="00A529CA">
        <w:t xml:space="preserve">har </w:t>
      </w:r>
      <w:r w:rsidRPr="00A529CA">
        <w:t>rösta</w:t>
      </w:r>
      <w:r w:rsidR="005E00DE" w:rsidRPr="00A529CA">
        <w:t>t</w:t>
      </w:r>
      <w:r w:rsidRPr="00A529CA">
        <w:t xml:space="preserve"> igenom sina ändrin</w:t>
      </w:r>
      <w:r w:rsidR="005E00DE" w:rsidRPr="00A529CA">
        <w:t>gsförslag</w:t>
      </w:r>
      <w:r w:rsidRPr="00A529CA">
        <w:t>.</w:t>
      </w:r>
      <w:r w:rsidR="00C368A0" w:rsidRPr="00A529CA">
        <w:t xml:space="preserve"> </w:t>
      </w:r>
    </w:p>
    <w:p w:rsidR="00A67EB9" w:rsidRPr="00A529CA" w:rsidRDefault="00A67EB9">
      <w:pPr>
        <w:pStyle w:val="RKrubrik"/>
      </w:pPr>
      <w:r w:rsidRPr="00A529CA">
        <w:t>4. Synpunkter från remissbehandling eller samråd med berörda aktörer</w:t>
      </w:r>
    </w:p>
    <w:p w:rsidR="002405D3" w:rsidRPr="00A529CA" w:rsidRDefault="005E00DE" w:rsidP="002405D3">
      <w:pPr>
        <w:pStyle w:val="RKnormal"/>
      </w:pPr>
      <w:r w:rsidRPr="00A529CA">
        <w:t xml:space="preserve">Förslaget har remitterats till berörda myndigheter och intresseorganisationer, vilka </w:t>
      </w:r>
      <w:r w:rsidR="00460BC7" w:rsidRPr="00A529CA">
        <w:t>stöder förslaget.</w:t>
      </w:r>
    </w:p>
    <w:p w:rsidR="002405D3" w:rsidRPr="00A529CA" w:rsidRDefault="002405D3" w:rsidP="002405D3">
      <w:pPr>
        <w:pStyle w:val="RKnormal"/>
      </w:pPr>
    </w:p>
    <w:p w:rsidR="00460BC7" w:rsidRPr="00A529CA" w:rsidRDefault="00460BC7" w:rsidP="002405D3">
      <w:pPr>
        <w:pStyle w:val="RKnormal"/>
      </w:pPr>
      <w:r w:rsidRPr="00A529CA">
        <w:t xml:space="preserve">Sjöfartsverket </w:t>
      </w:r>
      <w:r w:rsidR="005E00DE" w:rsidRPr="00A529CA">
        <w:t>är kritiskt till det samarbetsorgan som KOM vill inrätta a</w:t>
      </w:r>
      <w:r w:rsidR="00E87D94" w:rsidRPr="00A529CA">
        <w:t>v de skäl som anges under den svenska ståndpunkten ovan</w:t>
      </w:r>
      <w:r w:rsidRPr="00A529CA">
        <w:t>.</w:t>
      </w:r>
      <w:r w:rsidR="008F4CCD" w:rsidRPr="00A529CA">
        <w:t xml:space="preserve"> </w:t>
      </w:r>
    </w:p>
    <w:p w:rsidR="00A67EB9" w:rsidRPr="00A529CA" w:rsidRDefault="00A67EB9" w:rsidP="00460BC7">
      <w:pPr>
        <w:pStyle w:val="RKrubrik"/>
      </w:pPr>
      <w:r w:rsidRPr="00A529CA">
        <w:t>II Förslaget</w:t>
      </w:r>
    </w:p>
    <w:p w:rsidR="00A67EB9" w:rsidRPr="00A529CA" w:rsidRDefault="00A67EB9">
      <w:pPr>
        <w:pStyle w:val="RKrubrik"/>
      </w:pPr>
      <w:r w:rsidRPr="00A529CA">
        <w:t>1. Innehåll</w:t>
      </w:r>
    </w:p>
    <w:p w:rsidR="00E87D94" w:rsidRPr="00A529CA" w:rsidRDefault="00E87D94" w:rsidP="00E87D94">
      <w:pPr>
        <w:pStyle w:val="RKnormal"/>
      </w:pPr>
      <w:r w:rsidRPr="00A529CA">
        <w:t>Direktivet ingår som en av sju rättsakter i EU:s tredje sjöfartspaket, vars syfte är dels att förbättra skyddet mot olyckor och utsläpp, dels ta hand om följderna av olyckor. Fyra av rättsakterna är helt nya. Dessa handlar om flaggstaternas ansvar, undersökning av olyckor, ersättning till passagerare vid sjöolyckor samt redarnas civilrättsliga ansvar. Tre rättsakter är ändringar i gällande lagstiftning om klassificeringssällskap, hamnstatskontroll och sjötrafikövervakning.</w:t>
      </w:r>
    </w:p>
    <w:p w:rsidR="00E87D94" w:rsidRPr="00A529CA" w:rsidRDefault="00E87D94" w:rsidP="00E87D94">
      <w:pPr>
        <w:pStyle w:val="RKnormal"/>
      </w:pPr>
    </w:p>
    <w:p w:rsidR="00E87D94" w:rsidRPr="00A529CA" w:rsidRDefault="00E87D94" w:rsidP="00E87D94">
      <w:pPr>
        <w:pStyle w:val="RKnormal"/>
      </w:pPr>
      <w:r w:rsidRPr="00A529CA">
        <w:t>Direktivförslaget om klassificeringssällskap behandlar EU:s krav på klassificeringssällskapen, dvs. de erkända organisationer som på flaggstatens uppdrag inspekterar och certifierar fartyg. Syftet är att reformera gällande bestämmelser om erkännande av klassificeringssällskap.</w:t>
      </w:r>
    </w:p>
    <w:p w:rsidR="00E87D94" w:rsidRPr="00A529CA" w:rsidRDefault="00E87D94" w:rsidP="00E87D94">
      <w:pPr>
        <w:pStyle w:val="RKnormal"/>
      </w:pPr>
    </w:p>
    <w:p w:rsidR="00E87D94" w:rsidRPr="00A529CA" w:rsidRDefault="00E87D94" w:rsidP="00E87D94">
      <w:pPr>
        <w:pStyle w:val="RKnormal"/>
      </w:pPr>
      <w:r w:rsidRPr="00A529CA">
        <w:t>Ändringarna i gällande lagstiftning gäller främst skärpt kontroll, kriterier för erkännande av klassificeringssällskap, påföljder, kommissionens tillsyn och sällskapens organisationsform.</w:t>
      </w:r>
    </w:p>
    <w:p w:rsidR="00C847B4" w:rsidRPr="00A529CA" w:rsidRDefault="00E87D94" w:rsidP="00C847B4">
      <w:pPr>
        <w:pStyle w:val="Rubrik4"/>
      </w:pPr>
      <w:r w:rsidRPr="00A529CA">
        <w:t xml:space="preserve">Skärpt kontroll av klassificeringssällskapen: </w:t>
      </w:r>
    </w:p>
    <w:p w:rsidR="00E87D94" w:rsidRPr="00A529CA" w:rsidRDefault="00E87D94" w:rsidP="00E87D94">
      <w:pPr>
        <w:pStyle w:val="RKnormal"/>
      </w:pPr>
      <w:r w:rsidRPr="00A529CA">
        <w:t xml:space="preserve">Kontrollen skärps genom att klassificeringssällskapen inrättar ett gemensamt organ för bedömning och certifiering av kvaliteten på fartygsinspektionerna. Organet skall vara oberoende och bl.a. ha till uppgift att föreslå åtgärder för att förbättra klassificeringssällskapens arbete. </w:t>
      </w:r>
    </w:p>
    <w:p w:rsidR="00C847B4" w:rsidRPr="00A529CA" w:rsidRDefault="00E87D94" w:rsidP="00C847B4">
      <w:pPr>
        <w:pStyle w:val="Rubrik4"/>
      </w:pPr>
      <w:r w:rsidRPr="00A529CA">
        <w:t xml:space="preserve">Nya kriterier för erkännande av klassificeringssällskap: </w:t>
      </w:r>
    </w:p>
    <w:p w:rsidR="00E87D94" w:rsidRPr="00A529CA" w:rsidRDefault="00E87D94" w:rsidP="00E87D94">
      <w:pPr>
        <w:pStyle w:val="RKnormal"/>
      </w:pPr>
      <w:r w:rsidRPr="00A529CA">
        <w:t>EU:s erkännande av klassificeringssällskapen kommer inte längre att grundas på sällskapens storlek, utan enbart på det enskilda sällskapets kvalitets- och prestationsnivå i fråga om säkerhet och miljöskydd. Det blir möjligt att hindra erkända klassificeringssällskap att ingripa på medlemsstaters vägnar inom specialområden där sällskapet inte har den nödvändiga kompetensen.</w:t>
      </w:r>
    </w:p>
    <w:p w:rsidR="00C847B4" w:rsidRPr="00A529CA" w:rsidRDefault="00C847B4" w:rsidP="00E87D94">
      <w:pPr>
        <w:pStyle w:val="RKnormal"/>
      </w:pPr>
    </w:p>
    <w:p w:rsidR="00E87D94" w:rsidRPr="00A529CA" w:rsidRDefault="00E87D94" w:rsidP="00E87D94">
      <w:pPr>
        <w:pStyle w:val="RKnormal"/>
      </w:pPr>
      <w:r w:rsidRPr="00A529CA">
        <w:t xml:space="preserve">Klassificeringssällskapen får inte längre använda inspektörer som inte uteslutande ägnar sig åt inspektion. </w:t>
      </w:r>
    </w:p>
    <w:p w:rsidR="00C847B4" w:rsidRPr="00A529CA" w:rsidRDefault="00C847B4" w:rsidP="00E87D94">
      <w:pPr>
        <w:pStyle w:val="RKnormal"/>
      </w:pPr>
    </w:p>
    <w:p w:rsidR="00E87D94" w:rsidRPr="00A529CA" w:rsidRDefault="00E87D94" w:rsidP="00E87D94">
      <w:pPr>
        <w:pStyle w:val="RKnormal"/>
      </w:pPr>
      <w:r w:rsidRPr="00A529CA">
        <w:t xml:space="preserve">Klassificeringssällskapen skall också vara juridiska personer och deras bokföring skall revideras av en auktoriserad revisor. Revision av bokföringen är enda sättet att kontrollera organisationernas oavhängighet. De nya bestämmelserna om påföljder medför också ett behov av insikt i klassificeringssällskapens ekonomi. </w:t>
      </w:r>
    </w:p>
    <w:p w:rsidR="00C847B4" w:rsidRPr="00A529CA" w:rsidRDefault="00E87D94" w:rsidP="00C847B4">
      <w:pPr>
        <w:pStyle w:val="Rubrik4"/>
      </w:pPr>
      <w:r w:rsidRPr="00A529CA">
        <w:t xml:space="preserve">Påföljder: </w:t>
      </w:r>
    </w:p>
    <w:p w:rsidR="00E87D94" w:rsidRPr="00A529CA" w:rsidRDefault="00E87D94" w:rsidP="00E87D94">
      <w:pPr>
        <w:pStyle w:val="RKnormal"/>
      </w:pPr>
      <w:r w:rsidRPr="00A529CA">
        <w:t xml:space="preserve">Samarbete och partnerskap mellan klassificeringssällskapen behöver kompletteras med ett påföljdssystem som ger myndigheterna en möjlighet att utöva påtryckningar på organisationer som inte fullgör sina förpliktelser. Dagens påföljdssystem omarbetas och alla överträdelser och påföljder samlas på en lista. </w:t>
      </w:r>
    </w:p>
    <w:p w:rsidR="00C847B4" w:rsidRPr="00A529CA" w:rsidRDefault="00C847B4" w:rsidP="00E87D94">
      <w:pPr>
        <w:pStyle w:val="RKnormal"/>
      </w:pPr>
    </w:p>
    <w:p w:rsidR="00E87D94" w:rsidRPr="00A529CA" w:rsidRDefault="00E87D94" w:rsidP="00E87D94">
      <w:pPr>
        <w:pStyle w:val="RKnormal"/>
      </w:pPr>
      <w:r w:rsidRPr="00A529CA">
        <w:t xml:space="preserve">Det tillfälliga upphävandet av erkännanden ersätts av ekonomiska påföljder, som lättare kan varieras. Ekonomiska påföljder behöver enligt kommissionen varieras både med avseende på överträdelsens allvarlighet och organisationens ekonomiska förmåga. </w:t>
      </w:r>
    </w:p>
    <w:p w:rsidR="00C847B4" w:rsidRPr="00A529CA" w:rsidRDefault="00C847B4" w:rsidP="00E87D94">
      <w:pPr>
        <w:pStyle w:val="RKnormal"/>
      </w:pPr>
    </w:p>
    <w:p w:rsidR="00E87D94" w:rsidRPr="00A529CA" w:rsidRDefault="00E87D94" w:rsidP="00E87D94">
      <w:pPr>
        <w:pStyle w:val="RKnormal"/>
      </w:pPr>
      <w:r w:rsidRPr="00A529CA">
        <w:t>Kommissionen föreslår att direktivet fastställer påföljdssystemets principer och en övre gräns för bötesbelopp och viten. Detaljerade tillämpningsföreskrifter föreslås bli antagna inom ramen för kommittéförfarandet, med en utredning gjord i samarbete med medlemsstaterna och i samråd med klassificeringssällskapen som underlag.</w:t>
      </w:r>
    </w:p>
    <w:p w:rsidR="00C847B4" w:rsidRPr="00A529CA" w:rsidRDefault="00E87D94" w:rsidP="00C847B4">
      <w:pPr>
        <w:pStyle w:val="Rubrik4"/>
      </w:pPr>
      <w:r w:rsidRPr="00A529CA">
        <w:t xml:space="preserve">Kommissionens inspektion: </w:t>
      </w:r>
    </w:p>
    <w:p w:rsidR="00C847B4" w:rsidRPr="00A529CA" w:rsidRDefault="00E87D94" w:rsidP="00E87D94">
      <w:pPr>
        <w:pStyle w:val="RKnormal"/>
      </w:pPr>
      <w:r w:rsidRPr="00A529CA">
        <w:t xml:space="preserve">Kommissionen vill försäkra sig om att klassificeringssällskapen är lika stränga mot alla fartyg som trafikerar gemenskapens vatten, oavsett om de är flaggade i tredjeland eller i medlemsstaterna. Därför gäller samma kriterier för erkännande för alla flaggstater. Målsättningen är att klassificeringssällskapen skall hålla en jämn kvalitet. </w:t>
      </w:r>
    </w:p>
    <w:p w:rsidR="00C847B4" w:rsidRPr="00A529CA" w:rsidRDefault="00E87D94" w:rsidP="00C847B4">
      <w:pPr>
        <w:pStyle w:val="Rubrik4"/>
      </w:pPr>
      <w:r w:rsidRPr="00A529CA">
        <w:t xml:space="preserve">Klassificeringssällskapens organisationsform: </w:t>
      </w:r>
    </w:p>
    <w:p w:rsidR="00683F35" w:rsidRPr="00A529CA" w:rsidRDefault="00E87D94" w:rsidP="00E87D94">
      <w:pPr>
        <w:pStyle w:val="RKnormal"/>
      </w:pPr>
      <w:r w:rsidRPr="00A529CA">
        <w:t>Kommissionen föreslår att begreppet organisation omfattar alla tänkbara beroendeförhållanden mellan olika juridiska personer, som under ett gemensamt paraply bedriver verksamhet som omfattas av direktivet.</w:t>
      </w:r>
    </w:p>
    <w:p w:rsidR="00A67EB9" w:rsidRPr="00A529CA" w:rsidRDefault="00A67EB9">
      <w:pPr>
        <w:pStyle w:val="RKrubrik"/>
      </w:pPr>
      <w:r w:rsidRPr="00A529CA">
        <w:t>2. Analys</w:t>
      </w:r>
    </w:p>
    <w:p w:rsidR="00A67EB9" w:rsidRPr="00A529CA" w:rsidRDefault="00A67EB9">
      <w:pPr>
        <w:pStyle w:val="RKrubrik"/>
      </w:pPr>
      <w:r w:rsidRPr="00A529CA">
        <w:t>- gällande svenska regler</w:t>
      </w:r>
    </w:p>
    <w:p w:rsidR="00A67EB9" w:rsidRPr="00A529CA" w:rsidRDefault="00C847B4">
      <w:pPr>
        <w:pStyle w:val="RKnormal"/>
      </w:pPr>
      <w:r w:rsidRPr="00A529CA">
        <w:t>Rådets direktiv 95/21/EG om gemensamma regler och standarder för organisationer som utför inspektioner och utövar tillsyn av fartyg och för sjöfartsadministrationernas verksamhet i förbindelse därmed och Europaparlamentets och rådets direktiv 2001/105/EG om ändring av direktiv 95/21/EG är genomförda i nuvarande fartygssäkerhetslag (2003:364) och fartygssäkerhetsförordning (2003:438). Kommissionens förslag kräver förmodligen att dessa författningar ändras förutsatt att rättsakten antas i formen av ett direktiv.</w:t>
      </w:r>
    </w:p>
    <w:p w:rsidR="00A67EB9" w:rsidRPr="00A529CA" w:rsidRDefault="00A67EB9">
      <w:pPr>
        <w:pStyle w:val="RKrubrik"/>
      </w:pPr>
      <w:r w:rsidRPr="00A529CA">
        <w:t>- budgetära konsekvenser</w:t>
      </w:r>
    </w:p>
    <w:p w:rsidR="00A67EB9" w:rsidRPr="00A529CA" w:rsidRDefault="00C847B4" w:rsidP="001C3AC0">
      <w:pPr>
        <w:pStyle w:val="RKnormal"/>
      </w:pPr>
      <w:r w:rsidRPr="00A529CA">
        <w:t>Enligt kommissionen påverkar förslaget inte gemenskapens budget. De kostnader som uppstår berör främst klassificeringssällskapen.</w:t>
      </w:r>
    </w:p>
    <w:p w:rsidR="00A67EB9" w:rsidRPr="00A529CA" w:rsidRDefault="00A67EB9">
      <w:pPr>
        <w:pStyle w:val="RKrubrik"/>
      </w:pPr>
      <w:r w:rsidRPr="00A529CA">
        <w:t>- konsekvenser för stat, kommun, landsting, företag och enskilda</w:t>
      </w:r>
    </w:p>
    <w:p w:rsidR="00A67EB9" w:rsidRPr="00A529CA" w:rsidRDefault="00C847B4" w:rsidP="001C3AC0">
      <w:pPr>
        <w:pStyle w:val="RKnormal"/>
      </w:pPr>
      <w:r w:rsidRPr="00A529CA">
        <w:t>De berörda myndigheternas ökade arbetsbörda lär vara marginell</w:t>
      </w:r>
      <w:r w:rsidR="001C3AC0" w:rsidRPr="00A529CA">
        <w:t>.</w:t>
      </w:r>
    </w:p>
    <w:p w:rsidR="00A67EB9" w:rsidRPr="00A529CA" w:rsidRDefault="00A67EB9">
      <w:pPr>
        <w:pStyle w:val="RKrubrik"/>
      </w:pPr>
      <w:r w:rsidRPr="00A529CA">
        <w:t>- kommissionens konsekvensanalys</w:t>
      </w:r>
    </w:p>
    <w:p w:rsidR="00A67EB9" w:rsidRPr="00A529CA" w:rsidRDefault="001C3AC0">
      <w:pPr>
        <w:pStyle w:val="RKnormal"/>
      </w:pPr>
      <w:r w:rsidRPr="00A529CA">
        <w:t xml:space="preserve">Se </w:t>
      </w:r>
      <w:r w:rsidR="00C847B4" w:rsidRPr="00A529CA">
        <w:t>budgetära konsekvenser</w:t>
      </w:r>
      <w:r w:rsidRPr="00A529CA">
        <w:t>.</w:t>
      </w:r>
    </w:p>
    <w:p w:rsidR="00A67EB9" w:rsidRPr="00A529CA" w:rsidRDefault="00A67EB9">
      <w:pPr>
        <w:pStyle w:val="RKrubrik"/>
      </w:pPr>
      <w:r w:rsidRPr="00A529CA">
        <w:t>III Övrigt</w:t>
      </w:r>
    </w:p>
    <w:p w:rsidR="00A67EB9" w:rsidRPr="00A529CA" w:rsidRDefault="00A67EB9">
      <w:pPr>
        <w:pStyle w:val="RKrubrik"/>
      </w:pPr>
      <w:r w:rsidRPr="00A529CA">
        <w:t>1. Fortsatt behandling av ärendet</w:t>
      </w:r>
    </w:p>
    <w:p w:rsidR="00A67EB9" w:rsidRPr="00A529CA" w:rsidRDefault="009205FA">
      <w:pPr>
        <w:pStyle w:val="RKnormal"/>
      </w:pPr>
      <w:r w:rsidRPr="00A529CA">
        <w:t xml:space="preserve">Efter att </w:t>
      </w:r>
      <w:r w:rsidR="002405D3" w:rsidRPr="00A529CA">
        <w:t>TTE-</w:t>
      </w:r>
      <w:r w:rsidRPr="00A529CA">
        <w:t xml:space="preserve">rådet </w:t>
      </w:r>
      <w:r w:rsidR="002405D3" w:rsidRPr="00A529CA">
        <w:t xml:space="preserve">den </w:t>
      </w:r>
      <w:r w:rsidR="00C847B4" w:rsidRPr="00A529CA">
        <w:t>29-30 november</w:t>
      </w:r>
      <w:r w:rsidR="002405D3" w:rsidRPr="00A529CA">
        <w:t xml:space="preserve"> 2007 tagit en politisk överenskommelse kommer EP att ta ställning till rådets förslag</w:t>
      </w:r>
      <w:r w:rsidRPr="00A529CA">
        <w:t>.</w:t>
      </w:r>
    </w:p>
    <w:p w:rsidR="00A67EB9" w:rsidRPr="00A529CA" w:rsidRDefault="00A67EB9">
      <w:pPr>
        <w:pStyle w:val="RKrubrik"/>
      </w:pPr>
      <w:r w:rsidRPr="00A529CA">
        <w:t>2. Fackuttryck/termer</w:t>
      </w:r>
    </w:p>
    <w:p w:rsidR="00C847B4" w:rsidRPr="00A529CA" w:rsidRDefault="00C847B4" w:rsidP="00C847B4">
      <w:pPr>
        <w:pStyle w:val="RKnormal"/>
        <w:rPr>
          <w:iCs/>
        </w:rPr>
      </w:pPr>
      <w:r w:rsidRPr="00A529CA">
        <w:rPr>
          <w:iCs/>
        </w:rPr>
        <w:t>Flaggstat: Den stat i vilken ett fartyg är registrerat.</w:t>
      </w:r>
    </w:p>
    <w:p w:rsidR="00C847B4" w:rsidRPr="00A529CA" w:rsidRDefault="00C847B4" w:rsidP="00C847B4">
      <w:pPr>
        <w:pStyle w:val="RKnormal"/>
        <w:rPr>
          <w:iCs/>
        </w:rPr>
      </w:pPr>
    </w:p>
    <w:p w:rsidR="00A67EB9" w:rsidRPr="00A529CA" w:rsidRDefault="00C847B4" w:rsidP="00C847B4">
      <w:pPr>
        <w:pStyle w:val="RKnormal"/>
        <w:rPr>
          <w:iCs/>
        </w:rPr>
      </w:pPr>
      <w:r w:rsidRPr="00A529CA">
        <w:rPr>
          <w:iCs/>
        </w:rPr>
        <w:t>Klassificeringssällskap: Erkända organisationer som i enlighet med internationella konventioner bemyndigas att besiktiga fartyg och utfärda säkerhetscertifikat för flaggstatens räkning. De erkända organisationerna behöver inte vara klassificeringssällskap, men är det i huvudsak. Traditionellt sett har klassificeringssällskapen ansvar för tillsynen av skrovkonstruktion, motor- och elinstallationer ombord på fartyg. Det gäller även i Sverige. Många flaggstater delegerar i dag stora delar av fartygets tillsyn till sällskapen. Sverige har i en internationell jämförelse delegerat en liten del av sin fartygstillsyn till klassificeringssällskapen och tillsynen utförs i huvudsak av Sjöfartsinspektionen.</w:t>
      </w:r>
    </w:p>
    <w:p w:rsidR="00A67EB9" w:rsidRPr="00A529CA" w:rsidRDefault="00A67EB9">
      <w:pPr>
        <w:pStyle w:val="RKnormal"/>
      </w:pPr>
    </w:p>
    <w:sectPr w:rsidR="00A67EB9" w:rsidRPr="00A529C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233" w:rsidRPr="00A529CA" w:rsidRDefault="00A82233">
      <w:r w:rsidRPr="00A529CA">
        <w:separator/>
      </w:r>
    </w:p>
  </w:endnote>
  <w:endnote w:type="continuationSeparator" w:id="0">
    <w:p w:rsidR="00A82233" w:rsidRPr="00A529CA" w:rsidRDefault="00A82233">
      <w:r w:rsidRPr="00A529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233" w:rsidRPr="00A529CA" w:rsidRDefault="00A82233">
      <w:r w:rsidRPr="00A529CA">
        <w:separator/>
      </w:r>
    </w:p>
  </w:footnote>
  <w:footnote w:type="continuationSeparator" w:id="0">
    <w:p w:rsidR="00A82233" w:rsidRPr="00A529CA" w:rsidRDefault="00A82233">
      <w:r w:rsidRPr="00A529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9F6" w:rsidRPr="00A529CA" w:rsidRDefault="001039F6">
    <w:pPr>
      <w:pStyle w:val="Sidhuvud"/>
      <w:framePr w:wrap="around" w:vAnchor="text" w:hAnchor="margin" w:xAlign="right" w:y="1"/>
      <w:rPr>
        <w:rStyle w:val="Sidnummer"/>
      </w:rPr>
    </w:pPr>
    <w:r w:rsidRPr="00A529CA">
      <w:rPr>
        <w:rStyle w:val="Sidnummer"/>
      </w:rPr>
      <w:fldChar w:fldCharType="begin" w:fldLock="1"/>
    </w:r>
    <w:r w:rsidRPr="00A529CA">
      <w:rPr>
        <w:rStyle w:val="Sidnummer"/>
      </w:rPr>
      <w:instrText xml:space="preserve">PAGE  </w:instrText>
    </w:r>
    <w:r w:rsidRPr="00A529CA">
      <w:rPr>
        <w:rStyle w:val="Sidnummer"/>
      </w:rPr>
      <w:fldChar w:fldCharType="separate"/>
    </w:r>
    <w:r w:rsidR="00BD4FAF" w:rsidRPr="00A529CA">
      <w:rPr>
        <w:rStyle w:val="Sidnummer"/>
      </w:rPr>
      <w:t>2</w:t>
    </w:r>
    <w:r w:rsidRPr="00A529CA">
      <w:rPr>
        <w:rStyle w:val="Sidnummer"/>
      </w:rPr>
      <w:fldChar w:fldCharType="end"/>
    </w:r>
  </w:p>
  <w:p w:rsidR="001039F6" w:rsidRPr="00A529CA" w:rsidRDefault="001039F6">
    <w:pPr>
      <w:pStyle w:val="Sidhuvud"/>
      <w:ind w:right="360"/>
    </w:pPr>
  </w:p>
  <w:p w:rsidR="001039F6" w:rsidRPr="00A529CA" w:rsidRDefault="001039F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9F6" w:rsidRPr="00A529CA" w:rsidRDefault="001039F6">
    <w:pPr>
      <w:pStyle w:val="Sidhuvud"/>
      <w:framePr w:wrap="around" w:vAnchor="text" w:hAnchor="margin" w:xAlign="right" w:y="1"/>
      <w:rPr>
        <w:rStyle w:val="Sidnummer"/>
      </w:rPr>
    </w:pPr>
    <w:r w:rsidRPr="00A529CA">
      <w:rPr>
        <w:rStyle w:val="Sidnummer"/>
      </w:rPr>
      <w:fldChar w:fldCharType="begin" w:fldLock="1"/>
    </w:r>
    <w:r w:rsidRPr="00A529CA">
      <w:rPr>
        <w:rStyle w:val="Sidnummer"/>
      </w:rPr>
      <w:instrText xml:space="preserve">PAGE  </w:instrText>
    </w:r>
    <w:r w:rsidRPr="00A529CA">
      <w:rPr>
        <w:rStyle w:val="Sidnummer"/>
      </w:rPr>
      <w:fldChar w:fldCharType="separate"/>
    </w:r>
    <w:r w:rsidR="00BD4FAF" w:rsidRPr="00A529CA">
      <w:rPr>
        <w:rStyle w:val="Sidnummer"/>
      </w:rPr>
      <w:t>3</w:t>
    </w:r>
    <w:r w:rsidRPr="00A529CA">
      <w:rPr>
        <w:rStyle w:val="Sidnummer"/>
      </w:rPr>
      <w:fldChar w:fldCharType="end"/>
    </w:r>
  </w:p>
  <w:p w:rsidR="001039F6" w:rsidRPr="00A529CA" w:rsidRDefault="001039F6">
    <w:pPr>
      <w:pStyle w:val="Sidhuvud"/>
      <w:ind w:right="360"/>
    </w:pPr>
  </w:p>
  <w:p w:rsidR="001039F6" w:rsidRPr="00A529CA" w:rsidRDefault="001039F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39F6" w:rsidRPr="00A529CA" w:rsidRDefault="00A529CA">
    <w:pPr>
      <w:framePr w:w="2948" w:h="1321" w:hRule="exact" w:wrap="notBeside" w:vAnchor="page" w:hAnchor="page" w:x="1362" w:y="653"/>
    </w:pPr>
    <w:r w:rsidRPr="00A529C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039F6" w:rsidRPr="00A529CA" w:rsidRDefault="001039F6">
    <w:pPr>
      <w:pStyle w:val="RKrubrik"/>
      <w:keepNext w:val="0"/>
      <w:tabs>
        <w:tab w:val="clear" w:pos="1134"/>
        <w:tab w:val="clear" w:pos="2835"/>
      </w:tabs>
      <w:spacing w:before="0" w:after="0" w:line="320" w:lineRule="atLeast"/>
      <w:rPr>
        <w:bCs/>
      </w:rPr>
    </w:pPr>
  </w:p>
  <w:p w:rsidR="001039F6" w:rsidRPr="00A529CA" w:rsidRDefault="001039F6">
    <w:pPr>
      <w:rPr>
        <w:rFonts w:ascii="TradeGothic" w:hAnsi="TradeGothic"/>
        <w:b/>
        <w:bCs/>
        <w:spacing w:val="12"/>
        <w:sz w:val="22"/>
      </w:rPr>
    </w:pPr>
  </w:p>
  <w:p w:rsidR="001039F6" w:rsidRPr="00A529CA" w:rsidRDefault="001039F6">
    <w:pPr>
      <w:pStyle w:val="RKrubrik"/>
      <w:keepNext w:val="0"/>
      <w:tabs>
        <w:tab w:val="clear" w:pos="1134"/>
        <w:tab w:val="clear" w:pos="2835"/>
      </w:tabs>
      <w:spacing w:before="0" w:after="0" w:line="320" w:lineRule="atLeast"/>
      <w:rPr>
        <w:bCs/>
      </w:rPr>
    </w:pPr>
  </w:p>
  <w:p w:rsidR="001039F6" w:rsidRPr="00A529CA" w:rsidRDefault="001039F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1EF"/>
    <w:multiLevelType w:val="hybridMultilevel"/>
    <w:tmpl w:val="6F9E9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17684B"/>
    <w:multiLevelType w:val="hybridMultilevel"/>
    <w:tmpl w:val="C1EAA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7175368">
    <w:abstractNumId w:val="0"/>
  </w:num>
  <w:num w:numId="2" w16cid:durableId="1539858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3AC0"/>
    <w:rsid w:val="00063180"/>
    <w:rsid w:val="001039F6"/>
    <w:rsid w:val="001C3AC0"/>
    <w:rsid w:val="00237B69"/>
    <w:rsid w:val="002405D3"/>
    <w:rsid w:val="003B6E5A"/>
    <w:rsid w:val="00460BC7"/>
    <w:rsid w:val="005B6DAB"/>
    <w:rsid w:val="005E00DE"/>
    <w:rsid w:val="00683F35"/>
    <w:rsid w:val="008F4CCD"/>
    <w:rsid w:val="009205FA"/>
    <w:rsid w:val="009D263A"/>
    <w:rsid w:val="00A529CA"/>
    <w:rsid w:val="00A67EB9"/>
    <w:rsid w:val="00A82233"/>
    <w:rsid w:val="00B01526"/>
    <w:rsid w:val="00B60FFC"/>
    <w:rsid w:val="00B61FF6"/>
    <w:rsid w:val="00BD4FAF"/>
    <w:rsid w:val="00BF778D"/>
    <w:rsid w:val="00C368A0"/>
    <w:rsid w:val="00C847B4"/>
    <w:rsid w:val="00CC3098"/>
    <w:rsid w:val="00CE1426"/>
    <w:rsid w:val="00E23D51"/>
    <w:rsid w:val="00E87D94"/>
    <w:rsid w:val="00F75E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BCA9C1-B99D-4965-A663-7541535E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link w:val="Rubrik1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link w:val="Rubrik4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ubrik1Char">
    <w:name w:val="Rubrik 1 Char"/>
    <w:basedOn w:val="Standardstycketeckensnitt"/>
    <w:link w:val="Rubrik1"/>
    <w:rsid w:val="009205FA"/>
    <w:rPr>
      <w:rFonts w:ascii="TradeGothic" w:hAnsi="TradeGothic"/>
      <w:b/>
      <w:kern w:val="28"/>
      <w:sz w:val="22"/>
      <w:lang w:val="sv-SE" w:eastAsia="en-US" w:bidi="ar-SA"/>
    </w:rPr>
  </w:style>
  <w:style w:type="character" w:customStyle="1" w:styleId="Rubrik2Char">
    <w:name w:val="Rubrik 2 Char"/>
    <w:basedOn w:val="Rubrik1Char"/>
    <w:link w:val="Rubrik2"/>
    <w:rsid w:val="009205FA"/>
    <w:rPr>
      <w:rFonts w:ascii="TradeGothic" w:hAnsi="TradeGothic"/>
      <w:b/>
      <w:kern w:val="28"/>
      <w:sz w:val="22"/>
      <w:lang w:val="sv-SE" w:eastAsia="en-US" w:bidi="ar-SA"/>
    </w:rPr>
  </w:style>
  <w:style w:type="character" w:customStyle="1" w:styleId="Rubrik3Char">
    <w:name w:val="Rubrik 3 Char"/>
    <w:basedOn w:val="Rubrik2Char"/>
    <w:link w:val="Rubrik3"/>
    <w:rsid w:val="009205FA"/>
    <w:rPr>
      <w:rFonts w:ascii="TradeGothic" w:hAnsi="TradeGothic"/>
      <w:b/>
      <w:kern w:val="28"/>
      <w:sz w:val="22"/>
      <w:lang w:val="sv-SE" w:eastAsia="en-US" w:bidi="ar-SA"/>
    </w:rPr>
  </w:style>
  <w:style w:type="character" w:customStyle="1" w:styleId="Rubrik4Char">
    <w:name w:val="Rubrik 4 Char"/>
    <w:basedOn w:val="Rubrik3Char"/>
    <w:link w:val="Rubrik4"/>
    <w:rsid w:val="009205FA"/>
    <w:rPr>
      <w:rFonts w:ascii="OrigGarmnd BT" w:hAnsi="OrigGarmnd BT"/>
      <w:b/>
      <w:i/>
      <w:kern w:val="28"/>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1340</Words>
  <Characters>9038</Characters>
  <Application>Microsoft Office Word</Application>
  <DocSecurity>4</DocSecurity>
  <Lines>210</Lines>
  <Paragraphs>74</Paragraphs>
  <ScaleCrop>false</ScaleCrop>
  <HeadingPairs>
    <vt:vector size="2" baseType="variant">
      <vt:variant>
        <vt:lpstr>Rubrik</vt:lpstr>
      </vt:variant>
      <vt:variant>
        <vt:i4>1</vt:i4>
      </vt:variant>
    </vt:vector>
  </HeadingPairs>
  <TitlesOfParts>
    <vt:vector size="1" baseType="lpstr">
      <vt:lpstr>Ståndpunkt i EU-fråga</vt:lpstr>
    </vt:vector>
  </TitlesOfParts>
  <Company>Regeringskansliet</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Ståndpunkt i EU-fråga</dc:title>
  <dc:subject>Ståndpunkt i EU-fråga</dc:subject>
  <dc:creator>Riksdagen</dc:creator>
  <cp:keywords>Riksdagen</cp:keywords>
  <dc:description/>
  <cp:lastModifiedBy>Lars Brink</cp:lastModifiedBy>
  <cp:revision>2</cp:revision>
  <cp:lastPrinted>2000-01-21T13:02:00Z</cp:lastPrinted>
  <dcterms:created xsi:type="dcterms:W3CDTF">2025-12-17T13:17:00Z</dcterms:created>
  <dcterms:modified xsi:type="dcterms:W3CDTF">2025-12-17T13:17:00Z</dcterms:modified>
  <cp:category>Ståndpunkt i EU-fråga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62</vt:i4>
  </property>
</Properties>
</file>