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260" w:rsidRPr="00F62E56" w:rsidRDefault="00275260">
      <w:pPr>
        <w:pStyle w:val="Frslagsrubrik"/>
      </w:pPr>
      <w:r w:rsidRPr="00F62E56">
        <w:t>Förslag till riksdagsbeslut</w:t>
      </w:r>
    </w:p>
    <w:p w:rsidR="00275260" w:rsidRPr="00F62E56" w:rsidRDefault="00275260">
      <w:pPr>
        <w:pStyle w:val="Hemstlatt"/>
        <w:numPr>
          <w:ilvl w:val="0"/>
          <w:numId w:val="1"/>
        </w:numPr>
      </w:pPr>
      <w:r w:rsidRPr="00F62E56">
        <w:t xml:space="preserve">Riksdagen tillkännager för regeringen som sin mening vad som anförs i motionen om </w:t>
      </w:r>
      <w:r w:rsidRPr="00F62E56">
        <w:rPr>
          <w:color w:val="000000"/>
          <w:szCs w:val="18"/>
        </w:rPr>
        <w:t>övervägande av laglig genm</w:t>
      </w:r>
      <w:r w:rsidRPr="00F62E56">
        <w:rPr>
          <w:color w:val="000000"/>
          <w:szCs w:val="18"/>
        </w:rPr>
        <w:t>ä</w:t>
      </w:r>
      <w:r w:rsidRPr="00F62E56">
        <w:rPr>
          <w:color w:val="000000"/>
          <w:szCs w:val="18"/>
        </w:rPr>
        <w:t>lesrätt.</w:t>
      </w:r>
    </w:p>
    <w:p w:rsidR="00275260" w:rsidRPr="00F62E56" w:rsidRDefault="00275260">
      <w:pPr>
        <w:pStyle w:val="Hemstlatt"/>
        <w:numPr>
          <w:ilvl w:val="0"/>
          <w:numId w:val="1"/>
        </w:numPr>
      </w:pPr>
      <w:r w:rsidRPr="00F62E56">
        <w:t>Riksdagen tillkännager för regeringen som sin mening vad som anförs i motionen om att låta genomföra en allsidig och relevant utvärdering av verksamheten hos Granskningsnämnden för radio och TV.</w:t>
      </w:r>
    </w:p>
    <w:p w:rsidR="00275260" w:rsidRPr="00F62E56" w:rsidRDefault="00275260">
      <w:pPr>
        <w:pStyle w:val="Rubrik1"/>
      </w:pPr>
      <w:r w:rsidRPr="00F62E56">
        <w:t>Motivering</w:t>
      </w:r>
    </w:p>
    <w:p w:rsidR="00275260" w:rsidRPr="00F62E56" w:rsidRDefault="00275260">
      <w:r w:rsidRPr="00F62E56">
        <w:t>Personfixeringen, dramatiseringen, underhållningsmomentet och fokuserin</w:t>
      </w:r>
      <w:r w:rsidRPr="00F62E56">
        <w:t>g</w:t>
      </w:r>
      <w:r w:rsidRPr="00F62E56">
        <w:t>en på enskilda händelser understryker bilden av samhällets maktprocesser som ett skådespel med den enskilde medborgaren som passiv, om än väli</w:t>
      </w:r>
      <w:r w:rsidRPr="00F62E56">
        <w:t>n</w:t>
      </w:r>
      <w:r w:rsidRPr="00F62E56">
        <w:t>formerad, åskådare.</w:t>
      </w:r>
    </w:p>
    <w:p w:rsidR="00275260" w:rsidRPr="00F62E56" w:rsidRDefault="00275260">
      <w:pPr>
        <w:pStyle w:val="Normaltindrag"/>
      </w:pPr>
      <w:r w:rsidRPr="00F62E56">
        <w:t>Massmedierna är på samma gång en aktör och en arena. Massmedierna har sina egna regler, beteenden och effekter. Kampen om uppmärksamheten handlar om närvaro i medierna, och om branschens lönsamhet.</w:t>
      </w:r>
    </w:p>
    <w:p w:rsidR="00275260" w:rsidRPr="00F62E56" w:rsidRDefault="00275260">
      <w:pPr>
        <w:pStyle w:val="Normaltindrag"/>
      </w:pPr>
      <w:r w:rsidRPr="00F62E56">
        <w:t>Mediesamhället tenderar att karaktäriseras av tillspetsning och konkretis</w:t>
      </w:r>
      <w:r w:rsidRPr="00F62E56">
        <w:t>e</w:t>
      </w:r>
      <w:r w:rsidRPr="00F62E56">
        <w:t>ring, vinkling, personifiering, intensifiering och polarisering.</w:t>
      </w:r>
    </w:p>
    <w:p w:rsidR="00275260" w:rsidRPr="00F62E56" w:rsidRDefault="00275260">
      <w:pPr>
        <w:pStyle w:val="Normaltindrag"/>
      </w:pPr>
      <w:r w:rsidRPr="00F62E56">
        <w:t>Denna utveckling kan i flera avseenden hota enskildas integritet och vä</w:t>
      </w:r>
      <w:r w:rsidRPr="00F62E56">
        <w:t>r</w:t>
      </w:r>
      <w:r w:rsidRPr="00F62E56">
        <w:t>dighet. Det borde vara en självklarhet att medierna tar ett demokratiskt och etiskt ansvar i sitt arbete. Ändå bör ett förstärkt skydd övervägas. Vad som diskut</w:t>
      </w:r>
      <w:r w:rsidRPr="00F62E56">
        <w:t>e</w:t>
      </w:r>
      <w:r w:rsidRPr="00F62E56">
        <w:t>rats på andra håll i Europa är en laglig genmälesrätt. EG:s tv-direktiv förordar för övrigt i viss mån en sådan rätt. I den svenska radio- och tv-lagen återfinns den rätten i 6 kap. 3 §, men den är tämligen tandlös: uppgifter skall ”berikt</w:t>
      </w:r>
      <w:r w:rsidRPr="00F62E56">
        <w:t>i</w:t>
      </w:r>
      <w:r w:rsidRPr="00F62E56">
        <w:t>gas när det är befogat”. För övriga medier finns inte motsvarande regler i lag, men väl i branschinterna etisk</w:t>
      </w:r>
      <w:r w:rsidRPr="00F62E56">
        <w:t>a normer. Uttrycket ”när det är befogat” blir en gummiparagraf utan egentlig kärna.</w:t>
      </w:r>
    </w:p>
    <w:p w:rsidR="00275260" w:rsidRPr="00F62E56" w:rsidRDefault="00275260">
      <w:pPr>
        <w:pStyle w:val="Normaltindrag"/>
      </w:pPr>
      <w:r w:rsidRPr="00F62E56">
        <w:t>En mer detaljerad och substantiell genmälesrätt bör övervägas eftersom självsaneringen inom området är otillräcklig. Ett antal människor far illa g</w:t>
      </w:r>
      <w:r w:rsidRPr="00F62E56">
        <w:t>e</w:t>
      </w:r>
      <w:r w:rsidRPr="00F62E56">
        <w:lastRenderedPageBreak/>
        <w:t>nom publicering, genom dramaturgin i mediesamhället. Det kan hävdas, vi</w:t>
      </w:r>
      <w:r w:rsidRPr="00F62E56">
        <w:t>l</w:t>
      </w:r>
      <w:r w:rsidRPr="00F62E56">
        <w:t>ket konstitutionsutskottet gjort, att det finns en grundlagsfäst princip som säger att den som sänder program självständigt skall avgöra vad som skall för</w:t>
      </w:r>
      <w:r w:rsidRPr="00F62E56">
        <w:t>e</w:t>
      </w:r>
      <w:r w:rsidRPr="00F62E56">
        <w:t>komma i programmen. Det är värt att påpeka att Granskningsnämndens utslag skall publiceras oberoende av denna rättighet. De kanaler som är för</w:t>
      </w:r>
      <w:r w:rsidRPr="00F62E56">
        <w:t>e</w:t>
      </w:r>
      <w:r w:rsidRPr="00F62E56">
        <w:t xml:space="preserve">mål för Granskningsnämndens verksamhet har alltså fått sin grundlagsfästa frihet inskränkt utifrån en sådan slutsats. I denna fråga måste en </w:t>
      </w:r>
      <w:r w:rsidRPr="00F62E56">
        <w:t>avvägning göras mot den enskildes grundläggande rättigheter och personliga värdighet i fö</w:t>
      </w:r>
      <w:r w:rsidRPr="00F62E56">
        <w:t>r</w:t>
      </w:r>
      <w:r w:rsidRPr="00F62E56">
        <w:t>hållande till program- och utgivaransvar. Regeringen bör alltså i någon form överväga en sådan laglig genmälesrätt. Det bör riksdagen tillkännage för regeringen.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2E56">
        <w:trPr>
          <w:cantSplit/>
        </w:trPr>
        <w:tc>
          <w:tcPr>
            <w:tcW w:w="3046" w:type="dxa"/>
          </w:tcPr>
          <w:p w:rsidR="00275260" w:rsidRPr="00F62E56" w:rsidRDefault="00275260">
            <w:pPr>
              <w:pStyle w:val="UnderskriftDatum"/>
              <w:spacing w:before="240"/>
            </w:pPr>
            <w:r w:rsidRPr="00F62E56">
              <w:t>Stockholm den 3 oktober 2011</w:t>
            </w:r>
          </w:p>
        </w:tc>
        <w:tc>
          <w:tcPr>
            <w:tcW w:w="3047" w:type="dxa"/>
          </w:tcPr>
          <w:p w:rsidR="00275260" w:rsidRPr="00F62E56" w:rsidRDefault="00275260">
            <w:pPr>
              <w:pStyle w:val="Underskrifter"/>
              <w:spacing w:before="240"/>
            </w:pPr>
          </w:p>
        </w:tc>
      </w:tr>
      <w:tr w:rsidR="00000000" w:rsidRPr="00F62E56">
        <w:trPr>
          <w:cantSplit/>
        </w:trPr>
        <w:tc>
          <w:tcPr>
            <w:tcW w:w="3046" w:type="dxa"/>
          </w:tcPr>
          <w:p w:rsidR="00275260" w:rsidRPr="00F62E56" w:rsidRDefault="00275260">
            <w:pPr>
              <w:pStyle w:val="Underskrifter"/>
            </w:pPr>
            <w:r w:rsidRPr="00F62E56">
              <w:t>Roland Utbult (KD)</w:t>
            </w:r>
          </w:p>
        </w:tc>
        <w:tc>
          <w:tcPr>
            <w:tcW w:w="3046" w:type="dxa"/>
          </w:tcPr>
          <w:p w:rsidR="00275260" w:rsidRPr="00F62E56" w:rsidRDefault="00275260">
            <w:pPr>
              <w:pStyle w:val="Underskrifter"/>
            </w:pPr>
          </w:p>
        </w:tc>
      </w:tr>
    </w:tbl>
    <w:p w:rsidR="00275260" w:rsidRPr="00F62E56" w:rsidRDefault="00275260">
      <w:pPr>
        <w:pStyle w:val="Normaltindrag"/>
      </w:pPr>
    </w:p>
    <w:sectPr w:rsidR="00275260" w:rsidRPr="00F62E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5260" w:rsidRPr="00F62E56" w:rsidRDefault="00275260">
      <w:r w:rsidRPr="00F62E56">
        <w:separator/>
      </w:r>
    </w:p>
  </w:endnote>
  <w:endnote w:type="continuationSeparator" w:id="0">
    <w:p w:rsidR="00275260" w:rsidRPr="00F62E56" w:rsidRDefault="00275260">
      <w:r w:rsidRPr="00F62E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260" w:rsidRPr="00F62E56" w:rsidRDefault="00F62E56">
    <w:pPr>
      <w:pStyle w:val="Sidfot"/>
    </w:pPr>
    <w:r w:rsidRPr="00F62E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75419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260" w:rsidRDefault="0027526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5260" w:rsidRDefault="0027526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260" w:rsidRPr="00F62E56" w:rsidRDefault="00F62E56">
    <w:pPr>
      <w:pStyle w:val="Sidfot"/>
    </w:pPr>
    <w:r w:rsidRPr="00F62E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79508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260" w:rsidRDefault="002752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5260" w:rsidRDefault="002752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260" w:rsidRPr="00F62E56" w:rsidRDefault="00F62E56">
    <w:pPr>
      <w:pStyle w:val="Sidfot"/>
    </w:pPr>
    <w:r w:rsidRPr="00F62E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31580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260" w:rsidRDefault="002752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5260" w:rsidRDefault="002752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5260" w:rsidRPr="00F62E56" w:rsidRDefault="00275260">
      <w:r w:rsidRPr="00F62E56">
        <w:separator/>
      </w:r>
    </w:p>
  </w:footnote>
  <w:footnote w:type="continuationSeparator" w:id="0">
    <w:p w:rsidR="00275260" w:rsidRPr="00F62E56" w:rsidRDefault="00275260">
      <w:r w:rsidRPr="00F62E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260" w:rsidRPr="00F62E56" w:rsidRDefault="00F62E56">
    <w:pPr>
      <w:pStyle w:val="Sidhuvud"/>
    </w:pPr>
    <w:r w:rsidRPr="00F62E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27808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260" w:rsidRDefault="0027526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5260" w:rsidRDefault="0027526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260" w:rsidRPr="00F62E56" w:rsidRDefault="00F62E56">
    <w:pPr>
      <w:pStyle w:val="Sidhuvud"/>
    </w:pPr>
    <w:r w:rsidRPr="00F62E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28189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260" w:rsidRDefault="0027526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5260" w:rsidRDefault="0027526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260" w:rsidRPr="00F62E56" w:rsidRDefault="00275260">
    <w:pPr>
      <w:pStyle w:val="FSHNormal"/>
      <w:tabs>
        <w:tab w:val="right" w:pos="5840"/>
      </w:tabs>
    </w:pPr>
    <w:r w:rsidRPr="00F62E56">
      <w:br/>
    </w:r>
    <w:r w:rsidRPr="00F62E56">
      <w:fldChar w:fldCharType="begin" w:fldLock="1"/>
    </w:r>
    <w:r w:rsidRPr="00F62E56">
      <w:instrText xml:space="preserve"> DOCPROPERTY</w:instrText>
    </w:r>
    <w:r w:rsidRPr="00F62E56">
      <w:rPr>
        <w:sz w:val="18"/>
      </w:rPr>
      <w:instrText xml:space="preserve"> "YearUser" *\charformat </w:instrText>
    </w:r>
    <w:r w:rsidRPr="00F62E56">
      <w:fldChar w:fldCharType="separate"/>
    </w:r>
    <w:r w:rsidRPr="00F62E56">
      <w:t>2011/12</w:t>
    </w:r>
    <w:r w:rsidRPr="00F62E56">
      <w:fldChar w:fldCharType="end"/>
    </w:r>
    <w:r w:rsidRPr="00F62E56">
      <w:t xml:space="preserve"> </w:t>
    </w:r>
    <w:r w:rsidRPr="00F62E56">
      <w:tab/>
      <w:t xml:space="preserve">mnr: </w:t>
    </w:r>
    <w:r w:rsidRPr="00F62E56">
      <w:fldChar w:fldCharType="begin" w:fldLock="1"/>
    </w:r>
    <w:r w:rsidRPr="00F62E56">
      <w:instrText xml:space="preserve"> DOCPROPERTY</w:instrText>
    </w:r>
    <w:r w:rsidRPr="00F62E56">
      <w:rPr>
        <w:sz w:val="18"/>
      </w:rPr>
      <w:instrText xml:space="preserve"> "Motionsnummer" *\charformat </w:instrText>
    </w:r>
    <w:r w:rsidRPr="00F62E56">
      <w:fldChar w:fldCharType="separate"/>
    </w:r>
    <w:r w:rsidRPr="00F62E56">
      <w:t>K287</w:t>
    </w:r>
    <w:r w:rsidRPr="00F62E56">
      <w:fldChar w:fldCharType="end"/>
    </w:r>
    <w:r w:rsidRPr="00F62E56">
      <w:br/>
    </w:r>
    <w:r w:rsidRPr="00F62E56">
      <w:fldChar w:fldCharType="begin" w:fldLock="1"/>
    </w:r>
    <w:r w:rsidRPr="00F62E56">
      <w:instrText xml:space="preserve"> DOCPROPERTY</w:instrText>
    </w:r>
    <w:r w:rsidRPr="00F62E56">
      <w:rPr>
        <w:sz w:val="18"/>
      </w:rPr>
      <w:instrText xml:space="preserve"> "Samling" *\charformat </w:instrText>
    </w:r>
    <w:r w:rsidRPr="00F62E56">
      <w:fldChar w:fldCharType="end"/>
    </w:r>
    <w:r w:rsidRPr="00F62E56">
      <w:tab/>
      <w:t xml:space="preserve">pnr: </w:t>
    </w:r>
    <w:r w:rsidRPr="00F62E56">
      <w:fldChar w:fldCharType="begin" w:fldLock="1"/>
    </w:r>
    <w:r w:rsidRPr="00F62E56">
      <w:instrText xml:space="preserve"> DOCPROPERTY</w:instrText>
    </w:r>
    <w:r w:rsidRPr="00F62E56">
      <w:rPr>
        <w:sz w:val="18"/>
      </w:rPr>
      <w:instrText xml:space="preserve"> "Partinummer" *\charformat </w:instrText>
    </w:r>
    <w:r w:rsidRPr="00F62E56">
      <w:fldChar w:fldCharType="separate"/>
    </w:r>
    <w:r w:rsidRPr="00F62E56">
      <w:t>KD656</w:t>
    </w:r>
    <w:r w:rsidRPr="00F62E56">
      <w:fldChar w:fldCharType="end"/>
    </w:r>
  </w:p>
  <w:p w:rsidR="00275260" w:rsidRPr="00F62E56" w:rsidRDefault="00275260">
    <w:pPr>
      <w:pStyle w:val="FSHRub1"/>
    </w:pPr>
    <w:r w:rsidRPr="00F62E56">
      <w:t>Motion till riksdagen</w:t>
    </w:r>
    <w:r w:rsidRPr="00F62E56">
      <w:br/>
    </w:r>
    <w:r w:rsidRPr="00F62E56">
      <w:fldChar w:fldCharType="begin" w:fldLock="1"/>
    </w:r>
    <w:r w:rsidRPr="00F62E56">
      <w:instrText xml:space="preserve"> DOCPROPERTY "YearUser" *\charformat </w:instrText>
    </w:r>
    <w:r w:rsidRPr="00F62E56">
      <w:fldChar w:fldCharType="separate"/>
    </w:r>
    <w:r w:rsidRPr="00F62E56">
      <w:t>2011/12</w:t>
    </w:r>
    <w:r w:rsidRPr="00F62E56">
      <w:fldChar w:fldCharType="end"/>
    </w:r>
    <w:r w:rsidRPr="00F62E56">
      <w:t>:</w:t>
    </w:r>
    <w:r w:rsidRPr="00F62E56">
      <w:fldChar w:fldCharType="begin" w:fldLock="1"/>
    </w:r>
    <w:r w:rsidRPr="00F62E56">
      <w:instrText xml:space="preserve"> DOCPROPERTY "Motionsnummer" *\charformat </w:instrText>
    </w:r>
    <w:r w:rsidRPr="00F62E56">
      <w:fldChar w:fldCharType="separate"/>
    </w:r>
    <w:r w:rsidRPr="00F62E56">
      <w:t>K287</w:t>
    </w:r>
    <w:r w:rsidRPr="00F62E56">
      <w:fldChar w:fldCharType="end"/>
    </w:r>
  </w:p>
  <w:p w:rsidR="00275260" w:rsidRPr="00F62E56" w:rsidRDefault="00275260">
    <w:pPr>
      <w:pStyle w:val="FSHNormalS5"/>
    </w:pPr>
    <w:r w:rsidRPr="00F62E56">
      <w:fldChar w:fldCharType="begin" w:fldLock="1"/>
    </w:r>
    <w:r w:rsidRPr="00F62E56">
      <w:instrText xml:space="preserve"> DOCPROPERTY "MotionarText" *\charformat </w:instrText>
    </w:r>
    <w:r w:rsidRPr="00F62E56">
      <w:fldChar w:fldCharType="separate"/>
    </w:r>
    <w:r w:rsidRPr="00F62E56">
      <w:t>av Roland Utbult (KD)</w:t>
    </w:r>
    <w:r w:rsidRPr="00F62E56">
      <w:fldChar w:fldCharType="end"/>
    </w:r>
    <w:r w:rsidRPr="00F62E56">
      <w:br/>
    </w:r>
    <w:r w:rsidRPr="00F62E56">
      <w:fldChar w:fldCharType="begin" w:fldLock="1"/>
    </w:r>
    <w:r w:rsidRPr="00F62E56">
      <w:instrText xml:space="preserve"> DOCPROPERTY "SvarFrasKort" *\charformat </w:instrText>
    </w:r>
    <w:r w:rsidRPr="00F62E56">
      <w:fldChar w:fldCharType="end"/>
    </w:r>
  </w:p>
  <w:p w:rsidR="00275260" w:rsidRPr="00F62E56" w:rsidRDefault="00275260">
    <w:pPr>
      <w:pStyle w:val="FSHTitel"/>
    </w:pPr>
    <w:r w:rsidRPr="00F62E56">
      <w:fldChar w:fldCharType="begin" w:fldLock="1"/>
    </w:r>
    <w:r w:rsidRPr="00F62E56">
      <w:instrText xml:space="preserve"> DOCPROPERTY</w:instrText>
    </w:r>
    <w:r w:rsidRPr="00F62E56">
      <w:rPr>
        <w:sz w:val="18"/>
      </w:rPr>
      <w:instrText xml:space="preserve"> "RubrikSvar" *\charformat </w:instrText>
    </w:r>
    <w:r w:rsidRPr="00F62E56">
      <w:fldChar w:fldCharType="separate"/>
    </w:r>
    <w:r w:rsidRPr="00F62E56">
      <w:t>Genmälesrätt</w:t>
    </w:r>
    <w:r w:rsidRPr="00F62E56">
      <w:fldChar w:fldCharType="end"/>
    </w:r>
  </w:p>
  <w:p w:rsidR="00275260" w:rsidRPr="00F62E56" w:rsidRDefault="00275260">
    <w:pPr>
      <w:pStyle w:val="Normal00"/>
    </w:pPr>
  </w:p>
  <w:p w:rsidR="00275260" w:rsidRPr="00F62E56" w:rsidRDefault="002752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3A020C53"/>
    <w:multiLevelType w:val="hybridMultilevel"/>
    <w:tmpl w:val="BEA0ACF4"/>
    <w:lvl w:ilvl="0" w:tplc="BF280CB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47256056">
    <w:abstractNumId w:val="3"/>
  </w:num>
  <w:num w:numId="2" w16cid:durableId="1734304591">
    <w:abstractNumId w:val="2"/>
  </w:num>
  <w:num w:numId="3" w16cid:durableId="603805184">
    <w:abstractNumId w:val="1"/>
  </w:num>
  <w:num w:numId="4" w16cid:durableId="52704076">
    <w:abstractNumId w:val="0"/>
  </w:num>
  <w:num w:numId="5" w16cid:durableId="655425676">
    <w:abstractNumId w:val="7"/>
  </w:num>
  <w:num w:numId="6" w16cid:durableId="870652670">
    <w:abstractNumId w:val="6"/>
  </w:num>
  <w:num w:numId="7" w16cid:durableId="1028946873">
    <w:abstractNumId w:val="5"/>
  </w:num>
  <w:num w:numId="8" w16cid:durableId="1247692565">
    <w:abstractNumId w:val="4"/>
  </w:num>
  <w:num w:numId="9" w16cid:durableId="765733563">
    <w:abstractNumId w:val="8"/>
  </w:num>
  <w:num w:numId="10" w16cid:durableId="1889297296">
    <w:abstractNumId w:val="9"/>
  </w:num>
  <w:num w:numId="11" w16cid:durableId="1740058303">
    <w:abstractNumId w:val="10"/>
  </w:num>
  <w:num w:numId="12" w16cid:durableId="62027720">
    <w:abstractNumId w:val="13"/>
  </w:num>
  <w:num w:numId="13" w16cid:durableId="188573332">
    <w:abstractNumId w:val="16"/>
  </w:num>
  <w:num w:numId="14" w16cid:durableId="450364204">
    <w:abstractNumId w:val="17"/>
  </w:num>
  <w:num w:numId="15" w16cid:durableId="1541475897">
    <w:abstractNumId w:val="11"/>
  </w:num>
  <w:num w:numId="16" w16cid:durableId="1094015402">
    <w:abstractNumId w:val="19"/>
  </w:num>
  <w:num w:numId="17" w16cid:durableId="222067446">
    <w:abstractNumId w:val="18"/>
  </w:num>
  <w:num w:numId="18" w16cid:durableId="202518687">
    <w:abstractNumId w:val="15"/>
  </w:num>
  <w:num w:numId="19" w16cid:durableId="243421125">
    <w:abstractNumId w:val="12"/>
  </w:num>
  <w:num w:numId="20" w16cid:durableId="2130828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D38A1045-A591-4E79-9F3B-BC768B4D5688}"/>
  </w:docVars>
  <w:rsids>
    <w:rsidRoot w:val="00094403"/>
    <w:rsid w:val="00094403"/>
    <w:rsid w:val="00275260"/>
    <w:rsid w:val="00F6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C7FC9D0-89F0-460A-983A-38C5244A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2195</Characters>
  <Application>Microsoft Office Word</Application>
  <DocSecurity>4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KD656</vt:lpstr>
    </vt:vector>
  </TitlesOfParts>
  <Company>Riksdagen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KD656</dc:title>
  <dc:subject>KD656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2011-12-04T07:30:00Z</cp:lastPrinted>
  <dcterms:created xsi:type="dcterms:W3CDTF">2025-12-17T19:02:00Z</dcterms:created>
  <dcterms:modified xsi:type="dcterms:W3CDTF">2025-12-17T19:02:00Z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Genmälesrätt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Genmälesrätt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KD656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Utbult (KD)</vt:lpwstr>
  </property>
  <property fmtid="{D5CDD505-2E9C-101B-9397-08002B2CF9AE}" pid="26" name="MotionarLista">
    <vt:lpwstr>Utbult, Roland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Utbult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20112012000000750068000006560069</vt:lpwstr>
  </property>
  <property fmtid="{D5CDD505-2E9C-101B-9397-08002B2CF9AE}" pid="47" name="datum">
    <vt:lpwstr>111003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20112012000000750068000006560069</vt:lpwstr>
  </property>
  <property fmtid="{D5CDD505-2E9C-101B-9397-08002B2CF9AE}" pid="50" name="nummer">
    <vt:lpwstr>287</vt:lpwstr>
  </property>
  <property fmtid="{D5CDD505-2E9C-101B-9397-08002B2CF9AE}" pid="51" name="utskottsbeteckning">
    <vt:lpwstr>K</vt:lpwstr>
  </property>
  <property fmtid="{D5CDD505-2E9C-101B-9397-08002B2CF9AE}" pid="52" name="GlobalUID">
    <vt:lpwstr>{604D8795-819C-407B-AAD6-0A23EE5EA396}</vt:lpwstr>
  </property>
  <property fmtid="{D5CDD505-2E9C-101B-9397-08002B2CF9AE}" pid="53" name="Överföringar">
    <vt:i4>0</vt:i4>
  </property>
  <property fmtid="{D5CDD505-2E9C-101B-9397-08002B2CF9AE}" pid="54" name="Checksum">
    <vt:lpwstr>*0007733171977*</vt:lpwstr>
  </property>
  <property fmtid="{D5CDD505-2E9C-101B-9397-08002B2CF9AE}" pid="55" name="skuggnummer">
    <vt:lpwstr>1460</vt:lpwstr>
  </property>
  <property fmtid="{D5CDD505-2E9C-101B-9397-08002B2CF9AE}" pid="56" name="urixVersion">
    <vt:lpwstr>4.5.0.25</vt:lpwstr>
  </property>
  <property fmtid="{D5CDD505-2E9C-101B-9397-08002B2CF9AE}" pid="57" name="urixOrigin">
    <vt:lpwstr>111204 08:30:58.952</vt:lpwstr>
  </property>
  <property fmtid="{D5CDD505-2E9C-101B-9397-08002B2CF9AE}" pid="58" name="urixGuid">
    <vt:lpwstr>{CFE9139A-D8A8-4907-A492-6BD651CD62D8}</vt:lpwstr>
  </property>
</Properties>
</file>