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448" w:rsidRPr="00EB71A5" w:rsidRDefault="00993448">
      <w:pPr>
        <w:pStyle w:val="Frslagsrubrik"/>
      </w:pPr>
      <w:r w:rsidRPr="00EB71A5">
        <w:t>Förslag till riksdagsbeslut</w:t>
      </w:r>
    </w:p>
    <w:p w:rsidR="00993448" w:rsidRPr="00EB71A5" w:rsidRDefault="00993448">
      <w:pPr>
        <w:pStyle w:val="Hemstlatt"/>
      </w:pPr>
      <w:r w:rsidRPr="00EB71A5">
        <w:rPr>
          <w:szCs w:val="24"/>
        </w:rPr>
        <w:t xml:space="preserve">Riksdagen tillkännager för regeringen som sin mening vad som anförs i motionen om </w:t>
      </w:r>
      <w:r w:rsidRPr="00EB71A5">
        <w:rPr>
          <w:color w:val="000000"/>
          <w:szCs w:val="24"/>
        </w:rPr>
        <w:t>behovet av att genomföra en granskning av Migrationsverkets rutiner för att säkerställa att förföljelse på grund av kön eller sexuell läggning ger flyktingstatus i enlighet med lagstiftningens inte</w:t>
      </w:r>
      <w:r w:rsidRPr="00EB71A5">
        <w:rPr>
          <w:color w:val="000000"/>
          <w:szCs w:val="24"/>
        </w:rPr>
        <w:t>n</w:t>
      </w:r>
      <w:r w:rsidRPr="00EB71A5">
        <w:rPr>
          <w:color w:val="000000"/>
          <w:szCs w:val="24"/>
        </w:rPr>
        <w:t>tioner.</w:t>
      </w:r>
    </w:p>
    <w:p w:rsidR="00993448" w:rsidRPr="00EB71A5" w:rsidRDefault="00993448">
      <w:pPr>
        <w:pStyle w:val="Rubrik1"/>
      </w:pPr>
      <w:r w:rsidRPr="00EB71A5">
        <w:t>Motivering</w:t>
      </w:r>
    </w:p>
    <w:p w:rsidR="00993448" w:rsidRPr="00EB71A5" w:rsidRDefault="00993448">
      <w:r w:rsidRPr="00EB71A5">
        <w:t>Arbetet för att förstärka rättigheterna för dem som riskerar förföljelse på grund av kön eller sexuell läggning är av stor vikt. Kristdemokraterna drev under ett flertal år frågan om att förföljelse på grund av kön eller sexuell läggning skulle ge flyktingstatus, och under 2005 genomfördes en sådan fö</w:t>
      </w:r>
      <w:r w:rsidRPr="00EB71A5">
        <w:t>r</w:t>
      </w:r>
      <w:r w:rsidRPr="00EB71A5">
        <w:t>ändring. Någon utvärdering har dock inte gjorts av huruvida den nya lagstif</w:t>
      </w:r>
      <w:r w:rsidRPr="00EB71A5">
        <w:t>t</w:t>
      </w:r>
      <w:r w:rsidRPr="00EB71A5">
        <w:t>ningen har förbättrat möjligheterna att få uppehållstillstånd för dem som ri</w:t>
      </w:r>
      <w:r w:rsidRPr="00EB71A5">
        <w:t>s</w:t>
      </w:r>
      <w:r w:rsidRPr="00EB71A5">
        <w:t>kerat förföljelse på någon av dessa grunder. Inget fall där den asylsökande har åberopat förföljelse på grund av sexuell läggning som asylskäl har heller tagits upp av Migrationsöverdomstolen. Domstolen har alltså hittills inte agerat i sin roll som praxisbildande instans inom detta område.</w:t>
      </w:r>
    </w:p>
    <w:p w:rsidR="00993448" w:rsidRPr="00EB71A5" w:rsidRDefault="00993448">
      <w:pPr>
        <w:pStyle w:val="Normaltindrag"/>
      </w:pPr>
      <w:r w:rsidRPr="00EB71A5">
        <w:t>Under 2009 förstärktes Migrationsverkets arbete med kompetensutvec</w:t>
      </w:r>
      <w:r w:rsidRPr="00EB71A5">
        <w:t>k</w:t>
      </w:r>
      <w:r w:rsidRPr="00EB71A5">
        <w:t xml:space="preserve">ling och med att förbättra beslutsunderlagen när det gäller hbtq-relaterade frågor (frågor som rör homosexuella, </w:t>
      </w:r>
      <w:hyperlink r:id="rId7" w:history="1">
        <w:r w:rsidRPr="00EB71A5">
          <w:t>bisexuella</w:t>
        </w:r>
      </w:hyperlink>
      <w:r w:rsidRPr="00EB71A5">
        <w:t xml:space="preserve">, </w:t>
      </w:r>
      <w:hyperlink r:id="rId8" w:history="1">
        <w:r w:rsidRPr="00EB71A5">
          <w:t>transpersoner</w:t>
        </w:r>
      </w:hyperlink>
      <w:r w:rsidRPr="00EB71A5">
        <w:t xml:space="preserve"> och </w:t>
      </w:r>
      <w:hyperlink r:id="rId9" w:history="1">
        <w:r w:rsidRPr="00EB71A5">
          <w:t>queer</w:t>
        </w:r>
      </w:hyperlink>
      <w:r w:rsidRPr="00EB71A5">
        <w:t>personer). Inom Migrationsverket finns till exempel en särskild ref</w:t>
      </w:r>
      <w:r w:rsidRPr="00EB71A5">
        <w:t>e</w:t>
      </w:r>
      <w:r w:rsidRPr="00EB71A5">
        <w:t>rensgrupp och man arbetar aktivt med att utbilda personalen i bemötandefr</w:t>
      </w:r>
      <w:r w:rsidRPr="00EB71A5">
        <w:t>å</w:t>
      </w:r>
      <w:r w:rsidRPr="00EB71A5">
        <w:t>gor. Seminarier har anordnats och en extern utredare har sett över beslutsu</w:t>
      </w:r>
      <w:r w:rsidRPr="00EB71A5">
        <w:t>n</w:t>
      </w:r>
      <w:r w:rsidRPr="00EB71A5">
        <w:t>derlagen ur ett hbtq-perspektiv. Socialförsäkringsutskottet uppmärksammar i sitt betänkande 2010/11SfU6 att Migrationsverket i början av februari 2010 in</w:t>
      </w:r>
      <w:r w:rsidRPr="00EB71A5">
        <w:lastRenderedPageBreak/>
        <w:t>ledde ett arbete med att utbilda personalen i frågor om makt, kön och sexu</w:t>
      </w:r>
      <w:r w:rsidRPr="00EB71A5">
        <w:t>a</w:t>
      </w:r>
      <w:r w:rsidRPr="00EB71A5">
        <w:t>litet i asylprocessen. Syftet är att deltagarna vid kursens</w:t>
      </w:r>
      <w:r w:rsidRPr="00EB71A5">
        <w:t xml:space="preserve"> slut ska vara medve</w:t>
      </w:r>
      <w:r w:rsidRPr="00EB71A5">
        <w:t>t</w:t>
      </w:r>
      <w:r w:rsidRPr="00EB71A5">
        <w:t>na om hur normer i allmänhet och heteronormen i synnerhet påverkar verkets arbete inom asylområdet. Rättschefen vid Migrationsverket beskrev i ett rätt</w:t>
      </w:r>
      <w:r w:rsidRPr="00EB71A5">
        <w:t>s</w:t>
      </w:r>
      <w:r w:rsidRPr="00EB71A5">
        <w:t>ligt ställningstagande den 13 januari 2011 en metod för utredning och prö</w:t>
      </w:r>
      <w:r w:rsidRPr="00EB71A5">
        <w:t>v</w:t>
      </w:r>
      <w:r w:rsidRPr="00EB71A5">
        <w:t>ning av den framåtsyftande risken för personer som åberopar skyddsskäl på grund av sexuell läggning (RCI 03/2011). Redan den 12 oktober 2009 gjordes också ett annat rättsligt ställningstagande där det klargjordes att det inte finns skäl att betrakta en i asylproces</w:t>
      </w:r>
      <w:r w:rsidRPr="00EB71A5">
        <w:t>sen sent angiven uppgift om sexuell läggning som i sig själv mindre trovärdig. Alla dessa insatser från Migr</w:t>
      </w:r>
      <w:r w:rsidRPr="00EB71A5">
        <w:t>a</w:t>
      </w:r>
      <w:r w:rsidRPr="00EB71A5">
        <w:t>tionsverkets ledning är mycket välkomna.</w:t>
      </w:r>
    </w:p>
    <w:p w:rsidR="00993448" w:rsidRPr="00EB71A5" w:rsidRDefault="00993448">
      <w:pPr>
        <w:pStyle w:val="Normaltindrag"/>
      </w:pPr>
      <w:r w:rsidRPr="00EB71A5">
        <w:t>Men trots insatserna finns det fortfarande mycket som tyder på att lagstif</w:t>
      </w:r>
      <w:r w:rsidRPr="00EB71A5">
        <w:t>t</w:t>
      </w:r>
      <w:r w:rsidRPr="00EB71A5">
        <w:t>ningens intentioner att ge flyktingstatus åt dem som riskerar förföljelse på grund av kön eller sexuell läggning inte efterlevs på ett konsekvent och rätt</w:t>
      </w:r>
      <w:r w:rsidRPr="00EB71A5">
        <w:t>s</w:t>
      </w:r>
      <w:r w:rsidRPr="00EB71A5">
        <w:t>säkert sätt. RFSL arbetar med att ge stöd åt asylsökande hbtq-personer och uppger att de i detta arbete har kontakt med runt 60 personer årligen. Många av dessa får avslag på sin asylansökan trots att en återkomst till hemlandet riskerar att innebära förföljelse. RFSL uppger bland annat att de vid ett flertal tillfällen fått ta del av avvisningsbeslut so</w:t>
      </w:r>
      <w:r w:rsidRPr="00EB71A5">
        <w:t>m står i strid med lagstiftningen och också med de rättsliga ställningstagandena, som ju ofta har tillkommit för att förtydliga vad som står i lagen och hur den ska tolkas. När anställda på M</w:t>
      </w:r>
      <w:r w:rsidRPr="00EB71A5">
        <w:t>i</w:t>
      </w:r>
      <w:r w:rsidRPr="00EB71A5">
        <w:t>grationsverket inte följer de rättsliga ställningstagandena vidtas inga åtgärder av myndighetens ledning. Exempelvis kan nämnas att RFSL under maj 2011 i två skrivelser till dåvarande generaldirektör Dan Eliasson begärde att disc</w:t>
      </w:r>
      <w:r w:rsidRPr="00EB71A5">
        <w:t>i</w:t>
      </w:r>
      <w:r w:rsidRPr="00EB71A5">
        <w:t>plinära åtgärder skulle vidtas mot två anställda som inte följt det rättsliga ställningsta</w:t>
      </w:r>
      <w:r w:rsidRPr="00EB71A5">
        <w:t>gandet från 2009. Ännu har inga åtgärder vidtagits, och myndigh</w:t>
      </w:r>
      <w:r w:rsidRPr="00EB71A5">
        <w:t>e</w:t>
      </w:r>
      <w:r w:rsidRPr="00EB71A5">
        <w:t>ten har inte själv agerat på annat sätt för att säkerställa att alla handläggare agerar i enlighet med lagtexten och förtydligandena i de rättsliga ställningst</w:t>
      </w:r>
      <w:r w:rsidRPr="00EB71A5">
        <w:t>a</w:t>
      </w:r>
      <w:r w:rsidRPr="00EB71A5">
        <w:t>gandena.</w:t>
      </w:r>
    </w:p>
    <w:p w:rsidR="00993448" w:rsidRPr="00EB71A5" w:rsidRDefault="00993448">
      <w:pPr>
        <w:pStyle w:val="Normaltindrag"/>
      </w:pPr>
      <w:r w:rsidRPr="00EB71A5">
        <w:t>Det finns alltså skäl att anta att riksdagens intentioner med den gjorda la</w:t>
      </w:r>
      <w:r w:rsidRPr="00EB71A5">
        <w:t>g</w:t>
      </w:r>
      <w:r w:rsidRPr="00EB71A5">
        <w:t>ändringen inte har uppnåtts. Det är därför viktigt att det snarast görs en granskning av hur Migrationsverket, Migrationsdomstolen och Migration</w:t>
      </w:r>
      <w:r w:rsidRPr="00EB71A5">
        <w:t>s</w:t>
      </w:r>
      <w:r w:rsidRPr="00EB71A5">
        <w:t>överdomstolen har levt upp till lagstiftningens intentioner och att åtgärder vidtas för att säkerställa att ingen utvisas på grund av bristande rutiner på Migrationsverket, om de hotas av förföljelse på grund av kön eller sexuell läggning.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1A5">
        <w:trPr>
          <w:cantSplit/>
        </w:trPr>
        <w:tc>
          <w:tcPr>
            <w:tcW w:w="3046" w:type="dxa"/>
          </w:tcPr>
          <w:p w:rsidR="00993448" w:rsidRPr="00EB71A5" w:rsidRDefault="00993448">
            <w:pPr>
              <w:pStyle w:val="UnderskriftDatum"/>
              <w:spacing w:before="240"/>
            </w:pPr>
            <w:r w:rsidRPr="00EB71A5">
              <w:t>Stockholm den 3 oktober 2011</w:t>
            </w:r>
          </w:p>
        </w:tc>
        <w:tc>
          <w:tcPr>
            <w:tcW w:w="3047" w:type="dxa"/>
          </w:tcPr>
          <w:p w:rsidR="00993448" w:rsidRPr="00EB71A5" w:rsidRDefault="00993448">
            <w:pPr>
              <w:pStyle w:val="Underskrifter"/>
              <w:spacing w:before="240"/>
            </w:pPr>
          </w:p>
        </w:tc>
      </w:tr>
      <w:tr w:rsidR="00000000" w:rsidRPr="00EB71A5">
        <w:trPr>
          <w:cantSplit/>
        </w:trPr>
        <w:tc>
          <w:tcPr>
            <w:tcW w:w="3046" w:type="dxa"/>
          </w:tcPr>
          <w:p w:rsidR="00993448" w:rsidRPr="00EB71A5" w:rsidRDefault="00993448">
            <w:pPr>
              <w:pStyle w:val="Underskrifter"/>
            </w:pPr>
            <w:r w:rsidRPr="00EB71A5">
              <w:t>Caroline Szyber (KD)</w:t>
            </w:r>
          </w:p>
        </w:tc>
        <w:tc>
          <w:tcPr>
            <w:tcW w:w="3046" w:type="dxa"/>
          </w:tcPr>
          <w:p w:rsidR="00993448" w:rsidRPr="00EB71A5" w:rsidRDefault="00993448">
            <w:pPr>
              <w:pStyle w:val="Underskrifter"/>
            </w:pPr>
          </w:p>
        </w:tc>
      </w:tr>
    </w:tbl>
    <w:p w:rsidR="00993448" w:rsidRPr="00EB71A5" w:rsidRDefault="00993448">
      <w:pPr>
        <w:pStyle w:val="Normaltindrag"/>
      </w:pPr>
    </w:p>
    <w:sectPr w:rsidR="00993448" w:rsidRPr="00EB71A5">
      <w:headerReference w:type="even" r:id="rId10"/>
      <w:headerReference w:type="default" r:id="rId11"/>
      <w:footerReference w:type="even" r:id="rId12"/>
      <w:footerReference w:type="default" r:id="rId13"/>
      <w:headerReference w:type="first" r:id="rId14"/>
      <w:footerReference w:type="first" r:id="rId15"/>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448" w:rsidRPr="00EB71A5" w:rsidRDefault="00993448">
      <w:r w:rsidRPr="00EB71A5">
        <w:separator/>
      </w:r>
    </w:p>
  </w:endnote>
  <w:endnote w:type="continuationSeparator" w:id="0">
    <w:p w:rsidR="00993448" w:rsidRPr="00EB71A5" w:rsidRDefault="00993448">
      <w:r w:rsidRPr="00EB71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48" w:rsidRPr="00EB71A5" w:rsidRDefault="00EB71A5">
    <w:pPr>
      <w:pStyle w:val="Sidfot"/>
    </w:pPr>
    <w:r w:rsidRPr="00EB71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1713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448" w:rsidRDefault="009934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3448" w:rsidRDefault="009934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48" w:rsidRPr="00EB71A5" w:rsidRDefault="00EB71A5">
    <w:pPr>
      <w:pStyle w:val="Sidfot"/>
    </w:pPr>
    <w:r w:rsidRPr="00EB71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1721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448" w:rsidRDefault="009934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3448" w:rsidRDefault="009934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48" w:rsidRPr="00EB71A5" w:rsidRDefault="00EB71A5">
    <w:pPr>
      <w:pStyle w:val="Sidfot"/>
    </w:pPr>
    <w:r w:rsidRPr="00EB71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789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448" w:rsidRDefault="009934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3448" w:rsidRDefault="009934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448" w:rsidRPr="00EB71A5" w:rsidRDefault="00993448">
      <w:r w:rsidRPr="00EB71A5">
        <w:separator/>
      </w:r>
    </w:p>
  </w:footnote>
  <w:footnote w:type="continuationSeparator" w:id="0">
    <w:p w:rsidR="00993448" w:rsidRPr="00EB71A5" w:rsidRDefault="00993448">
      <w:r w:rsidRPr="00EB71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48" w:rsidRPr="00EB71A5" w:rsidRDefault="00EB71A5">
    <w:pPr>
      <w:pStyle w:val="Sidhuvud"/>
    </w:pPr>
    <w:r w:rsidRPr="00EB71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246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448" w:rsidRDefault="009934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3448" w:rsidRDefault="009934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48" w:rsidRPr="00EB71A5" w:rsidRDefault="00EB71A5">
    <w:pPr>
      <w:pStyle w:val="Sidhuvud"/>
    </w:pPr>
    <w:r w:rsidRPr="00EB71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2969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448" w:rsidRDefault="009934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3448" w:rsidRDefault="009934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3448" w:rsidRPr="00EB71A5" w:rsidRDefault="00993448">
    <w:pPr>
      <w:pStyle w:val="FSHNormal"/>
      <w:tabs>
        <w:tab w:val="right" w:pos="5840"/>
      </w:tabs>
    </w:pPr>
    <w:r w:rsidRPr="00EB71A5">
      <w:br/>
    </w:r>
    <w:r w:rsidRPr="00EB71A5">
      <w:fldChar w:fldCharType="begin" w:fldLock="1"/>
    </w:r>
    <w:r w:rsidRPr="00EB71A5">
      <w:instrText xml:space="preserve"> DOCPROPERTY</w:instrText>
    </w:r>
    <w:r w:rsidRPr="00EB71A5">
      <w:rPr>
        <w:sz w:val="18"/>
      </w:rPr>
      <w:instrText xml:space="preserve"> "YearUser" *\charformat </w:instrText>
    </w:r>
    <w:r w:rsidRPr="00EB71A5">
      <w:fldChar w:fldCharType="separate"/>
    </w:r>
    <w:r w:rsidRPr="00EB71A5">
      <w:t>2011/12</w:t>
    </w:r>
    <w:r w:rsidRPr="00EB71A5">
      <w:fldChar w:fldCharType="end"/>
    </w:r>
    <w:r w:rsidRPr="00EB71A5">
      <w:t xml:space="preserve"> </w:t>
    </w:r>
    <w:r w:rsidRPr="00EB71A5">
      <w:tab/>
      <w:t xml:space="preserve">mnr: </w:t>
    </w:r>
    <w:r w:rsidRPr="00EB71A5">
      <w:fldChar w:fldCharType="begin" w:fldLock="1"/>
    </w:r>
    <w:r w:rsidRPr="00EB71A5">
      <w:instrText xml:space="preserve"> DOCPROPERTY</w:instrText>
    </w:r>
    <w:r w:rsidRPr="00EB71A5">
      <w:rPr>
        <w:sz w:val="18"/>
      </w:rPr>
      <w:instrText xml:space="preserve"> "Motionsnummer" *\charformat </w:instrText>
    </w:r>
    <w:r w:rsidRPr="00EB71A5">
      <w:fldChar w:fldCharType="separate"/>
    </w:r>
    <w:r w:rsidRPr="00EB71A5">
      <w:t>Sf236</w:t>
    </w:r>
    <w:r w:rsidRPr="00EB71A5">
      <w:fldChar w:fldCharType="end"/>
    </w:r>
    <w:r w:rsidRPr="00EB71A5">
      <w:br/>
    </w:r>
    <w:r w:rsidRPr="00EB71A5">
      <w:fldChar w:fldCharType="begin" w:fldLock="1"/>
    </w:r>
    <w:r w:rsidRPr="00EB71A5">
      <w:instrText xml:space="preserve"> DOCPROPERTY</w:instrText>
    </w:r>
    <w:r w:rsidRPr="00EB71A5">
      <w:rPr>
        <w:sz w:val="18"/>
      </w:rPr>
      <w:instrText xml:space="preserve"> "Samling" *\charformat </w:instrText>
    </w:r>
    <w:r w:rsidRPr="00EB71A5">
      <w:fldChar w:fldCharType="end"/>
    </w:r>
    <w:r w:rsidRPr="00EB71A5">
      <w:tab/>
      <w:t xml:space="preserve">pnr: </w:t>
    </w:r>
    <w:r w:rsidRPr="00EB71A5">
      <w:fldChar w:fldCharType="begin" w:fldLock="1"/>
    </w:r>
    <w:r w:rsidRPr="00EB71A5">
      <w:instrText xml:space="preserve"> DOCPROPERTY</w:instrText>
    </w:r>
    <w:r w:rsidRPr="00EB71A5">
      <w:rPr>
        <w:sz w:val="18"/>
      </w:rPr>
      <w:instrText xml:space="preserve"> "Partinummer" *\charformat </w:instrText>
    </w:r>
    <w:r w:rsidRPr="00EB71A5">
      <w:fldChar w:fldCharType="separate"/>
    </w:r>
    <w:r w:rsidRPr="00EB71A5">
      <w:t>KD720</w:t>
    </w:r>
    <w:r w:rsidRPr="00EB71A5">
      <w:fldChar w:fldCharType="end"/>
    </w:r>
  </w:p>
  <w:p w:rsidR="00993448" w:rsidRPr="00EB71A5" w:rsidRDefault="00993448">
    <w:pPr>
      <w:pStyle w:val="FSHRub1"/>
    </w:pPr>
    <w:r w:rsidRPr="00EB71A5">
      <w:t>Motion till riksdagen</w:t>
    </w:r>
    <w:r w:rsidRPr="00EB71A5">
      <w:br/>
    </w:r>
    <w:r w:rsidRPr="00EB71A5">
      <w:fldChar w:fldCharType="begin" w:fldLock="1"/>
    </w:r>
    <w:r w:rsidRPr="00EB71A5">
      <w:instrText xml:space="preserve"> DOCPROPERTY "YearUser" *\charformat </w:instrText>
    </w:r>
    <w:r w:rsidRPr="00EB71A5">
      <w:fldChar w:fldCharType="separate"/>
    </w:r>
    <w:r w:rsidRPr="00EB71A5">
      <w:t>2011/12</w:t>
    </w:r>
    <w:r w:rsidRPr="00EB71A5">
      <w:fldChar w:fldCharType="end"/>
    </w:r>
    <w:r w:rsidRPr="00EB71A5">
      <w:t>:</w:t>
    </w:r>
    <w:r w:rsidRPr="00EB71A5">
      <w:fldChar w:fldCharType="begin" w:fldLock="1"/>
    </w:r>
    <w:r w:rsidRPr="00EB71A5">
      <w:instrText xml:space="preserve"> DOCPROPERTY "Motionsnummer" *\charformat </w:instrText>
    </w:r>
    <w:r w:rsidRPr="00EB71A5">
      <w:fldChar w:fldCharType="separate"/>
    </w:r>
    <w:r w:rsidRPr="00EB71A5">
      <w:t>Sf236</w:t>
    </w:r>
    <w:r w:rsidRPr="00EB71A5">
      <w:fldChar w:fldCharType="end"/>
    </w:r>
  </w:p>
  <w:p w:rsidR="00993448" w:rsidRPr="00EB71A5" w:rsidRDefault="00993448">
    <w:pPr>
      <w:pStyle w:val="FSHNormalS5"/>
    </w:pPr>
    <w:r w:rsidRPr="00EB71A5">
      <w:fldChar w:fldCharType="begin" w:fldLock="1"/>
    </w:r>
    <w:r w:rsidRPr="00EB71A5">
      <w:instrText xml:space="preserve"> DOCPROPERTY "MotionarText" *\charformat </w:instrText>
    </w:r>
    <w:r w:rsidRPr="00EB71A5">
      <w:fldChar w:fldCharType="separate"/>
    </w:r>
    <w:r w:rsidRPr="00EB71A5">
      <w:t>av Caroline Szyber (KD)</w:t>
    </w:r>
    <w:r w:rsidRPr="00EB71A5">
      <w:fldChar w:fldCharType="end"/>
    </w:r>
    <w:r w:rsidRPr="00EB71A5">
      <w:br/>
    </w:r>
    <w:r w:rsidRPr="00EB71A5">
      <w:fldChar w:fldCharType="begin" w:fldLock="1"/>
    </w:r>
    <w:r w:rsidRPr="00EB71A5">
      <w:instrText xml:space="preserve"> DOCPROPERTY "SvarFrasKort" *\charformat </w:instrText>
    </w:r>
    <w:r w:rsidRPr="00EB71A5">
      <w:fldChar w:fldCharType="end"/>
    </w:r>
  </w:p>
  <w:p w:rsidR="00993448" w:rsidRPr="00EB71A5" w:rsidRDefault="00993448">
    <w:pPr>
      <w:pStyle w:val="FSHTitel"/>
    </w:pPr>
    <w:r w:rsidRPr="00EB71A5">
      <w:fldChar w:fldCharType="begin" w:fldLock="1"/>
    </w:r>
    <w:r w:rsidRPr="00EB71A5">
      <w:instrText xml:space="preserve"> DOCPROPERTY</w:instrText>
    </w:r>
    <w:r w:rsidRPr="00EB71A5">
      <w:rPr>
        <w:sz w:val="18"/>
      </w:rPr>
      <w:instrText xml:space="preserve"> "RubrikSvar" *\charformat </w:instrText>
    </w:r>
    <w:r w:rsidRPr="00EB71A5">
      <w:fldChar w:fldCharType="separate"/>
    </w:r>
    <w:r w:rsidRPr="00EB71A5">
      <w:t xml:space="preserve">Flyktingstatus för personer som riskerar förföljelse på grund av sexuell läggning
</w:t>
    </w:r>
    <w:r w:rsidRPr="00EB71A5">
      <w:fldChar w:fldCharType="end"/>
    </w:r>
  </w:p>
  <w:p w:rsidR="00993448" w:rsidRPr="00EB71A5" w:rsidRDefault="00993448">
    <w:pPr>
      <w:pStyle w:val="Normal00"/>
    </w:pPr>
  </w:p>
  <w:p w:rsidR="00993448" w:rsidRPr="00EB71A5" w:rsidRDefault="009934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9554409">
    <w:abstractNumId w:val="3"/>
  </w:num>
  <w:num w:numId="2" w16cid:durableId="383799157">
    <w:abstractNumId w:val="2"/>
  </w:num>
  <w:num w:numId="3" w16cid:durableId="2041394525">
    <w:abstractNumId w:val="1"/>
  </w:num>
  <w:num w:numId="4" w16cid:durableId="1689671177">
    <w:abstractNumId w:val="0"/>
  </w:num>
  <w:num w:numId="5" w16cid:durableId="1806853454">
    <w:abstractNumId w:val="7"/>
  </w:num>
  <w:num w:numId="6" w16cid:durableId="986785660">
    <w:abstractNumId w:val="6"/>
  </w:num>
  <w:num w:numId="7" w16cid:durableId="2128884834">
    <w:abstractNumId w:val="5"/>
  </w:num>
  <w:num w:numId="8" w16cid:durableId="1584141922">
    <w:abstractNumId w:val="4"/>
  </w:num>
  <w:num w:numId="9" w16cid:durableId="1348941695">
    <w:abstractNumId w:val="8"/>
  </w:num>
  <w:num w:numId="10" w16cid:durableId="1267159442">
    <w:abstractNumId w:val="9"/>
  </w:num>
  <w:num w:numId="11" w16cid:durableId="429208084">
    <w:abstractNumId w:val="11"/>
  </w:num>
  <w:num w:numId="12" w16cid:durableId="1655793783">
    <w:abstractNumId w:val="14"/>
  </w:num>
  <w:num w:numId="13" w16cid:durableId="2066249461">
    <w:abstractNumId w:val="16"/>
  </w:num>
  <w:num w:numId="14" w16cid:durableId="1923682563">
    <w:abstractNumId w:val="17"/>
  </w:num>
  <w:num w:numId="15" w16cid:durableId="1714229054">
    <w:abstractNumId w:val="12"/>
  </w:num>
  <w:num w:numId="16" w16cid:durableId="1826968876">
    <w:abstractNumId w:val="19"/>
  </w:num>
  <w:num w:numId="17" w16cid:durableId="795418185">
    <w:abstractNumId w:val="18"/>
  </w:num>
  <w:num w:numId="18" w16cid:durableId="397634210">
    <w:abstractNumId w:val="15"/>
  </w:num>
  <w:num w:numId="19" w16cid:durableId="116070380">
    <w:abstractNumId w:val="13"/>
  </w:num>
  <w:num w:numId="20" w16cid:durableId="1877695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F8ABEA8-D3AA-4B51-B172-BDBC1AA2FF8C}"/>
  </w:docVars>
  <w:rsids>
    <w:rsidRoot w:val="0002100F"/>
    <w:rsid w:val="0002100F"/>
    <w:rsid w:val="00993448"/>
    <w:rsid w:val="00EB71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DE6F8C-B64E-4CD1-AEEC-88CC98BF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hyperlink">
    <w:name w:val="hyperlink"/>
    <w:basedOn w:val="Standardstycketeckensnitt"/>
    <w:rPr>
      <w:rFonts w:ascii="Verdana" w:hAnsi="Verdana" w:hint="default"/>
    </w:rPr>
  </w:style>
  <w:style w:type="paragraph" w:styleId="Ballongtext">
    <w:name w:val="Balloon Text"/>
    <w:basedOn w:val="Normal"/>
    <w:link w:val="BallongtextChar"/>
    <w:pPr>
      <w:spacing w:line="240" w:lineRule="auto"/>
    </w:pPr>
    <w:rPr>
      <w:rFonts w:ascii="Lucida Grande" w:hAnsi="Lucida Grande"/>
      <w:sz w:val="18"/>
      <w:szCs w:val="18"/>
    </w:rPr>
  </w:style>
  <w:style w:type="character" w:customStyle="1" w:styleId="BallongtextChar">
    <w:name w:val="Ballongtext Char"/>
    <w:basedOn w:val="Standardstycketeckensnitt"/>
    <w:link w:val="Ballongtext"/>
    <w:rPr>
      <w:rFonts w:ascii="Lucida Grande" w:hAnsi="Lucida Grande"/>
      <w:sz w:val="18"/>
      <w:szCs w:val="18"/>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5627">
      <w:bodyDiv w:val="1"/>
      <w:marLeft w:val="0"/>
      <w:marRight w:val="0"/>
      <w:marTop w:val="0"/>
      <w:marBottom w:val="0"/>
      <w:divBdr>
        <w:top w:val="none" w:sz="0" w:space="0" w:color="auto"/>
        <w:left w:val="none" w:sz="0" w:space="0" w:color="auto"/>
        <w:bottom w:val="none" w:sz="0" w:space="0" w:color="auto"/>
        <w:right w:val="none" w:sz="0" w:space="0" w:color="auto"/>
      </w:divBdr>
      <w:divsChild>
        <w:div w:id="971209817">
          <w:marLeft w:val="-15"/>
          <w:marRight w:val="-15"/>
          <w:marTop w:val="0"/>
          <w:marBottom w:val="0"/>
          <w:divBdr>
            <w:top w:val="none" w:sz="0" w:space="0" w:color="auto"/>
            <w:left w:val="single" w:sz="6" w:space="0" w:color="DADADA"/>
            <w:bottom w:val="none" w:sz="0" w:space="0" w:color="auto"/>
            <w:right w:val="single" w:sz="6" w:space="0" w:color="DADADA"/>
          </w:divBdr>
          <w:divsChild>
            <w:div w:id="498277776">
              <w:marLeft w:val="0"/>
              <w:marRight w:val="0"/>
              <w:marTop w:val="0"/>
              <w:marBottom w:val="0"/>
              <w:divBdr>
                <w:top w:val="none" w:sz="0" w:space="0" w:color="auto"/>
                <w:left w:val="single" w:sz="48" w:space="0" w:color="FFFFFF"/>
                <w:bottom w:val="none" w:sz="0" w:space="0" w:color="auto"/>
                <w:right w:val="none" w:sz="0" w:space="0" w:color="auto"/>
              </w:divBdr>
              <w:divsChild>
                <w:div w:id="312832676">
                  <w:marLeft w:val="-15"/>
                  <w:marRight w:val="-15"/>
                  <w:marTop w:val="0"/>
                  <w:marBottom w:val="0"/>
                  <w:divBdr>
                    <w:top w:val="none" w:sz="0" w:space="0" w:color="auto"/>
                    <w:left w:val="single" w:sz="6" w:space="0" w:color="F9C661"/>
                    <w:bottom w:val="none" w:sz="0" w:space="0" w:color="auto"/>
                    <w:right w:val="single" w:sz="6" w:space="0" w:color="DADADA"/>
                  </w:divBdr>
                  <w:divsChild>
                    <w:div w:id="377514265">
                      <w:marLeft w:val="-30"/>
                      <w:marRight w:val="-45"/>
                      <w:marTop w:val="0"/>
                      <w:marBottom w:val="0"/>
                      <w:divBdr>
                        <w:top w:val="none" w:sz="0" w:space="0" w:color="auto"/>
                        <w:left w:val="none" w:sz="0" w:space="0" w:color="auto"/>
                        <w:bottom w:val="none" w:sz="0" w:space="0" w:color="auto"/>
                        <w:right w:val="none" w:sz="0" w:space="0" w:color="auto"/>
                      </w:divBdr>
                      <w:divsChild>
                        <w:div w:id="2696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Transpers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wikipedia.org/wiki/Bisexue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wikipedia.org/wiki/Quee"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3814</Characters>
  <Application>Microsoft Office Word</Application>
  <DocSecurity>4</DocSecurity>
  <Lines>66</Lines>
  <Paragraphs>10</Paragraphs>
  <ScaleCrop>false</ScaleCrop>
  <HeadingPairs>
    <vt:vector size="2" baseType="variant">
      <vt:variant>
        <vt:lpstr>Rubrik</vt:lpstr>
      </vt:variant>
      <vt:variant>
        <vt:i4>1</vt:i4>
      </vt:variant>
    </vt:vector>
  </HeadingPairs>
  <TitlesOfParts>
    <vt:vector size="1" baseType="lpstr">
      <vt:lpstr>KD720</vt:lpstr>
    </vt:vector>
  </TitlesOfParts>
  <Company>Riksdagen</Company>
  <LinksUpToDate>false</LinksUpToDate>
  <CharactersWithSpaces>4448</CharactersWithSpaces>
  <SharedDoc>false</SharedDoc>
  <HLinks>
    <vt:vector size="18" baseType="variant">
      <vt:variant>
        <vt:i4>1900632</vt:i4>
      </vt:variant>
      <vt:variant>
        <vt:i4>6</vt:i4>
      </vt:variant>
      <vt:variant>
        <vt:i4>0</vt:i4>
      </vt:variant>
      <vt:variant>
        <vt:i4>5</vt:i4>
      </vt:variant>
      <vt:variant>
        <vt:lpwstr>http://sv.wikipedia.org/wiki/Quee</vt:lpwstr>
      </vt:variant>
      <vt:variant>
        <vt:lpwstr/>
      </vt:variant>
      <vt:variant>
        <vt:i4>7929907</vt:i4>
      </vt:variant>
      <vt:variant>
        <vt:i4>3</vt:i4>
      </vt:variant>
      <vt:variant>
        <vt:i4>0</vt:i4>
      </vt:variant>
      <vt:variant>
        <vt:i4>5</vt:i4>
      </vt:variant>
      <vt:variant>
        <vt:lpwstr>http://sv.wikipedia.org/wiki/Transperso</vt:lpwstr>
      </vt:variant>
      <vt:variant>
        <vt:lpwstr/>
      </vt:variant>
      <vt:variant>
        <vt:i4>327764</vt:i4>
      </vt:variant>
      <vt:variant>
        <vt:i4>0</vt:i4>
      </vt:variant>
      <vt:variant>
        <vt:i4>0</vt:i4>
      </vt:variant>
      <vt:variant>
        <vt:i4>5</vt:i4>
      </vt:variant>
      <vt:variant>
        <vt:lpwstr>http://sv.wikipedia.org/wiki/Bisexuel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KD720</dc:title>
  <dc:subject>KD720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2011-11-26T11:38:00Z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Flyktingstatus för personer som riskerar förföljelse på grund av sexuell läggning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Flyktingstatus för personer som riskerar förföljelse på grund av sexuell läggning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20112012000000750068000007200069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20112012000000750068000007200069</vt:lpwstr>
  </property>
  <property fmtid="{D5CDD505-2E9C-101B-9397-08002B2CF9AE}" pid="50" name="nummer">
    <vt:lpwstr>236</vt:lpwstr>
  </property>
  <property fmtid="{D5CDD505-2E9C-101B-9397-08002B2CF9AE}" pid="51" name="utskottsbeteckning">
    <vt:lpwstr>Sf</vt:lpwstr>
  </property>
  <property fmtid="{D5CDD505-2E9C-101B-9397-08002B2CF9AE}" pid="52" name="GlobalUID">
    <vt:lpwstr>{2DA499EB-A2AD-4CD7-A550-3A2DB735F531}</vt:lpwstr>
  </property>
  <property fmtid="{D5CDD505-2E9C-101B-9397-08002B2CF9AE}" pid="53" name="Överföringar">
    <vt:i4>0</vt:i4>
  </property>
  <property fmtid="{D5CDD505-2E9C-101B-9397-08002B2CF9AE}" pid="54" name="Checksum">
    <vt:lpwstr>*0015427512005*</vt:lpwstr>
  </property>
  <property fmtid="{D5CDD505-2E9C-101B-9397-08002B2CF9AE}" pid="55" name="skuggnummer">
    <vt:lpwstr>893</vt:lpwstr>
  </property>
  <property fmtid="{D5CDD505-2E9C-101B-9397-08002B2CF9AE}" pid="56" name="urixVersion">
    <vt:lpwstr>4.5.0.25</vt:lpwstr>
  </property>
  <property fmtid="{D5CDD505-2E9C-101B-9397-08002B2CF9AE}" pid="57" name="urixOrigin">
    <vt:lpwstr>111205 13:59:31.271</vt:lpwstr>
  </property>
  <property fmtid="{D5CDD505-2E9C-101B-9397-08002B2CF9AE}" pid="58" name="urixGuid">
    <vt:lpwstr>{8D2523B4-2BA5-4E89-9F84-C487B413D3E6}</vt:lpwstr>
  </property>
</Properties>
</file>