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55E1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N2015/07126/MRT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522A18" w:rsidRPr="00522A18" w:rsidRDefault="00522A18" w:rsidP="00522A1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E1251" w:rsidRDefault="000E1251" w:rsidP="000E1251">
            <w:pPr>
              <w:pStyle w:val="Avsndare"/>
              <w:framePr w:h="2483" w:wrap="notBeside" w:x="1463" w:y="2146"/>
              <w:rPr>
                <w:b/>
                <w:i w:val="0"/>
                <w:sz w:val="22"/>
              </w:rPr>
            </w:pPr>
          </w:p>
          <w:p w:rsidR="000E1251" w:rsidRDefault="000E1251" w:rsidP="000E1251">
            <w:pPr>
              <w:pStyle w:val="Avsndare"/>
              <w:framePr w:h="2483" w:wrap="notBeside" w:x="1463" w:y="2146"/>
              <w:rPr>
                <w:b/>
                <w:i w:val="0"/>
                <w:sz w:val="22"/>
              </w:rPr>
            </w:pPr>
          </w:p>
          <w:p w:rsidR="006E4E11" w:rsidRDefault="00A55E1E" w:rsidP="000E1251">
            <w:pPr>
              <w:pStyle w:val="Avsndare"/>
              <w:framePr w:h="2483" w:wrap="notBeside" w:x="1463" w:y="214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A55E1E" w:rsidP="000E1251">
            <w:pPr>
              <w:pStyle w:val="Avsndare"/>
              <w:framePr w:h="2483" w:wrap="notBeside" w:x="1463" w:y="2146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957F8D" w:rsidRDefault="00957F8D" w:rsidP="000E1251">
            <w:pPr>
              <w:pStyle w:val="Avsndare"/>
              <w:framePr w:h="2483" w:wrap="notBeside" w:x="1463" w:y="2146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 w:rsidP="000E1251">
            <w:pPr>
              <w:pStyle w:val="Avsndare"/>
              <w:framePr w:h="2483" w:wrap="notBeside" w:x="1463" w:y="2146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 w:rsidP="000E1251">
            <w:pPr>
              <w:pStyle w:val="Avsndare"/>
              <w:framePr w:h="2483" w:wrap="notBeside" w:x="1463" w:y="2146"/>
              <w:rPr>
                <w:bCs/>
                <w:iCs/>
              </w:rPr>
            </w:pPr>
          </w:p>
        </w:tc>
      </w:tr>
    </w:tbl>
    <w:p w:rsidR="006E4E11" w:rsidRDefault="00A55E1E" w:rsidP="000E1251">
      <w:pPr>
        <w:framePr w:w="4400" w:h="1561" w:wrap="notBeside" w:vAnchor="page" w:hAnchor="page" w:x="6511" w:y="2356"/>
        <w:ind w:left="142"/>
      </w:pPr>
      <w:r>
        <w:t>Till riksdagen</w:t>
      </w:r>
    </w:p>
    <w:p w:rsidR="006E4E11" w:rsidRDefault="00A55E1E" w:rsidP="00A55E1E">
      <w:pPr>
        <w:pStyle w:val="RKrubrik"/>
        <w:pBdr>
          <w:bottom w:val="single" w:sz="4" w:space="1" w:color="auto"/>
        </w:pBdr>
        <w:spacing w:before="0" w:after="0"/>
      </w:pPr>
      <w:r>
        <w:t>Svar på fråga 2015/16:136 av Sten Bergheden (M) Nya försök att särbehandla mc-åkare</w:t>
      </w:r>
    </w:p>
    <w:p w:rsidR="006E4E11" w:rsidRDefault="006E4E11">
      <w:pPr>
        <w:pStyle w:val="RKnormal"/>
      </w:pPr>
    </w:p>
    <w:p w:rsidR="006E4E11" w:rsidRDefault="00A55E1E">
      <w:pPr>
        <w:pStyle w:val="RKnormal"/>
      </w:pPr>
      <w:r>
        <w:t xml:space="preserve">Sten Bergheden har frågat mig om </w:t>
      </w:r>
      <w:r w:rsidR="00DE69EA">
        <w:t xml:space="preserve">jag anser att </w:t>
      </w:r>
      <w:r>
        <w:t>det nu finns möjlighet att ändra gällande lagstiftning så att det ges möjlighet att införa ägaransvar för motorcyklister, och om detta i förlängningen innebär att även bilister ska omfattas av ägaransvar.</w:t>
      </w:r>
    </w:p>
    <w:p w:rsidR="00A55E1E" w:rsidRDefault="00A55E1E">
      <w:pPr>
        <w:pStyle w:val="RKnormal"/>
      </w:pPr>
    </w:p>
    <w:p w:rsidR="00A55E1E" w:rsidRDefault="00A55E1E">
      <w:pPr>
        <w:pStyle w:val="RKnormal"/>
      </w:pPr>
      <w:r>
        <w:t xml:space="preserve">Bakgrunden till frågan är </w:t>
      </w:r>
      <w:r w:rsidR="00175CCD">
        <w:t xml:space="preserve">enligt </w:t>
      </w:r>
      <w:r w:rsidR="00DE69EA">
        <w:t xml:space="preserve">Sten </w:t>
      </w:r>
      <w:r w:rsidR="00175CCD">
        <w:t>Bergheden en uppgift om att</w:t>
      </w:r>
      <w:r>
        <w:t xml:space="preserve"> Trafik</w:t>
      </w:r>
      <w:r w:rsidR="00DE69EA">
        <w:softHyphen/>
      </w:r>
      <w:r>
        <w:t xml:space="preserve">verket </w:t>
      </w:r>
      <w:r w:rsidR="00175CCD">
        <w:t>ska ha</w:t>
      </w:r>
      <w:r>
        <w:t xml:space="preserve"> beviljat medel till </w:t>
      </w:r>
      <w:r w:rsidR="00175CCD">
        <w:t xml:space="preserve">ett innovationsprojekt som ska utreda om det går att fånga motorcyklister i </w:t>
      </w:r>
      <w:r w:rsidR="00DE69EA">
        <w:t xml:space="preserve">trafiksäkerhetskamera, </w:t>
      </w:r>
      <w:r w:rsidR="00175CCD">
        <w:t>ATK.</w:t>
      </w:r>
    </w:p>
    <w:p w:rsidR="00175CCD" w:rsidRDefault="00175CCD" w:rsidP="00A55E1E">
      <w:pPr>
        <w:pStyle w:val="RKnormal"/>
      </w:pPr>
    </w:p>
    <w:p w:rsidR="00132CE1" w:rsidRDefault="000742E3" w:rsidP="00A55E1E">
      <w:pPr>
        <w:pStyle w:val="RKnormal"/>
      </w:pPr>
      <w:r>
        <w:t>Sverige tillämpar föraransvar när det gäller straffbara trafikförseelser som hastighetsöverträdelser, rödljuskörning och rattfylleri. D</w:t>
      </w:r>
      <w:r w:rsidRPr="00D61994">
        <w:t>en automatiska hastighets</w:t>
      </w:r>
      <w:r>
        <w:softHyphen/>
      </w:r>
      <w:r w:rsidRPr="00D61994">
        <w:t>övervakningen</w:t>
      </w:r>
      <w:r>
        <w:t xml:space="preserve"> med ATK</w:t>
      </w:r>
      <w:r w:rsidRPr="00D61994">
        <w:t xml:space="preserve"> är ett viktigt </w:t>
      </w:r>
      <w:r>
        <w:t>verktyg,</w:t>
      </w:r>
      <w:r w:rsidRPr="00D61994">
        <w:t xml:space="preserve"> som </w:t>
      </w:r>
      <w:r>
        <w:t>kompletterar mer traditionell trafikövervakning</w:t>
      </w:r>
      <w:r w:rsidRPr="00D61994">
        <w:t xml:space="preserve">. </w:t>
      </w:r>
      <w:r>
        <w:t>För att kunna lagföras måste en förare dock kunna identifieras. På grund av kravet på hjälm är detta idag inte möjligt när det gäller mc-förare, som fotograferats med ATK. Liknande problem finns även med andra fordonskategorier, exempelvis i fall där förare maskerar sitt ansikte.</w:t>
      </w:r>
      <w:r w:rsidRPr="00C605C7">
        <w:t xml:space="preserve"> </w:t>
      </w:r>
    </w:p>
    <w:p w:rsidR="00132CE1" w:rsidRDefault="00132CE1" w:rsidP="00A55E1E">
      <w:pPr>
        <w:pStyle w:val="RKnormal"/>
      </w:pPr>
    </w:p>
    <w:p w:rsidR="00C605C7" w:rsidRDefault="0021493B" w:rsidP="00A55E1E">
      <w:pPr>
        <w:pStyle w:val="RKnormal"/>
      </w:pPr>
      <w:r>
        <w:t>I</w:t>
      </w:r>
      <w:r w:rsidRPr="00D61994">
        <w:t xml:space="preserve"> arbetet för en förbättrad trafiksäkerhet</w:t>
      </w:r>
      <w:r>
        <w:t xml:space="preserve"> är det avgörande att trafikanterna följer gällande hastighetsbestämmelser. </w:t>
      </w:r>
      <w:r w:rsidR="00B1360D">
        <w:t xml:space="preserve">Det är därför viktigt att </w:t>
      </w:r>
      <w:r w:rsidR="000742E3">
        <w:t xml:space="preserve">analysera och </w:t>
      </w:r>
      <w:r w:rsidR="00B1360D">
        <w:t xml:space="preserve">utveckla </w:t>
      </w:r>
      <w:r w:rsidR="000742E3">
        <w:t xml:space="preserve">de </w:t>
      </w:r>
      <w:r w:rsidR="00B1360D">
        <w:t xml:space="preserve">metoder och </w:t>
      </w:r>
      <w:r w:rsidR="000742E3">
        <w:t xml:space="preserve">den </w:t>
      </w:r>
      <w:r w:rsidR="00B1360D">
        <w:t xml:space="preserve">teknik </w:t>
      </w:r>
      <w:r w:rsidR="000742E3">
        <w:t>som används för</w:t>
      </w:r>
      <w:r w:rsidR="00B1360D">
        <w:t xml:space="preserve"> trafikövervakning. </w:t>
      </w:r>
      <w:r w:rsidR="00132CE1">
        <w:t xml:space="preserve">Sedan ATK infördes har det genomförts ett flertal forskningsprojekt om hur hastighetsövervakning och ATK kan användas för att på bästa sätt främja trafiksäkerheten.  </w:t>
      </w:r>
    </w:p>
    <w:p w:rsidR="00132CE1" w:rsidRDefault="00132CE1" w:rsidP="00A55E1E">
      <w:pPr>
        <w:pStyle w:val="RKnormal"/>
      </w:pPr>
    </w:p>
    <w:p w:rsidR="00C605C7" w:rsidRDefault="00132CE1" w:rsidP="00C605C7">
      <w:pPr>
        <w:pStyle w:val="RKnormal"/>
      </w:pPr>
      <w:r>
        <w:t>E</w:t>
      </w:r>
      <w:r w:rsidRPr="00D61994">
        <w:t xml:space="preserve">tt införande av ett ägaransvar skulle </w:t>
      </w:r>
      <w:r>
        <w:t>vara svårt att förena med</w:t>
      </w:r>
      <w:r w:rsidRPr="00D61994">
        <w:t xml:space="preserve"> svenska grundläggande straffrättsliga principer</w:t>
      </w:r>
      <w:r>
        <w:t>.</w:t>
      </w:r>
      <w:r w:rsidRPr="00D61994">
        <w:t xml:space="preserve"> </w:t>
      </w:r>
      <w:r>
        <w:t>Frågan om ägaransvar har bland annat utretts i SOU 20</w:t>
      </w:r>
      <w:r w:rsidR="00DC5ABE">
        <w:t>0</w:t>
      </w:r>
      <w:r>
        <w:t xml:space="preserve">5:86, </w:t>
      </w:r>
      <w:r w:rsidRPr="008960DA">
        <w:rPr>
          <w:i/>
        </w:rPr>
        <w:t>Ägaransvar vid trafikbrott</w:t>
      </w:r>
      <w:r>
        <w:t xml:space="preserve">. </w:t>
      </w:r>
      <w:r w:rsidR="00B1360D">
        <w:t xml:space="preserve">Jag har </w:t>
      </w:r>
      <w:r w:rsidR="00233AB2">
        <w:t>därför</w:t>
      </w:r>
      <w:r w:rsidR="00B1360D">
        <w:t xml:space="preserve"> </w:t>
      </w:r>
      <w:r>
        <w:t xml:space="preserve">inte </w:t>
      </w:r>
      <w:r w:rsidR="00B1360D">
        <w:t>någon avsikt att ta upp fråga</w:t>
      </w:r>
      <w:r>
        <w:t>n om ägaransvar</w:t>
      </w:r>
      <w:r w:rsidR="00B1360D">
        <w:t>.</w:t>
      </w:r>
    </w:p>
    <w:p w:rsidR="002B52DB" w:rsidRDefault="002B52DB" w:rsidP="00A55E1E">
      <w:pPr>
        <w:pStyle w:val="RKnormal"/>
      </w:pPr>
    </w:p>
    <w:p w:rsidR="00A55E1E" w:rsidRDefault="00A55E1E">
      <w:pPr>
        <w:pStyle w:val="RKnormal"/>
      </w:pPr>
      <w:r>
        <w:t xml:space="preserve">Stockholm den 27 </w:t>
      </w:r>
      <w:r w:rsidR="00B1360D">
        <w:t>november</w:t>
      </w:r>
      <w:r>
        <w:t xml:space="preserve"> 2015</w:t>
      </w:r>
    </w:p>
    <w:p w:rsidR="00A55E1E" w:rsidRDefault="00A55E1E">
      <w:pPr>
        <w:pStyle w:val="RKnormal"/>
      </w:pPr>
    </w:p>
    <w:p w:rsidR="00A55E1E" w:rsidRDefault="00A55E1E">
      <w:pPr>
        <w:pStyle w:val="RKnormal"/>
      </w:pPr>
    </w:p>
    <w:p w:rsidR="00A55E1E" w:rsidRDefault="00A55E1E">
      <w:pPr>
        <w:pStyle w:val="RKnormal"/>
      </w:pPr>
      <w:r>
        <w:t>Anna Johansson</w:t>
      </w:r>
    </w:p>
    <w:sectPr w:rsidR="00A55E1E" w:rsidSect="000E125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17" w:rsidRDefault="00962817">
      <w:r>
        <w:separator/>
      </w:r>
    </w:p>
  </w:endnote>
  <w:endnote w:type="continuationSeparator" w:id="0">
    <w:p w:rsidR="00962817" w:rsidRDefault="009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17" w:rsidRDefault="00962817">
      <w:r>
        <w:separator/>
      </w:r>
    </w:p>
  </w:footnote>
  <w:footnote w:type="continuationSeparator" w:id="0">
    <w:p w:rsidR="00962817" w:rsidRDefault="0096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12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E1E" w:rsidRDefault="0023786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1E"/>
    <w:rsid w:val="00041636"/>
    <w:rsid w:val="000742E3"/>
    <w:rsid w:val="000835BA"/>
    <w:rsid w:val="000E1251"/>
    <w:rsid w:val="00132CE1"/>
    <w:rsid w:val="001333F5"/>
    <w:rsid w:val="00150384"/>
    <w:rsid w:val="00160901"/>
    <w:rsid w:val="00175CCD"/>
    <w:rsid w:val="001805B7"/>
    <w:rsid w:val="0021493B"/>
    <w:rsid w:val="00233AB2"/>
    <w:rsid w:val="0023786D"/>
    <w:rsid w:val="0028794A"/>
    <w:rsid w:val="002B52DB"/>
    <w:rsid w:val="00367B1C"/>
    <w:rsid w:val="00451F1F"/>
    <w:rsid w:val="004A328D"/>
    <w:rsid w:val="00522A18"/>
    <w:rsid w:val="0058762B"/>
    <w:rsid w:val="006E4E11"/>
    <w:rsid w:val="007242A3"/>
    <w:rsid w:val="00795162"/>
    <w:rsid w:val="007A6855"/>
    <w:rsid w:val="00820F92"/>
    <w:rsid w:val="008960DA"/>
    <w:rsid w:val="0092027A"/>
    <w:rsid w:val="00955E31"/>
    <w:rsid w:val="00957F8D"/>
    <w:rsid w:val="00962817"/>
    <w:rsid w:val="00992E72"/>
    <w:rsid w:val="009B48F3"/>
    <w:rsid w:val="009F230B"/>
    <w:rsid w:val="00A55E1E"/>
    <w:rsid w:val="00AB1FCD"/>
    <w:rsid w:val="00AF26D1"/>
    <w:rsid w:val="00B1360D"/>
    <w:rsid w:val="00C605C7"/>
    <w:rsid w:val="00CB4DF3"/>
    <w:rsid w:val="00D133D7"/>
    <w:rsid w:val="00D61994"/>
    <w:rsid w:val="00DC5ABE"/>
    <w:rsid w:val="00DE69EA"/>
    <w:rsid w:val="00E80146"/>
    <w:rsid w:val="00E904D0"/>
    <w:rsid w:val="00EC25F9"/>
    <w:rsid w:val="00ED583F"/>
    <w:rsid w:val="00E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AE15B9-0FAD-4216-8EA0-8D24A33C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7F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8566afab-a3fb-4858-b33f-207dc4de77ea</RD_Svarsid>
  </documentManagement>
</p:properties>
</file>

<file path=customXml/itemProps1.xml><?xml version="1.0" encoding="utf-8"?>
<ds:datastoreItem xmlns:ds="http://schemas.openxmlformats.org/officeDocument/2006/customXml" ds:itemID="{56F5523B-D9C9-42D3-BD87-90819857D0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BD20A1-7759-439A-8120-416192635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EA9B7-43F5-4B7A-B757-B471A247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70FB6-3E90-4010-8432-3EDA1467D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1642</Characters>
  <Application>Microsoft Office Word</Application>
  <DocSecurity>0</DocSecurity>
  <Lines>58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Tidström</dc:creator>
  <cp:keywords/>
  <cp:lastModifiedBy>Jonas Ginsburg</cp:lastModifiedBy>
  <cp:revision>2</cp:revision>
  <cp:lastPrinted>2015-10-26T14:51:00Z</cp:lastPrinted>
  <dcterms:created xsi:type="dcterms:W3CDTF">2015-10-27T15:50:00Z</dcterms:created>
  <dcterms:modified xsi:type="dcterms:W3CDTF">2015-10-27T15:50:00Z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0x01010053E1D612BA3F4E21AA250ECD751942B30098E609079FEDE3498609AA794C7822C7</vt:lpwstr>
  </property>
  <property fmtid="{D5CDD505-2E9C-101B-9397-08002B2CF9AE}" pid="6" name="c9cd366cc722410295b9eacffbd73909">
    <vt:lpwstr/>
  </property>
  <property fmtid="{D5CDD505-2E9C-101B-9397-08002B2CF9AE}" pid="7" name="Nyckelord">
    <vt:lpwstr/>
  </property>
  <property fmtid="{D5CDD505-2E9C-101B-9397-08002B2CF9AE}" pid="8" name="Diarienummer">
    <vt:lpwstr/>
  </property>
  <property fmtid="{D5CDD505-2E9C-101B-9397-08002B2CF9AE}" pid="9" name="k46d94c0acf84ab9a79866a9d8b1905f">
    <vt:lpwstr/>
  </property>
  <property fmtid="{D5CDD505-2E9C-101B-9397-08002B2CF9AE}" pid="10" name="Sekretess">
    <vt:lpwstr/>
  </property>
  <property fmtid="{D5CDD505-2E9C-101B-9397-08002B2CF9AE}" pid="11" name="TaxCatchAll">
    <vt:lpwstr/>
  </property>
  <property fmtid="{D5CDD505-2E9C-101B-9397-08002B2CF9AE}" pid="12" name="Aktivitetskategori">
    <vt:lpwstr/>
  </property>
  <property fmtid="{D5CDD505-2E9C-101B-9397-08002B2CF9AE}" pid="13" name="Departementsenhet">
    <vt:lpwstr/>
  </property>
  <property fmtid="{D5CDD505-2E9C-101B-9397-08002B2CF9AE}" pid="14" name="_dlc_DocId">
    <vt:lpwstr>NSQ54W6EFEAZ-90-565</vt:lpwstr>
  </property>
  <property fmtid="{D5CDD505-2E9C-101B-9397-08002B2CF9AE}" pid="15" name="_dlc_DocIdItemGuid">
    <vt:lpwstr>c27a0b1a-6392-482f-a636-5d842db9bf01</vt:lpwstr>
  </property>
  <property fmtid="{D5CDD505-2E9C-101B-9397-08002B2CF9AE}" pid="16" name="_dlc_DocIdUrl">
    <vt:lpwstr>http://rkdhs-n/enhet/bt/transport/_layouts/DocIdRedir.aspx?ID=NSQ54W6EFEAZ-90-565, NSQ54W6EFEAZ-90-565</vt:lpwstr>
  </property>
</Properties>
</file>