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E40A5">
        <w:trPr>
          <w:gridAfter w:val="2"/>
          <w:wAfter w:w="1758" w:type="dxa"/>
          <w:cantSplit/>
          <w:trHeight w:val="1320"/>
        </w:trPr>
        <w:tc>
          <w:tcPr>
            <w:tcW w:w="5897" w:type="dxa"/>
          </w:tcPr>
          <w:p w:rsidR="00E26FC0" w:rsidRPr="00AE40A5" w:rsidRDefault="00E26FC0">
            <w:pPr>
              <w:pStyle w:val="HuvudRubrik"/>
            </w:pPr>
            <w:r w:rsidRPr="00AE40A5">
              <w:t>Regeringskansliet</w:t>
            </w:r>
          </w:p>
          <w:p w:rsidR="00E26FC0" w:rsidRPr="00AE40A5" w:rsidRDefault="00E26FC0">
            <w:pPr>
              <w:pStyle w:val="HuvudRubrik"/>
            </w:pPr>
            <w:r w:rsidRPr="00AE40A5">
              <w:t>Faktapromemoria 2011/12:FPM112</w:t>
            </w:r>
          </w:p>
        </w:tc>
      </w:tr>
      <w:tr w:rsidR="00000000" w:rsidRPr="00AE40A5">
        <w:trPr>
          <w:gridAfter w:val="2"/>
          <w:wAfter w:w="1758" w:type="dxa"/>
          <w:cantSplit/>
          <w:trHeight w:val="240"/>
        </w:trPr>
        <w:tc>
          <w:tcPr>
            <w:tcW w:w="5897" w:type="dxa"/>
          </w:tcPr>
          <w:p w:rsidR="00E26FC0" w:rsidRPr="00AE40A5" w:rsidRDefault="00E26FC0">
            <w:pPr>
              <w:pStyle w:val="HuvudRubrik"/>
              <w:rPr>
                <w:sz w:val="28"/>
              </w:rPr>
            </w:pPr>
            <w:r w:rsidRPr="00AE40A5">
              <w:t>Förordning om förenklad deklaration av mervärdesskatt på elektroniska tjänster</w:t>
            </w:r>
          </w:p>
        </w:tc>
      </w:tr>
      <w:tr w:rsidR="00000000" w:rsidRPr="00AE40A5">
        <w:trPr>
          <w:cantSplit/>
          <w:trHeight w:val="285"/>
        </w:trPr>
        <w:tc>
          <w:tcPr>
            <w:tcW w:w="7655" w:type="dxa"/>
            <w:gridSpan w:val="3"/>
          </w:tcPr>
          <w:p w:rsidR="00E26FC0" w:rsidRPr="00AE40A5" w:rsidRDefault="00E26FC0">
            <w:pPr>
              <w:pStyle w:val="Departement"/>
              <w:rPr>
                <w:sz w:val="28"/>
              </w:rPr>
            </w:pPr>
            <w:r w:rsidRPr="00AE40A5">
              <w:t>Finansdepartementet</w:t>
            </w:r>
          </w:p>
        </w:tc>
      </w:tr>
      <w:tr w:rsidR="00000000" w:rsidRPr="00AE40A5">
        <w:trPr>
          <w:cantSplit/>
          <w:trHeight w:val="240"/>
        </w:trPr>
        <w:tc>
          <w:tcPr>
            <w:tcW w:w="7655" w:type="dxa"/>
            <w:gridSpan w:val="3"/>
          </w:tcPr>
          <w:p w:rsidR="00E26FC0" w:rsidRPr="00AE40A5" w:rsidRDefault="00E26FC0">
            <w:pPr>
              <w:pStyle w:val="Dokumentdatum"/>
            </w:pPr>
            <w:r w:rsidRPr="00AE40A5">
              <w:t>2012-02-17</w:t>
            </w:r>
          </w:p>
        </w:tc>
      </w:tr>
      <w:tr w:rsidR="00000000" w:rsidRPr="00AE40A5">
        <w:trPr>
          <w:cantSplit/>
          <w:trHeight w:val="726"/>
        </w:trPr>
        <w:tc>
          <w:tcPr>
            <w:tcW w:w="7655" w:type="dxa"/>
            <w:gridSpan w:val="3"/>
            <w:vAlign w:val="bottom"/>
          </w:tcPr>
          <w:p w:rsidR="00E26FC0" w:rsidRPr="00AE40A5" w:rsidRDefault="00E26FC0">
            <w:pPr>
              <w:pStyle w:val="Dokumentbeteckning"/>
            </w:pPr>
            <w:r w:rsidRPr="00AE40A5">
              <w:t>Dokumentbeteckning</w:t>
            </w:r>
          </w:p>
        </w:tc>
      </w:tr>
      <w:tr w:rsidR="00000000" w:rsidRPr="00AE40A5">
        <w:trPr>
          <w:gridAfter w:val="1"/>
          <w:wAfter w:w="1560" w:type="dxa"/>
          <w:trHeight w:val="120"/>
        </w:trPr>
        <w:tc>
          <w:tcPr>
            <w:tcW w:w="6095" w:type="dxa"/>
            <w:gridSpan w:val="2"/>
          </w:tcPr>
          <w:p w:rsidR="00E26FC0" w:rsidRPr="00AE40A5" w:rsidRDefault="00E26FC0">
            <w:bookmarkStart w:id="0" w:name="KomNr"/>
            <w:bookmarkEnd w:id="0"/>
            <w:r w:rsidRPr="00AE40A5">
              <w:t>KOM (2012) 2</w:t>
            </w:r>
          </w:p>
        </w:tc>
      </w:tr>
      <w:tr w:rsidR="00000000" w:rsidRPr="00AE40A5">
        <w:trPr>
          <w:gridAfter w:val="1"/>
          <w:wAfter w:w="1560" w:type="dxa"/>
          <w:trHeight w:val="120"/>
        </w:trPr>
        <w:tc>
          <w:tcPr>
            <w:tcW w:w="6095" w:type="dxa"/>
            <w:gridSpan w:val="2"/>
          </w:tcPr>
          <w:p w:rsidR="00E26FC0" w:rsidRPr="00AE40A5" w:rsidRDefault="00E26FC0">
            <w:pPr>
              <w:pStyle w:val="Dokumentbeteckning-titel"/>
            </w:pPr>
            <w:r w:rsidRPr="00AE40A5">
              <w:t>Förslag till RÅDETS FÖRORDNING om ändring av rådets genomförandeförordning (EU) nr 282/2011 vad gäller de särskilda ordningarna för icke-etablerade beskattningsbara personer som tillhandahåller telekommunikationstjänster, radio- och televisionssändningar och elektroniska tjänster till icke beskattningsbara personer</w:t>
            </w:r>
          </w:p>
        </w:tc>
      </w:tr>
    </w:tbl>
    <w:p w:rsidR="00E26FC0" w:rsidRPr="00AE40A5" w:rsidRDefault="00E26FC0">
      <w:pPr>
        <w:pStyle w:val="Rubrik1"/>
        <w:numPr>
          <w:ilvl w:val="0"/>
          <w:numId w:val="0"/>
        </w:numPr>
      </w:pPr>
      <w:r w:rsidRPr="00AE40A5">
        <w:t>Sammanfattning</w:t>
      </w:r>
    </w:p>
    <w:p w:rsidR="00E26FC0" w:rsidRPr="00AE40A5" w:rsidRDefault="00E26FC0">
      <w:r w:rsidRPr="00AE40A5">
        <w:t>Kommissionens förslag avser funktionella och t</w:t>
      </w:r>
      <w:bookmarkStart w:id="1" w:name="_GoBack"/>
      <w:bookmarkEnd w:id="1"/>
      <w:r w:rsidRPr="00AE40A5">
        <w:t xml:space="preserve">ekniska ändringar i rådets genomförfarandeförordning (EU) nr 282/2011. En samsyn i detta avseende är nödvändig för att medlemsstaterna ska kunna utforma väl fungerande it-system så att den redan beslutade utvidgningen av den särskilda, förenklade ordningen för redovisning och betalning av mervärdesskatt (det s.k. mini one stop shop-systemet) från och med den 1 januari 2015 kan genomföras utan komplikationer. </w:t>
      </w:r>
    </w:p>
    <w:p w:rsidR="00E26FC0" w:rsidRPr="00AE40A5" w:rsidRDefault="00E26FC0"/>
    <w:p w:rsidR="00E26FC0" w:rsidRPr="00AE40A5" w:rsidRDefault="00E26FC0">
      <w:r w:rsidRPr="00AE40A5">
        <w:t xml:space="preserve">Regeringen ställer sig positiv till kommissionens förslag och är angelägen om att tekniken och administrationen ska fungera smidigt.  </w:t>
      </w:r>
    </w:p>
    <w:p w:rsidR="00E26FC0" w:rsidRPr="00AE40A5" w:rsidRDefault="00E26FC0">
      <w:pPr>
        <w:pStyle w:val="Rubrik1"/>
      </w:pPr>
      <w:r w:rsidRPr="00AE40A5">
        <w:t>Förslaget</w:t>
      </w:r>
    </w:p>
    <w:p w:rsidR="00E26FC0" w:rsidRPr="00AE40A5" w:rsidRDefault="00E26FC0">
      <w:pPr>
        <w:pStyle w:val="Rubrik2"/>
      </w:pPr>
      <w:r w:rsidRPr="00AE40A5">
        <w:t>Ärendets bakgrund</w:t>
      </w:r>
    </w:p>
    <w:p w:rsidR="00E26FC0" w:rsidRPr="00AE40A5" w:rsidRDefault="00E26FC0">
      <w:r w:rsidRPr="00AE40A5">
        <w:t>Av mervärdesskattedirektivet framgår att elektroniska tjänster, tele</w:t>
      </w:r>
      <w:r w:rsidRPr="00AE40A5">
        <w:softHyphen/>
        <w:t xml:space="preserve">kommunikationstjänster samt radio- och televisionssändningar som tillhandahålls privatpersoner i EU av näringsidkare utanför EU beskattas i köparens stat. Från och med den 1 januari 2015 kommer även elektroniska tjänster </w:t>
      </w:r>
      <w:r w:rsidRPr="00AE40A5">
        <w:lastRenderedPageBreak/>
        <w:t xml:space="preserve">m.m. som tillhandahålls privatpersoner i en medlemsstat av näringsidkare i en annan medlemsstat att beskattas i köparens stat. </w:t>
      </w:r>
    </w:p>
    <w:p w:rsidR="00E26FC0" w:rsidRPr="00AE40A5" w:rsidRDefault="00E26FC0">
      <w:r w:rsidRPr="00AE40A5">
        <w:t>Näringsidkare utanför EU som säljer elektroniska tjänster till privatpersoner i EU kan, sedan den 1 juli 2003, använda sig av en särskild, förenklad ordning för a</w:t>
      </w:r>
      <w:r w:rsidRPr="00AE40A5">
        <w:t>tt deklarera mervärdesskatt (mini one stop shop-systemet). Ordningen innebär att företaget lämnar en elektronisk deklarationsblankett till endast en stat och betalar den redovisade skatten till denna (identifierings</w:t>
      </w:r>
      <w:r w:rsidRPr="00AE40A5">
        <w:softHyphen/>
        <w:t>medlemsstaten). Den mottagande myndigheten sänder sedan informationen och betalningen vidare till den stat som ska ha skatten (konsumtions</w:t>
      </w:r>
      <w:r w:rsidRPr="00AE40A5">
        <w:softHyphen/>
        <w:t xml:space="preserve">medlemsstaten). </w:t>
      </w:r>
    </w:p>
    <w:p w:rsidR="00E26FC0" w:rsidRPr="00AE40A5" w:rsidRDefault="00E26FC0">
      <w:r w:rsidRPr="00AE40A5">
        <w:t>Enligt de under år 2008 beslutade ändringarna i mervärdesskattedirektivet kommer mini one stop shop-systemet från och med den 1 januari 2015</w:t>
      </w:r>
      <w:r w:rsidRPr="00AE40A5">
        <w:t xml:space="preserve"> att utvidgas så att det även kan användas av näringsidkare inom EU som tillhandahåller privatpersoner i en annan medlemsstat elektroniska tjänster, telekommunikationstjänster eller radio- och televisionssändningar. Systemet kommer också att kunna användas av näringsidkare utanför EU som tillhandahåller privatpersoner i EU telekommunikationstjänster eller radio- och televisionssändningar. </w:t>
      </w:r>
    </w:p>
    <w:p w:rsidR="00E26FC0" w:rsidRPr="00AE40A5" w:rsidRDefault="00E26FC0">
      <w:r w:rsidRPr="00AE40A5">
        <w:t>Det förslag från kommissionen som låg till grund för de bestämmelser i mervärdesskattedirektivet som träder ikraft från</w:t>
      </w:r>
      <w:r w:rsidRPr="00AE40A5">
        <w:t xml:space="preserve"> och med 2015 har behandlats översiktligt i faktapromemoria 2004/05:FPM55. </w:t>
      </w:r>
    </w:p>
    <w:p w:rsidR="00E26FC0" w:rsidRPr="00AE40A5" w:rsidRDefault="00E26FC0">
      <w:r w:rsidRPr="00AE40A5">
        <w:t>Rådets genomförfarandeförordning (EU) nr 282/2011 innehåller för när</w:t>
      </w:r>
      <w:r w:rsidRPr="00AE40A5">
        <w:softHyphen/>
        <w:t xml:space="preserve">varande inga åtgärder avseende utvidgningen av mini one stop shop-systemet från och med 2015. Det är därför nödvändigt att anpassa förordningen. </w:t>
      </w:r>
    </w:p>
    <w:p w:rsidR="00E26FC0" w:rsidRPr="00AE40A5" w:rsidRDefault="00E26FC0">
      <w:r w:rsidRPr="00AE40A5">
        <w:t>Kommissionen har den 13 januari 2012 lagt fram ett förslag om ändringar av rådets genomförfarandeförordning (EU) nr 282/2011.</w:t>
      </w:r>
    </w:p>
    <w:p w:rsidR="00E26FC0" w:rsidRPr="00AE40A5" w:rsidRDefault="00E26FC0">
      <w:r w:rsidRPr="00AE40A5">
        <w:t>En inledande presentation av förslaget har hållits i rådsarbetsgruppen för skattefrågor den 24 januari 2012.</w:t>
      </w:r>
    </w:p>
    <w:p w:rsidR="00E26FC0" w:rsidRPr="00AE40A5" w:rsidRDefault="00E26FC0">
      <w:pPr>
        <w:pStyle w:val="Rubrik2"/>
      </w:pPr>
      <w:r w:rsidRPr="00AE40A5">
        <w:t>Förslagets innehåll</w:t>
      </w:r>
    </w:p>
    <w:p w:rsidR="00E26FC0" w:rsidRPr="00AE40A5" w:rsidRDefault="00E26FC0">
      <w:r w:rsidRPr="00AE40A5">
        <w:t xml:space="preserve">Kommissionens förslag avser funktionella och tekniska frågor där det behövs en samsyn för att medlemsstaterna ska kunna utforma nödvändiga it-system för att genomförandet av utvidgningen av mini one stop shop-systemet från och med 2015 ska fungera väl. Flera av de föreslagna bestämmelserna motsvarar redan befintliga bestämmelser i rådets genomförandeförordning (EU) nr 282/2011, dvs. vad som gäller för näringsidkare utanför EU som använder det nuvarande mini one stop shop-systemet. </w:t>
      </w:r>
    </w:p>
    <w:p w:rsidR="00E26FC0" w:rsidRPr="00AE40A5" w:rsidRDefault="00E26FC0">
      <w:r w:rsidRPr="00AE40A5">
        <w:t>Förslaget innehåller vissa definitioner samt tydliggöranden eller kompletteringar av bestämmelserna i mervärdesskattedirektivet. Det föreslås bl.a. förtydligande bestämmelser om tillämpningsområdet. Förslaget innehåller också bestämmelser om från vilken tidpunkt beslut om inträde i mini one stop shop-systemet (identifiering) respektive frivilligt utträde eller uteslutning gäller. I förslaget finns även bestämmelser avseende den mervärdesskattedeklaration som företaget ska lämna till identifierings</w:t>
      </w:r>
      <w:r w:rsidRPr="00AE40A5">
        <w:softHyphen/>
        <w:t>medlemsstaten.</w:t>
      </w:r>
    </w:p>
    <w:p w:rsidR="00E26FC0" w:rsidRPr="00AE40A5" w:rsidRDefault="00E26FC0">
      <w:pPr>
        <w:pStyle w:val="Rubrik2"/>
      </w:pPr>
      <w:r w:rsidRPr="00AE40A5">
        <w:t>Gällande svenska regler och förslagets effekt på dessa</w:t>
      </w:r>
    </w:p>
    <w:p w:rsidR="00E26FC0" w:rsidRPr="00AE40A5" w:rsidRDefault="00E26FC0">
      <w:r w:rsidRPr="00AE40A5">
        <w:t>Rådets genomförfarandeförordning (EU) nr 282/2011 är direkt tillämplig och ändringar i den ger därmed inte upphov till några nationella lagstiftnings</w:t>
      </w:r>
      <w:r w:rsidRPr="00AE40A5">
        <w:softHyphen/>
        <w:t>åtgärder.</w:t>
      </w:r>
    </w:p>
    <w:p w:rsidR="00E26FC0" w:rsidRPr="00AE40A5" w:rsidRDefault="00E26FC0">
      <w:pPr>
        <w:pStyle w:val="Rubrik2"/>
      </w:pPr>
      <w:r w:rsidRPr="00AE40A5">
        <w:t>Budgetära konsekvenser / Konsekvensanalys</w:t>
      </w:r>
    </w:p>
    <w:p w:rsidR="00E26FC0" w:rsidRPr="00AE40A5" w:rsidRDefault="00E26FC0">
      <w:r w:rsidRPr="00AE40A5">
        <w:t xml:space="preserve">Kommissionen anser att någon konsekvensanalys inte behövs, eftersom åtgärderna är rent tekniska och enbart består av att fastställa hur de bestämmelser som rådet har antagit ska tillämpas.                                                               </w:t>
      </w:r>
    </w:p>
    <w:p w:rsidR="00E26FC0" w:rsidRPr="00AE40A5" w:rsidRDefault="00E26FC0">
      <w:r w:rsidRPr="00AE40A5">
        <w:t>Syftet med mini one stop shop-systemet är att förenkla och underlätta företagens redovisning och betalning av mervärdesskatt samt att säkra skatteintäkterna. Mini one stop shop-systemet innebär dock även ökade kostnader på grund av utveckling av it-system och ett visst löpande arbete för Skatteverket för att hantera information från och till övriga medlemsstater.  Eventuella ekonomiska kostnader med anledning av förslaget ska begränsas i största möjliga mån och utgångspunkten är att det ska hanteras inom b</w:t>
      </w:r>
      <w:r w:rsidRPr="00AE40A5">
        <w:t>efintliga och beräknade ekonomiska ramar.</w:t>
      </w:r>
    </w:p>
    <w:p w:rsidR="00E26FC0" w:rsidRPr="00AE40A5" w:rsidRDefault="00E26FC0">
      <w:pPr>
        <w:pStyle w:val="Rubrik1"/>
      </w:pPr>
      <w:r w:rsidRPr="00AE40A5">
        <w:t>Ståndpunkter</w:t>
      </w:r>
    </w:p>
    <w:p w:rsidR="00E26FC0" w:rsidRPr="00AE40A5" w:rsidRDefault="00E26FC0">
      <w:pPr>
        <w:pStyle w:val="Rubrik2"/>
      </w:pPr>
      <w:r w:rsidRPr="00AE40A5">
        <w:t>Preliminär svensk ståndpunkt</w:t>
      </w:r>
    </w:p>
    <w:p w:rsidR="00E26FC0" w:rsidRPr="00AE40A5" w:rsidRDefault="00E26FC0">
      <w:r w:rsidRPr="00AE40A5">
        <w:t>Regeringen ställer sig positiv till förslaget. Regeringen ser fördelar med mini one stop shop-systemet och anser att det är viktigt att hitta användbara lösningar som innebär förenklingar för både företag och myndighet samt dessutom säkrar skatteintäkterna, dvs. förbättrar möjligheterna att få in rätt skatt till rätt land. Det är viktigt att reglerna är enkla och förutsägbara för företagen samt att företag i olika medlemsstater behandlas lika. Regeringen är angelägen om att tekniken och administrationen sk</w:t>
      </w:r>
      <w:r w:rsidRPr="00AE40A5">
        <w:t xml:space="preserve">a fungera smidigt. Förslaget bör antas i god tid före 2015 så att medlemsstaterna hinner bygga upp nödvändiga it-system.  </w:t>
      </w:r>
    </w:p>
    <w:p w:rsidR="00E26FC0" w:rsidRPr="00AE40A5" w:rsidRDefault="00E26FC0">
      <w:pPr>
        <w:pStyle w:val="Rubrik2"/>
      </w:pPr>
      <w:r w:rsidRPr="00AE40A5">
        <w:t>Medlemsstaternas ståndpunkter</w:t>
      </w:r>
    </w:p>
    <w:p w:rsidR="00E26FC0" w:rsidRPr="00AE40A5" w:rsidRDefault="00E26FC0">
      <w:r w:rsidRPr="00AE40A5">
        <w:t>Medlemsstaterna har vid ett möte den 24 januari 2012 i rådsarbetsgruppen för skattefrågor uttryckt att de är positiva till förslaget på ett övergripande plan och att de är angelägna om att ändringarna antas i god tid före 2015.</w:t>
      </w:r>
    </w:p>
    <w:p w:rsidR="00E26FC0" w:rsidRPr="00AE40A5" w:rsidRDefault="00E26FC0">
      <w:pPr>
        <w:pStyle w:val="Rubrik2"/>
      </w:pPr>
      <w:r w:rsidRPr="00AE40A5">
        <w:t>Institutionernas ståndpunkter</w:t>
      </w:r>
    </w:p>
    <w:p w:rsidR="00E26FC0" w:rsidRPr="00AE40A5" w:rsidRDefault="00E26FC0">
      <w:r w:rsidRPr="00AE40A5">
        <w:t>Institutionernas ståndpunkter är inte kända.</w:t>
      </w:r>
    </w:p>
    <w:p w:rsidR="00E26FC0" w:rsidRPr="00AE40A5" w:rsidRDefault="00E26FC0">
      <w:pPr>
        <w:pStyle w:val="Rubrik2"/>
      </w:pPr>
      <w:r w:rsidRPr="00AE40A5">
        <w:t>Remissinstansernas ståndpunkter</w:t>
      </w:r>
    </w:p>
    <w:p w:rsidR="00E26FC0" w:rsidRPr="00AE40A5" w:rsidRDefault="00E26FC0">
      <w:r w:rsidRPr="00AE40A5">
        <w:t xml:space="preserve">Förslaget är remitterat den 27 januari 2012. Några synpunkter på förslaget har ännu inte inkommit. </w:t>
      </w:r>
    </w:p>
    <w:p w:rsidR="00E26FC0" w:rsidRPr="00AE40A5" w:rsidRDefault="00E26FC0">
      <w:pPr>
        <w:pStyle w:val="Rubrik1"/>
      </w:pPr>
      <w:r w:rsidRPr="00AE40A5">
        <w:t>Förslagets förutsättningar</w:t>
      </w:r>
    </w:p>
    <w:p w:rsidR="00E26FC0" w:rsidRPr="00AE40A5" w:rsidRDefault="00E26FC0">
      <w:pPr>
        <w:pStyle w:val="Rubrik2"/>
      </w:pPr>
      <w:r w:rsidRPr="00AE40A5">
        <w:t>Rättslig grund och beslutsförfarande</w:t>
      </w:r>
    </w:p>
    <w:p w:rsidR="00E26FC0" w:rsidRPr="00AE40A5" w:rsidRDefault="00E26FC0">
      <w:r w:rsidRPr="00AE40A5">
        <w:t>Enligt artikel 397 i mervärdesskattedirektivet ska rådet enhälligt på kommissionens förslag besluta om nödvändiga åtgärder för tillämpningen av mervärdesskattedirektivet.</w:t>
      </w:r>
    </w:p>
    <w:p w:rsidR="00E26FC0" w:rsidRPr="00AE40A5" w:rsidRDefault="00E26FC0">
      <w:pPr>
        <w:pStyle w:val="Rubrik2"/>
      </w:pPr>
      <w:r w:rsidRPr="00AE40A5">
        <w:t>Subsidiaritets- och proportionalitetsprincipen</w:t>
      </w:r>
    </w:p>
    <w:p w:rsidR="00E26FC0" w:rsidRPr="00AE40A5" w:rsidRDefault="00E26FC0">
      <w:r w:rsidRPr="00AE40A5">
        <w:t>Kommissionen anför att förslaget är förenligt med subsidiaritetsprincipen, eftersom enbart åtgärder på EU-nivå kan garantera likvärdig behandling av företag i EU. Regeringen delar denna uppfattning.</w:t>
      </w:r>
    </w:p>
    <w:p w:rsidR="00E26FC0" w:rsidRPr="00AE40A5" w:rsidRDefault="00E26FC0">
      <w:r w:rsidRPr="00AE40A5">
        <w:t>Kommissionen anför vidare att förslaget är nödvändigt för att anpassa förordningen till ändringarna i mervärdesskattedirektivet och anser därför att förslaget är förenligt med proportionalitetsprincipen. Regeringen instämmer i kommissionens bedömning.</w:t>
      </w:r>
    </w:p>
    <w:p w:rsidR="00E26FC0" w:rsidRPr="00AE40A5" w:rsidRDefault="00E26FC0">
      <w:pPr>
        <w:pStyle w:val="Rubrik1"/>
      </w:pPr>
      <w:r w:rsidRPr="00AE40A5">
        <w:t>Övrigt</w:t>
      </w:r>
    </w:p>
    <w:p w:rsidR="00E26FC0" w:rsidRPr="00AE40A5" w:rsidRDefault="00E26FC0">
      <w:pPr>
        <w:pStyle w:val="Rubrik2"/>
      </w:pPr>
      <w:r w:rsidRPr="00AE40A5">
        <w:t>Fortsatt behandling av ärendet</w:t>
      </w:r>
    </w:p>
    <w:p w:rsidR="00E26FC0" w:rsidRPr="00AE40A5" w:rsidRDefault="00E26FC0">
      <w:r w:rsidRPr="00AE40A5">
        <w:t xml:space="preserve">Förslaget kommer att diskuteras i rådsarbetsgruppen för skattefrågor under våren 2012. Avsikten är att förslaget ska antas av rådet senast i mitten av 2012. </w:t>
      </w:r>
    </w:p>
    <w:p w:rsidR="00E26FC0" w:rsidRPr="00AE40A5" w:rsidRDefault="00E26FC0">
      <w:pPr>
        <w:pStyle w:val="Rubrik2"/>
      </w:pPr>
      <w:r w:rsidRPr="00AE40A5">
        <w:t>Fackuttryck/termer</w:t>
      </w:r>
    </w:p>
    <w:p w:rsidR="00E26FC0" w:rsidRPr="00AE40A5" w:rsidRDefault="00E26FC0">
      <w:r w:rsidRPr="00AE40A5">
        <w:t xml:space="preserve">Begreppet beskattningsbar person, som används i den svenska versionen av förslaget (”taxable person” i den engelska versionen), motsvaras av företag eller näringsidkare. </w:t>
      </w:r>
    </w:p>
    <w:p w:rsidR="00E26FC0" w:rsidRPr="00AE40A5" w:rsidRDefault="00E26FC0">
      <w:r w:rsidRPr="00AE40A5">
        <w:t xml:space="preserve">I den svenska versionen av förslaget används uttrycket registrering i stället för identifiering (”identification”). Detta är inte att förväxla med den registrering som ett företag som har valt att inte använda mini one stop shop-systemet utan i stället följer de allmänna reglerna ska göra i varje enskild medlemsstat där det har omsatt tjänster.  </w:t>
      </w:r>
    </w:p>
    <w:sectPr w:rsidR="00E26FC0" w:rsidRPr="00AE40A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6FC0" w:rsidRPr="00AE40A5" w:rsidRDefault="00E26FC0">
      <w:r w:rsidRPr="00AE40A5">
        <w:separator/>
      </w:r>
    </w:p>
  </w:endnote>
  <w:endnote w:type="continuationSeparator" w:id="0">
    <w:p w:rsidR="00E26FC0" w:rsidRPr="00AE40A5" w:rsidRDefault="00E26FC0">
      <w:r w:rsidRPr="00AE40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FC0" w:rsidRPr="00AE40A5" w:rsidRDefault="00E26FC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FC0" w:rsidRPr="00AE40A5" w:rsidRDefault="00E26FC0">
    <w:pPr>
      <w:pStyle w:val="SidfotH"/>
      <w:framePr w:wrap="around"/>
    </w:pPr>
    <w:r w:rsidRPr="00AE40A5">
      <w:fldChar w:fldCharType="begin" w:fldLock="1"/>
    </w:r>
    <w:r w:rsidRPr="00AE40A5">
      <w:instrText xml:space="preserve"> PAGE </w:instrText>
    </w:r>
    <w:r w:rsidRPr="00AE40A5">
      <w:fldChar w:fldCharType="separate"/>
    </w:r>
    <w:r w:rsidRPr="00AE40A5">
      <w:t>4</w:t>
    </w:r>
    <w:r w:rsidRPr="00AE40A5">
      <w:fldChar w:fldCharType="end"/>
    </w:r>
  </w:p>
  <w:p w:rsidR="00E26FC0" w:rsidRPr="00AE40A5" w:rsidRDefault="00E26FC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FC0" w:rsidRPr="00AE40A5" w:rsidRDefault="00E26FC0">
    <w:pPr>
      <w:pStyle w:val="SidfotH"/>
      <w:framePr w:wrap="around"/>
    </w:pPr>
    <w:r w:rsidRPr="00AE40A5">
      <w:fldChar w:fldCharType="begin" w:fldLock="1"/>
    </w:r>
    <w:r w:rsidRPr="00AE40A5">
      <w:instrText xml:space="preserve"> PAGE </w:instrText>
    </w:r>
    <w:r w:rsidRPr="00AE40A5">
      <w:fldChar w:fldCharType="separate"/>
    </w:r>
    <w:r w:rsidRPr="00AE40A5">
      <w:t>1</w:t>
    </w:r>
    <w:r w:rsidRPr="00AE40A5">
      <w:fldChar w:fldCharType="end"/>
    </w:r>
  </w:p>
  <w:p w:rsidR="00E26FC0" w:rsidRPr="00AE40A5" w:rsidRDefault="00E26F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6FC0" w:rsidRPr="00AE40A5" w:rsidRDefault="00E26FC0">
      <w:r w:rsidRPr="00AE40A5">
        <w:separator/>
      </w:r>
    </w:p>
  </w:footnote>
  <w:footnote w:type="continuationSeparator" w:id="0">
    <w:p w:rsidR="00E26FC0" w:rsidRPr="00AE40A5" w:rsidRDefault="00E26FC0">
      <w:r w:rsidRPr="00AE40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FC0" w:rsidRPr="00AE40A5" w:rsidRDefault="00E26FC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FC0" w:rsidRPr="00AE40A5" w:rsidRDefault="00E26FC0">
    <w:pPr>
      <w:pStyle w:val="Kantrubrik"/>
      <w:framePr w:h="1157" w:hRule="exact" w:wrap="around" w:y="738"/>
    </w:pPr>
    <w:r w:rsidRPr="00AE40A5">
      <w:t>2011/12:FPM112</w:t>
    </w:r>
  </w:p>
  <w:p w:rsidR="00E26FC0" w:rsidRPr="00AE40A5" w:rsidRDefault="00E26FC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FC0" w:rsidRPr="00AE40A5" w:rsidRDefault="00AE40A5">
    <w:pPr>
      <w:pStyle w:val="Sidhuvud"/>
    </w:pPr>
    <w:r w:rsidRPr="00AE40A5">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6FC0" w:rsidRDefault="00E26FC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36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E26FC0" w:rsidRDefault="00E26FC0">
                    <w:pPr>
                      <w:pStyle w:val="Logo"/>
                    </w:pPr>
                    <w:r>
                      <w:object w:dxaOrig="840" w:dyaOrig="1545">
                        <v:shape id="_x0000_i1025" type="#_x0000_t75" style="width:42pt;height:77.15pt" filled="t">
                          <v:imagedata r:id="rId1" o:title=""/>
                        </v:shape>
                        <o:OLEObject Type="Embed" ProgID="Word.Picture.8" ShapeID="_x0000_i1025" DrawAspect="Content" ObjectID="_182751636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5"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876695451">
    <w:abstractNumId w:val="4"/>
  </w:num>
  <w:num w:numId="2" w16cid:durableId="728841858">
    <w:abstractNumId w:val="1"/>
  </w:num>
  <w:num w:numId="3" w16cid:durableId="1430543239">
    <w:abstractNumId w:val="2"/>
  </w:num>
  <w:num w:numId="4" w16cid:durableId="650793835">
    <w:abstractNumId w:val="3"/>
  </w:num>
  <w:num w:numId="5" w16cid:durableId="1681464154">
    <w:abstractNumId w:val="5"/>
  </w:num>
  <w:num w:numId="6" w16cid:durableId="271136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2-17"/>
    <w:docVar w:name="Ar" w:val="2011/12"/>
    <w:docVar w:name="Dep" w:val="Finansdepartementet"/>
    <w:docVar w:name="DepWeb" w:val="Finansdepartementet"/>
    <w:docVar w:name="GDB1" w:val="KOM (2012) 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FÖRORDNING om ändring av rådets genomförandeförordning (EU) nr 282/2011 vad gäller de särskilda ordningarna för icke-etablerade beskattningsbara personer som tillhandahåller telekommunikationstjänster, radio- och televisionssändningar och elektroniska tjänster till icke beskattningsbara person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2) 2"/>
    <w:docVar w:name="Nr" w:val="112"/>
    <w:docVar w:name="RD_APPVERSION" w:val="3.00"/>
    <w:docVar w:name="Rub" w:val="Förordning om förenklad deklaration av mervärdesskatt på elektroniska tjänster"/>
    <w:docVar w:name="UppDat" w:val="2012-02-17"/>
    <w:docVar w:name="Utsk" w:val="Skatteutskottet"/>
  </w:docVars>
  <w:rsids>
    <w:rsidRoot w:val="00147AB9"/>
    <w:rsid w:val="00147AB9"/>
    <w:rsid w:val="00AE40A5"/>
    <w:rsid w:val="00E26FC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9B6AB0-CCBF-41B2-80A2-E31A8986F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1044</Words>
  <Characters>6935</Characters>
  <Application>Microsoft Office Word</Application>
  <DocSecurity>4</DocSecurity>
  <Lines>138</Lines>
  <Paragraphs>56</Paragraphs>
  <ScaleCrop>false</ScaleCrop>
  <HeadingPairs>
    <vt:vector size="2" baseType="variant">
      <vt:variant>
        <vt:lpstr>Rubrik</vt:lpstr>
      </vt:variant>
      <vt:variant>
        <vt:i4>1</vt:i4>
      </vt:variant>
    </vt:vector>
  </HeadingPairs>
  <TitlesOfParts>
    <vt:vector size="1" baseType="lpstr">
      <vt:lpstr>FPM_201112__112</vt:lpstr>
    </vt:vector>
  </TitlesOfParts>
  <Company>RD-DTSL</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FPM_201112__112</dc:title>
  <dc:subject>FPM_201112__112</dc:subject>
  <dc:creator>Riksdagen</dc:creator>
  <cp:keywords>Riksdagen</cp:keywords>
  <dc:description>KP2004-version.  Ändringarna påverkar enbart användningen inom Riksdagen. 050429 nya departement DTSL.</dc:description>
  <cp:lastModifiedBy>Lars Brink</cp:lastModifiedBy>
  <cp:revision>2</cp:revision>
  <cp:lastPrinted>2012-02-17T14:31:00Z</cp:lastPrinted>
  <dcterms:created xsi:type="dcterms:W3CDTF">2025-12-17T21:00:00Z</dcterms:created>
  <dcterms:modified xsi:type="dcterms:W3CDTF">2025-12-17T21:00:00Z</dcterms:modified>
  <cp:category>KP2004 WORDAPPLIKATION FÖR FAKTAPM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112</vt:lpwstr>
  </property>
  <property fmtid="{D5CDD505-2E9C-101B-9397-08002B2CF9AE}" pid="4" name="GDB1">
    <vt:lpwstr>KOM (2012) 2</vt:lpwstr>
  </property>
  <property fmtid="{D5CDD505-2E9C-101B-9397-08002B2CF9AE}" pid="5" name="GDT1">
    <vt:lpwstr> </vt:lpwstr>
  </property>
  <property fmtid="{D5CDD505-2E9C-101B-9397-08002B2CF9AE}" pid="6" name="Dep">
    <vt:lpwstr>Finansdepartementet</vt:lpwstr>
  </property>
  <property fmtid="{D5CDD505-2E9C-101B-9397-08002B2CF9AE}" pid="7" name="Rub">
    <vt:lpwstr>Förordning om förenklad deklaration av mervärdesskatt på elektroniska tjänster</vt:lpwstr>
  </property>
  <property fmtid="{D5CDD505-2E9C-101B-9397-08002B2CF9AE}" pid="8" name="UppDat">
    <vt:lpwstr>2012-02-17</vt:lpwstr>
  </property>
  <property fmtid="{D5CDD505-2E9C-101B-9397-08002B2CF9AE}" pid="9" name="AnkDat">
    <vt:lpwstr>2012-02-17</vt:lpwstr>
  </property>
  <property fmtid="{D5CDD505-2E9C-101B-9397-08002B2CF9AE}" pid="10" name="Utsk">
    <vt:lpwstr>Skatteutskottet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ContentTypeId">
    <vt:lpwstr>0x010100D4E2D80DC721422ABBDF033BB3857F4903009AD199C305D5474D8748D4BE706B4122</vt:lpwstr>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Statsrådsberedningen">
    <vt:lpwstr>NEJ</vt:lpwstr>
  </property>
  <property fmtid="{D5CDD505-2E9C-101B-9397-08002B2CF9AE}" pid="28" name="Justitiedepartementet">
    <vt:lpwstr>NEJ</vt:lpwstr>
  </property>
  <property fmtid="{D5CDD505-2E9C-101B-9397-08002B2CF9AE}" pid="29" name="Utrikesdepartementet">
    <vt:lpwstr>NEJ</vt:lpwstr>
  </property>
  <property fmtid="{D5CDD505-2E9C-101B-9397-08002B2CF9AE}" pid="30" name="Försvarsdepartementet">
    <vt:lpwstr>NEJ</vt:lpwstr>
  </property>
  <property fmtid="{D5CDD505-2E9C-101B-9397-08002B2CF9AE}" pid="31" name="Socialdepartementet">
    <vt:lpwstr>NEJ</vt:lpwstr>
  </property>
  <property fmtid="{D5CDD505-2E9C-101B-9397-08002B2CF9AE}" pid="32" name="Finansdepartementet">
    <vt:lpwstr>JA</vt:lpwstr>
  </property>
  <property fmtid="{D5CDD505-2E9C-101B-9397-08002B2CF9AE}" pid="33" name="Utbildningsdepartementet">
    <vt:lpwstr>NEJ</vt:lpwstr>
  </property>
  <property fmtid="{D5CDD505-2E9C-101B-9397-08002B2CF9AE}" pid="34" name="Landsbygdsdepartementet">
    <vt:lpwstr>NEJ</vt:lpwstr>
  </property>
  <property fmtid="{D5CDD505-2E9C-101B-9397-08002B2CF9AE}" pid="35" name="Miljödepartementet">
    <vt:lpwstr>NEJ</vt:lpwstr>
  </property>
  <property fmtid="{D5CDD505-2E9C-101B-9397-08002B2CF9AE}" pid="36" name="Näringsdepartementet">
    <vt:lpwstr>NEJ</vt:lpwstr>
  </property>
  <property fmtid="{D5CDD505-2E9C-101B-9397-08002B2CF9AE}" pid="37" name="Integrations- och jämställdhetsdepartementet">
    <vt:lpwstr>NEJ</vt:lpwstr>
  </property>
  <property fmtid="{D5CDD505-2E9C-101B-9397-08002B2CF9AE}" pid="38" name="Kulturdepartementet">
    <vt:lpwstr>NEJ</vt:lpwstr>
  </property>
  <property fmtid="{D5CDD505-2E9C-101B-9397-08002B2CF9AE}" pid="39" name="Arbetsmarknadsdepartementet">
    <vt:lpwstr>NEJ</vt:lpwstr>
  </property>
  <property fmtid="{D5CDD505-2E9C-101B-9397-08002B2CF9AE}" pid="40" name="Förvaltningsavdelningen">
    <vt:lpwstr>NEJ</vt:lpwstr>
  </property>
  <property fmtid="{D5CDD505-2E9C-101B-9397-08002B2CF9AE}" pid="41" name="RKOrdnaSearchKeywords">
    <vt:lpwstr/>
  </property>
  <property fmtid="{D5CDD505-2E9C-101B-9397-08002B2CF9AE}" pid="42" name="RKOrdnaClass">
    <vt:lpwstr/>
  </property>
  <property fmtid="{D5CDD505-2E9C-101B-9397-08002B2CF9AE}" pid="43" name="RKOrdnaCheckInComment">
    <vt:lpwstr/>
  </property>
  <property fmtid="{D5CDD505-2E9C-101B-9397-08002B2CF9AE}" pid="44" name="RKOrdnaDiarienummer">
    <vt:lpwstr/>
  </property>
  <property fmtid="{D5CDD505-2E9C-101B-9397-08002B2CF9AE}" pid="45" name="RKOrdnaActivityCategory2">
    <vt:lpwstr>4.2. Internationella organisationer</vt:lpwstr>
  </property>
  <property fmtid="{D5CDD505-2E9C-101B-9397-08002B2CF9AE}" pid="46" name="RKOrdnaSarskildSkyddsvard">
    <vt:lpwstr>false</vt:lpwstr>
  </property>
  <property fmtid="{D5CDD505-2E9C-101B-9397-08002B2CF9AE}" pid="47" name="RKOrdnaDepartement2">
    <vt:lpwstr>Finansdepartementet</vt:lpwstr>
  </property>
  <property fmtid="{D5CDD505-2E9C-101B-9397-08002B2CF9AE}" pid="48" name="Jordbruksdepartementet">
    <vt:lpwstr>NEJ</vt:lpwstr>
  </property>
</Properties>
</file>