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3705" w:rsidRPr="005E49E2" w:rsidRDefault="00C93705">
      <w:pPr>
        <w:pStyle w:val="Hemstlrubrik"/>
      </w:pPr>
      <w:r w:rsidRPr="005E49E2">
        <w:t>Förslag till riksdagsbeslut</w:t>
      </w:r>
    </w:p>
    <w:p w:rsidR="00C93705" w:rsidRPr="005E49E2" w:rsidRDefault="00C93705">
      <w:pPr>
        <w:pStyle w:val="Hemstlatt"/>
        <w:ind w:left="0"/>
      </w:pPr>
      <w:r w:rsidRPr="005E49E2">
        <w:t>Riksdagen tillkännager för regeringen som sin mening vad som anförs i motionen om företrädesrätt till återanställning enligt lagen om anställningsskydd.</w:t>
      </w:r>
    </w:p>
    <w:p w:rsidR="00C93705" w:rsidRPr="005E49E2" w:rsidRDefault="00C93705">
      <w:pPr>
        <w:pStyle w:val="Rubrik1"/>
      </w:pPr>
      <w:r w:rsidRPr="005E49E2">
        <w:t>Motivering</w:t>
      </w:r>
    </w:p>
    <w:p w:rsidR="00C93705" w:rsidRPr="005E49E2" w:rsidRDefault="00C93705">
      <w:r w:rsidRPr="005E49E2">
        <w:t>Regeln om företrädesrätt till återanställning enligt lagen om anställningsskydd är av stor vikt för att säkerställa rättsäkerhet och trygghet i anställning. Den är ett viktigt instrument i skapandet av ett hållbart och mer jämlikt arbetsliv där diskriminering motverkas.</w:t>
      </w:r>
    </w:p>
    <w:p w:rsidR="00C93705" w:rsidRPr="005E49E2" w:rsidRDefault="00C93705">
      <w:pPr>
        <w:pStyle w:val="Normaltindrag"/>
      </w:pPr>
      <w:r w:rsidRPr="005E49E2">
        <w:t xml:space="preserve">Regeln som formuleras i lagens 25 § säger att arbetstagare som sagts upp på grund av arbetsbrist har företrädesrätt till återanställning i den verksamhet där de tidigare varit sysselsatta, förutsatt att anställningen varat under en viss tid och att arbetstagaren har de rätta kvalifikationerna. Regeln omfattar också visstidsanställda som på grund av arbetsbrist inte har fått fortsatt anställning. </w:t>
      </w:r>
    </w:p>
    <w:p w:rsidR="00C93705" w:rsidRPr="005E49E2" w:rsidRDefault="00C93705">
      <w:pPr>
        <w:pStyle w:val="Normaltindrag"/>
      </w:pPr>
      <w:r w:rsidRPr="005E49E2">
        <w:t>Bakgrunden till regeln är arbetsgivarnas makt att definiera när arbetsbrist föreligger och därmed också makt att avgöra när grund för att säga upp a</w:t>
      </w:r>
      <w:r w:rsidRPr="005E49E2">
        <w:t>n</w:t>
      </w:r>
      <w:r w:rsidRPr="005E49E2">
        <w:t>ställda finns. Företrädesrätten till återanställning är därför ett viktigt verktyg mot oseriösa arbetsgivare som önskar säga upp anställda enbart i syfte att byta ut människor. Regeln är en viktig del av anställningsskyddet. Dess existens bidrar till att förhindra diskriminering och skapar dessutom grund för dem</w:t>
      </w:r>
      <w:r w:rsidRPr="005E49E2">
        <w:t>o</w:t>
      </w:r>
      <w:r w:rsidRPr="005E49E2">
        <w:t>krati och yttrandefrihet på arbetsplatsen. Otrygga anställningar leder ofta till att människor tystnar och inte vågar kritisera eller diskutera arbetsplatsfrågor.</w:t>
      </w:r>
    </w:p>
    <w:p w:rsidR="00C93705" w:rsidRPr="005E49E2" w:rsidRDefault="00C93705">
      <w:pPr>
        <w:pStyle w:val="Normaltindrag"/>
      </w:pPr>
      <w:r w:rsidRPr="005E49E2">
        <w:t>Ett par domar i Arbetsdomstolen fö</w:t>
      </w:r>
      <w:r w:rsidRPr="005E49E2">
        <w:t>ranleder dock frågan om regeln håller på att urholkas. I domstolens dom nr 72/07 konstateras till exempel att arbet</w:t>
      </w:r>
      <w:r w:rsidRPr="005E49E2">
        <w:t>s</w:t>
      </w:r>
      <w:r w:rsidRPr="005E49E2">
        <w:t xml:space="preserve">givaren i fråga inte kringgått regeln om företräde till återanställning trots att 13 anställda sagts upp för att kort efter uppsägningstidens slut under en period ersättas av tre anställda via ett bemanningsföretag. Detta skedde alltså under tiden för återanställning. Samtliga tre hörde i detta fall till den grupp som </w:t>
      </w:r>
      <w:r w:rsidRPr="005E49E2">
        <w:lastRenderedPageBreak/>
        <w:t>blivit uppsagda, men två av dessa tre personer hade inte varit anställda til</w:t>
      </w:r>
      <w:r w:rsidRPr="005E49E2">
        <w:t>l</w:t>
      </w:r>
      <w:r w:rsidRPr="005E49E2">
        <w:t>räckligt länge för att kunna erhålla återanställning enligt 25 § i lagen om a</w:t>
      </w:r>
      <w:r w:rsidRPr="005E49E2">
        <w:t>n</w:t>
      </w:r>
      <w:r w:rsidRPr="005E49E2">
        <w:t>ställningsskydd om bolaget i stället för att hyra in arbetskraft hade visstidsa</w:t>
      </w:r>
      <w:r w:rsidRPr="005E49E2">
        <w:t>n</w:t>
      </w:r>
      <w:r w:rsidRPr="005E49E2">
        <w:t>ställt för den period det handlade om. Andra av de uppsagda hade alltså haft företrädesrätt till jobben. Arbetsdomstolen accepterar dock bolagets argument om anlitande av bemanningsföretag som en mer företagsekonomiskt riktig lösning vid tillfälliga arbetstoppar, och på så vis accepteras detta sätt att kringgå den viktiga regeln.</w:t>
      </w:r>
    </w:p>
    <w:p w:rsidR="00C93705" w:rsidRPr="005E49E2" w:rsidRDefault="00C93705">
      <w:pPr>
        <w:pStyle w:val="Normaltindrag"/>
      </w:pPr>
      <w:r w:rsidRPr="005E49E2">
        <w:t>Domar liksom den nämn</w:t>
      </w:r>
      <w:r w:rsidRPr="005E49E2">
        <w:t>da väcker ett behov av att se över och stärka r</w:t>
      </w:r>
      <w:r w:rsidRPr="005E49E2">
        <w:t>e</w:t>
      </w:r>
      <w:r w:rsidRPr="005E49E2">
        <w:t>geln om företrädesrätt till återanställning. Detta bör ske så att anställning</w:t>
      </w:r>
      <w:r w:rsidRPr="005E49E2">
        <w:t>s</w:t>
      </w:r>
      <w:r w:rsidRPr="005E49E2">
        <w:t>skyddet bevaras i den mening att arbetsgivare inte kan säga upp personal för att ta in ersättare via bemanningsföretag under tiden för återanställning.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9E2">
        <w:trPr>
          <w:cantSplit/>
        </w:trPr>
        <w:tc>
          <w:tcPr>
            <w:tcW w:w="3046" w:type="dxa"/>
          </w:tcPr>
          <w:p w:rsidR="00C93705" w:rsidRPr="005E49E2" w:rsidRDefault="00C93705">
            <w:pPr>
              <w:pStyle w:val="UnderskriftDatum"/>
              <w:spacing w:before="240"/>
            </w:pPr>
            <w:r w:rsidRPr="005E49E2">
              <w:t>Stockholm den 2 oktober 2008</w:t>
            </w:r>
          </w:p>
        </w:tc>
        <w:tc>
          <w:tcPr>
            <w:tcW w:w="3047" w:type="dxa"/>
          </w:tcPr>
          <w:p w:rsidR="00C93705" w:rsidRPr="005E49E2" w:rsidRDefault="00C93705">
            <w:pPr>
              <w:pStyle w:val="Underskrifter"/>
              <w:spacing w:before="240"/>
            </w:pPr>
          </w:p>
        </w:tc>
      </w:tr>
      <w:tr w:rsidR="00000000" w:rsidRPr="005E49E2">
        <w:trPr>
          <w:cantSplit/>
        </w:trPr>
        <w:tc>
          <w:tcPr>
            <w:tcW w:w="3046" w:type="dxa"/>
          </w:tcPr>
          <w:p w:rsidR="00C93705" w:rsidRPr="005E49E2" w:rsidRDefault="00C93705">
            <w:pPr>
              <w:pStyle w:val="Underskrifter"/>
            </w:pPr>
            <w:r w:rsidRPr="005E49E2">
              <w:t>Gunilla Carlsson i Hisings Backa (s)</w:t>
            </w:r>
          </w:p>
        </w:tc>
        <w:tc>
          <w:tcPr>
            <w:tcW w:w="3046" w:type="dxa"/>
          </w:tcPr>
          <w:p w:rsidR="00C93705" w:rsidRPr="005E49E2" w:rsidRDefault="00C93705">
            <w:pPr>
              <w:pStyle w:val="Underskrifter"/>
            </w:pPr>
          </w:p>
        </w:tc>
      </w:tr>
      <w:tr w:rsidR="00000000" w:rsidRPr="005E49E2">
        <w:trPr>
          <w:cantSplit/>
        </w:trPr>
        <w:tc>
          <w:tcPr>
            <w:tcW w:w="3046" w:type="dxa"/>
          </w:tcPr>
          <w:p w:rsidR="00C93705" w:rsidRPr="005E49E2" w:rsidRDefault="00C93705">
            <w:pPr>
              <w:pStyle w:val="Underskrifter"/>
            </w:pPr>
            <w:r w:rsidRPr="005E49E2">
              <w:t>Anneli Särnblad (s)</w:t>
            </w:r>
          </w:p>
        </w:tc>
        <w:tc>
          <w:tcPr>
            <w:tcW w:w="3046" w:type="dxa"/>
          </w:tcPr>
          <w:p w:rsidR="00C93705" w:rsidRPr="005E49E2" w:rsidRDefault="00C93705">
            <w:pPr>
              <w:pStyle w:val="Underskrifter"/>
            </w:pPr>
            <w:r w:rsidRPr="005E49E2">
              <w:t>Helén Pettersson i Umeå (s)</w:t>
            </w:r>
          </w:p>
        </w:tc>
      </w:tr>
    </w:tbl>
    <w:p w:rsidR="00C93705" w:rsidRPr="005E49E2" w:rsidRDefault="00C93705">
      <w:pPr>
        <w:pStyle w:val="Normaltindrag"/>
      </w:pPr>
    </w:p>
    <w:sectPr w:rsidR="00C93705" w:rsidRPr="005E49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3705" w:rsidRPr="005E49E2" w:rsidRDefault="00C93705">
      <w:r w:rsidRPr="005E49E2">
        <w:separator/>
      </w:r>
    </w:p>
  </w:endnote>
  <w:endnote w:type="continuationSeparator" w:id="0">
    <w:p w:rsidR="00C93705" w:rsidRPr="005E49E2" w:rsidRDefault="00C93705">
      <w:r w:rsidRPr="005E49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05" w:rsidRPr="005E49E2" w:rsidRDefault="005E49E2">
    <w:pPr>
      <w:pStyle w:val="Sidfot"/>
    </w:pPr>
    <w:r w:rsidRPr="005E49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56662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05" w:rsidRDefault="00C937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93705" w:rsidRDefault="00C937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05" w:rsidRPr="005E49E2" w:rsidRDefault="005E49E2">
    <w:pPr>
      <w:pStyle w:val="Sidfot"/>
    </w:pPr>
    <w:r w:rsidRPr="005E49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0433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05" w:rsidRDefault="00C9370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93705" w:rsidRDefault="00C9370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05" w:rsidRPr="005E49E2" w:rsidRDefault="005E49E2">
    <w:pPr>
      <w:pStyle w:val="Sidfot"/>
    </w:pPr>
    <w:r w:rsidRPr="005E49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09687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05" w:rsidRDefault="00C937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93705" w:rsidRDefault="00C937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3705" w:rsidRPr="005E49E2" w:rsidRDefault="00C93705">
      <w:r w:rsidRPr="005E49E2">
        <w:separator/>
      </w:r>
    </w:p>
  </w:footnote>
  <w:footnote w:type="continuationSeparator" w:id="0">
    <w:p w:rsidR="00C93705" w:rsidRPr="005E49E2" w:rsidRDefault="00C93705">
      <w:r w:rsidRPr="005E49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05" w:rsidRPr="005E49E2" w:rsidRDefault="005E49E2">
    <w:pPr>
      <w:pStyle w:val="Sidhuvud"/>
    </w:pPr>
    <w:r w:rsidRPr="005E49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1290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05" w:rsidRDefault="00C937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93705" w:rsidRDefault="00C937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05" w:rsidRPr="005E49E2" w:rsidRDefault="005E49E2">
    <w:pPr>
      <w:pStyle w:val="Sidhuvud"/>
    </w:pPr>
    <w:r w:rsidRPr="005E49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868307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3705" w:rsidRDefault="00C937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93705" w:rsidRDefault="00C937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3705" w:rsidRPr="005E49E2" w:rsidRDefault="00C93705">
    <w:pPr>
      <w:pStyle w:val="FSHNormal"/>
      <w:tabs>
        <w:tab w:val="right" w:pos="5840"/>
      </w:tabs>
    </w:pPr>
    <w:r w:rsidRPr="005E49E2">
      <w:br/>
    </w:r>
    <w:r w:rsidRPr="005E49E2">
      <w:fldChar w:fldCharType="begin" w:fldLock="1"/>
    </w:r>
    <w:r w:rsidRPr="005E49E2">
      <w:instrText xml:space="preserve"> DOCPROPERTY</w:instrText>
    </w:r>
    <w:r w:rsidRPr="005E49E2">
      <w:rPr>
        <w:sz w:val="18"/>
      </w:rPr>
      <w:instrText xml:space="preserve"> "YearUser" *\charformat </w:instrText>
    </w:r>
    <w:r w:rsidRPr="005E49E2">
      <w:fldChar w:fldCharType="separate"/>
    </w:r>
    <w:r w:rsidRPr="005E49E2">
      <w:t>2008/09</w:t>
    </w:r>
    <w:r w:rsidRPr="005E49E2">
      <w:fldChar w:fldCharType="end"/>
    </w:r>
    <w:r w:rsidRPr="005E49E2">
      <w:t xml:space="preserve"> </w:t>
    </w:r>
    <w:r w:rsidRPr="005E49E2">
      <w:tab/>
      <w:t xml:space="preserve">mnr: </w:t>
    </w:r>
    <w:r w:rsidRPr="005E49E2">
      <w:fldChar w:fldCharType="begin" w:fldLock="1"/>
    </w:r>
    <w:r w:rsidRPr="005E49E2">
      <w:instrText xml:space="preserve"> DOCPROPERTY</w:instrText>
    </w:r>
    <w:r w:rsidRPr="005E49E2">
      <w:rPr>
        <w:sz w:val="18"/>
      </w:rPr>
      <w:instrText xml:space="preserve"> "Motionsnummer" *\charformat </w:instrText>
    </w:r>
    <w:r w:rsidRPr="005E49E2">
      <w:fldChar w:fldCharType="separate"/>
    </w:r>
    <w:r w:rsidRPr="005E49E2">
      <w:t>A309</w:t>
    </w:r>
    <w:r w:rsidRPr="005E49E2">
      <w:fldChar w:fldCharType="end"/>
    </w:r>
    <w:r w:rsidRPr="005E49E2">
      <w:br/>
    </w:r>
    <w:r w:rsidRPr="005E49E2">
      <w:fldChar w:fldCharType="begin" w:fldLock="1"/>
    </w:r>
    <w:r w:rsidRPr="005E49E2">
      <w:instrText xml:space="preserve"> DOCPROPERTY</w:instrText>
    </w:r>
    <w:r w:rsidRPr="005E49E2">
      <w:rPr>
        <w:sz w:val="18"/>
      </w:rPr>
      <w:instrText xml:space="preserve"> "Samling" *\charformat </w:instrText>
    </w:r>
    <w:r w:rsidRPr="005E49E2">
      <w:fldChar w:fldCharType="end"/>
    </w:r>
    <w:r w:rsidRPr="005E49E2">
      <w:tab/>
      <w:t xml:space="preserve">pnr: </w:t>
    </w:r>
    <w:r w:rsidRPr="005E49E2">
      <w:fldChar w:fldCharType="begin" w:fldLock="1"/>
    </w:r>
    <w:r w:rsidRPr="005E49E2">
      <w:instrText xml:space="preserve"> DOCPROPERTY</w:instrText>
    </w:r>
    <w:r w:rsidRPr="005E49E2">
      <w:rPr>
        <w:sz w:val="18"/>
      </w:rPr>
      <w:instrText xml:space="preserve"> "Partinummer" *\charformat </w:instrText>
    </w:r>
    <w:r w:rsidRPr="005E49E2">
      <w:fldChar w:fldCharType="separate"/>
    </w:r>
    <w:r w:rsidRPr="005E49E2">
      <w:t>s27105</w:t>
    </w:r>
    <w:r w:rsidRPr="005E49E2">
      <w:fldChar w:fldCharType="end"/>
    </w:r>
  </w:p>
  <w:p w:rsidR="00C93705" w:rsidRPr="005E49E2" w:rsidRDefault="00C93705">
    <w:pPr>
      <w:pStyle w:val="FSHRub1"/>
    </w:pPr>
    <w:r w:rsidRPr="005E49E2">
      <w:t>Motion till riksdagen</w:t>
    </w:r>
    <w:r w:rsidRPr="005E49E2">
      <w:br/>
    </w:r>
    <w:r w:rsidRPr="005E49E2">
      <w:fldChar w:fldCharType="begin" w:fldLock="1"/>
    </w:r>
    <w:r w:rsidRPr="005E49E2">
      <w:instrText xml:space="preserve"> DOCPROPERTY "YearUser" *\charformat </w:instrText>
    </w:r>
    <w:r w:rsidRPr="005E49E2">
      <w:fldChar w:fldCharType="separate"/>
    </w:r>
    <w:r w:rsidRPr="005E49E2">
      <w:t>2008/09</w:t>
    </w:r>
    <w:r w:rsidRPr="005E49E2">
      <w:fldChar w:fldCharType="end"/>
    </w:r>
    <w:r w:rsidRPr="005E49E2">
      <w:t>:</w:t>
    </w:r>
    <w:r w:rsidRPr="005E49E2">
      <w:fldChar w:fldCharType="begin" w:fldLock="1"/>
    </w:r>
    <w:r w:rsidRPr="005E49E2">
      <w:instrText xml:space="preserve"> DOCPROPERTY "Motionsnummer" *\charformat </w:instrText>
    </w:r>
    <w:r w:rsidRPr="005E49E2">
      <w:fldChar w:fldCharType="separate"/>
    </w:r>
    <w:r w:rsidRPr="005E49E2">
      <w:t>A309</w:t>
    </w:r>
    <w:r w:rsidRPr="005E49E2">
      <w:fldChar w:fldCharType="end"/>
    </w:r>
  </w:p>
  <w:p w:rsidR="00C93705" w:rsidRPr="005E49E2" w:rsidRDefault="00C93705">
    <w:pPr>
      <w:pStyle w:val="FSHNormalS5"/>
    </w:pPr>
    <w:r w:rsidRPr="005E49E2">
      <w:fldChar w:fldCharType="begin" w:fldLock="1"/>
    </w:r>
    <w:r w:rsidRPr="005E49E2">
      <w:instrText xml:space="preserve"> DOCPROPERTY "MotionarText" *\charformat </w:instrText>
    </w:r>
    <w:r w:rsidRPr="005E49E2">
      <w:fldChar w:fldCharType="separate"/>
    </w:r>
    <w:r w:rsidRPr="005E49E2">
      <w:t>av Gunilla Carlsson i Hisings Backa m.fl. (s)</w:t>
    </w:r>
    <w:r w:rsidRPr="005E49E2">
      <w:fldChar w:fldCharType="end"/>
    </w:r>
    <w:r w:rsidRPr="005E49E2">
      <w:br/>
    </w:r>
    <w:r w:rsidRPr="005E49E2">
      <w:fldChar w:fldCharType="begin" w:fldLock="1"/>
    </w:r>
    <w:r w:rsidRPr="005E49E2">
      <w:instrText xml:space="preserve"> DOCPROPERTY "SvarFrasKort" *\charformat </w:instrText>
    </w:r>
    <w:r w:rsidRPr="005E49E2">
      <w:fldChar w:fldCharType="end"/>
    </w:r>
  </w:p>
  <w:p w:rsidR="00C93705" w:rsidRPr="005E49E2" w:rsidRDefault="00C93705">
    <w:pPr>
      <w:pStyle w:val="FSHTitel"/>
    </w:pPr>
    <w:r w:rsidRPr="005E49E2">
      <w:fldChar w:fldCharType="begin" w:fldLock="1"/>
    </w:r>
    <w:r w:rsidRPr="005E49E2">
      <w:instrText xml:space="preserve"> DOCPROPERTY</w:instrText>
    </w:r>
    <w:r w:rsidRPr="005E49E2">
      <w:rPr>
        <w:sz w:val="18"/>
      </w:rPr>
      <w:instrText xml:space="preserve"> "RubrikSvar" *\charformat </w:instrText>
    </w:r>
    <w:r w:rsidRPr="005E49E2">
      <w:fldChar w:fldCharType="separate"/>
    </w:r>
    <w:r w:rsidRPr="005E49E2">
      <w:t>Företrädesrätt till återanställning</w:t>
    </w:r>
    <w:r w:rsidRPr="005E49E2">
      <w:fldChar w:fldCharType="end"/>
    </w:r>
  </w:p>
  <w:p w:rsidR="00C93705" w:rsidRPr="005E49E2" w:rsidRDefault="00C93705">
    <w:pPr>
      <w:pStyle w:val="Normal00"/>
    </w:pPr>
  </w:p>
  <w:p w:rsidR="00C93705" w:rsidRPr="005E49E2" w:rsidRDefault="00C937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93410323">
    <w:abstractNumId w:val="8"/>
  </w:num>
  <w:num w:numId="2" w16cid:durableId="1158887608">
    <w:abstractNumId w:val="9"/>
  </w:num>
  <w:num w:numId="3" w16cid:durableId="636841822">
    <w:abstractNumId w:val="8"/>
  </w:num>
  <w:num w:numId="4" w16cid:durableId="1132015326">
    <w:abstractNumId w:val="9"/>
  </w:num>
  <w:num w:numId="5" w16cid:durableId="674577913">
    <w:abstractNumId w:val="13"/>
  </w:num>
  <w:num w:numId="6" w16cid:durableId="889343371">
    <w:abstractNumId w:val="10"/>
  </w:num>
  <w:num w:numId="7" w16cid:durableId="444815052">
    <w:abstractNumId w:val="11"/>
  </w:num>
  <w:num w:numId="8" w16cid:durableId="277874423">
    <w:abstractNumId w:val="12"/>
  </w:num>
  <w:num w:numId="9" w16cid:durableId="1925647298">
    <w:abstractNumId w:val="8"/>
  </w:num>
  <w:num w:numId="10" w16cid:durableId="987242790">
    <w:abstractNumId w:val="3"/>
  </w:num>
  <w:num w:numId="11" w16cid:durableId="1475177167">
    <w:abstractNumId w:val="2"/>
  </w:num>
  <w:num w:numId="12" w16cid:durableId="1628968116">
    <w:abstractNumId w:val="1"/>
  </w:num>
  <w:num w:numId="13" w16cid:durableId="1602031056">
    <w:abstractNumId w:val="0"/>
  </w:num>
  <w:num w:numId="14" w16cid:durableId="435564412">
    <w:abstractNumId w:val="9"/>
  </w:num>
  <w:num w:numId="15" w16cid:durableId="1844318114">
    <w:abstractNumId w:val="7"/>
  </w:num>
  <w:num w:numId="16" w16cid:durableId="1739205394">
    <w:abstractNumId w:val="6"/>
  </w:num>
  <w:num w:numId="17" w16cid:durableId="292754528">
    <w:abstractNumId w:val="5"/>
  </w:num>
  <w:num w:numId="18" w16cid:durableId="13483668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4F01CF0C-53D4-4C7A-B501-69C90218D11F},{E33618BE-6E34-4B8F-8F3F-2D6B0B8CA0A8},{6C8EA419-EA53-4D0D-85B4-7E9172F2D162}"/>
  </w:docVars>
  <w:rsids>
    <w:rsidRoot w:val="00373858"/>
    <w:rsid w:val="00373858"/>
    <w:rsid w:val="005E49E2"/>
    <w:rsid w:val="00C9370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0D0C8BF-DDD9-4071-BB61-49276B5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428</Words>
  <Characters>2517</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s27105</vt:lpstr>
    </vt:vector>
  </TitlesOfParts>
  <Company>Riksdagen</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s27105</dc:title>
  <dc:subject>s27105</dc:subject>
  <dc:creator>Riksdagen</dc:creator>
  <cp:keywords>Riksdagen</cp:keywords>
  <dc:description>TKG-ktrl, MSMQ4mb, PersReg-Distribution mm b-&gt;ny fplogga</dc:description>
  <cp:lastModifiedBy>Lars Brink</cp:lastModifiedBy>
  <cp:revision>2</cp:revision>
  <cp:lastPrinted>2008-11-18T14:45:00Z</cp:lastPrinted>
  <dcterms:created xsi:type="dcterms:W3CDTF">2025-12-17T13:49:00Z</dcterms:created>
  <dcterms:modified xsi:type="dcterms:W3CDTF">2025-12-17T13:49:00Z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Företrädesrätt till återanställning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Företrädesrätt till återanställning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s27105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Gunilla Carlsson i Hisings Backa m.fl. (s)</vt:lpwstr>
  </property>
  <property fmtid="{D5CDD505-2E9C-101B-9397-08002B2CF9AE}" pid="26" name="MotionarLista">
    <vt:lpwstr>Carlsson i Hisings Backa, Gunilla (s)\Särnblad, Anneli (s)\Pettersson i Umeå, Helén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Carlsson i Hisings Backa (s), Anneli Särnblad (s), Helén Pettersson i Umeå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A309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20082009000000000115000271050069</vt:lpwstr>
  </property>
  <property fmtid="{D5CDD505-2E9C-101B-9397-08002B2CF9AE}" pid="47" name="datum">
    <vt:lpwstr>081002</vt:lpwstr>
  </property>
  <property fmtid="{D5CDD505-2E9C-101B-9397-08002B2CF9AE}" pid="48" name="avsändar-e-post">
    <vt:lpwstr>petra.dahlberg@riksdagen.se</vt:lpwstr>
  </property>
  <property fmtid="{D5CDD505-2E9C-101B-9397-08002B2CF9AE}" pid="49" name="id">
    <vt:lpwstr>20082009000000000115000271050069</vt:lpwstr>
  </property>
  <property fmtid="{D5CDD505-2E9C-101B-9397-08002B2CF9AE}" pid="50" name="nummer">
    <vt:lpwstr>309</vt:lpwstr>
  </property>
  <property fmtid="{D5CDD505-2E9C-101B-9397-08002B2CF9AE}" pid="51" name="utskottsbeteckning">
    <vt:lpwstr>A</vt:lpwstr>
  </property>
  <property fmtid="{D5CDD505-2E9C-101B-9397-08002B2CF9AE}" pid="52" name="GlobalUID">
    <vt:lpwstr>{4C9B81D5-0159-4AE8-943C-C05113CE93EF}</vt:lpwstr>
  </property>
  <property fmtid="{D5CDD505-2E9C-101B-9397-08002B2CF9AE}" pid="53" name="Överföringar">
    <vt:i4>0</vt:i4>
  </property>
  <property fmtid="{D5CDD505-2E9C-101B-9397-08002B2CF9AE}" pid="54" name="Checksum">
    <vt:lpwstr>*1002389470862*</vt:lpwstr>
  </property>
  <property fmtid="{D5CDD505-2E9C-101B-9397-08002B2CF9AE}" pid="55" name="skuggnummer">
    <vt:lpwstr>1754</vt:lpwstr>
  </property>
  <property fmtid="{D5CDD505-2E9C-101B-9397-08002B2CF9AE}" pid="56" name="urixVersion">
    <vt:lpwstr>3.2.0.8</vt:lpwstr>
  </property>
  <property fmtid="{D5CDD505-2E9C-101B-9397-08002B2CF9AE}" pid="57" name="urixOrigin">
    <vt:lpwstr>090401 19:36:08.240</vt:lpwstr>
  </property>
  <property fmtid="{D5CDD505-2E9C-101B-9397-08002B2CF9AE}" pid="58" name="urixGuid">
    <vt:lpwstr>{7C848A6C-A28E-482D-A9E2-00E919336380}</vt:lpwstr>
  </property>
</Properties>
</file>