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E81" w:rsidRPr="00370B64" w:rsidRDefault="000D4E81">
      <w:pPr>
        <w:pStyle w:val="RubrikInnehllsf"/>
        <w:shd w:val="clear" w:color="000000" w:fill="auto"/>
      </w:pPr>
      <w:bookmarkStart w:id="0" w:name="_Toc178505802"/>
      <w:r w:rsidRPr="00370B64">
        <w:t>Innehållsförteckning</w:t>
      </w:r>
    </w:p>
    <w:bookmarkStart w:id="1" w:name="_Toc210731606"/>
    <w:bookmarkStart w:id="2" w:name="_Toc210987337"/>
    <w:p w:rsidR="000D4E81" w:rsidRPr="00370B64" w:rsidRDefault="000D4E81">
      <w:pPr>
        <w:pStyle w:val="Innehll1"/>
        <w:shd w:val="clear" w:color="000000" w:fill="auto"/>
        <w:tabs>
          <w:tab w:val="left" w:pos="360"/>
        </w:tabs>
        <w:spacing w:before="125"/>
        <w:rPr>
          <w:sz w:val="24"/>
          <w:szCs w:val="24"/>
        </w:rPr>
      </w:pPr>
      <w:r w:rsidRPr="00370B64">
        <w:rPr>
          <w:sz w:val="24"/>
        </w:rPr>
        <w:fldChar w:fldCharType="begin" w:fldLock="1"/>
      </w:r>
      <w:r w:rsidRPr="00370B64">
        <w:instrText xml:space="preserve"> TOC \o "2-3" \t "Rubrik 1;1;Hemstl_rubrik;1;RubrikSammanf;1" </w:instrText>
      </w:r>
      <w:r w:rsidRPr="00370B64">
        <w:rPr>
          <w:sz w:val="24"/>
        </w:rPr>
        <w:fldChar w:fldCharType="separate"/>
      </w:r>
      <w:r w:rsidRPr="00370B64">
        <w:t>2</w:t>
      </w:r>
      <w:r w:rsidRPr="00370B64">
        <w:rPr>
          <w:sz w:val="24"/>
          <w:szCs w:val="24"/>
        </w:rPr>
        <w:tab/>
      </w:r>
      <w:r w:rsidRPr="00370B64">
        <w:t>Förslag till riksdagsbeslut</w:t>
      </w:r>
      <w:r w:rsidRPr="00370B64">
        <w:tab/>
      </w:r>
      <w:r w:rsidRPr="00370B64">
        <w:fldChar w:fldCharType="begin" w:fldLock="1"/>
      </w:r>
      <w:r w:rsidRPr="00370B64">
        <w:instrText xml:space="preserve"> PAGEREF _Toc215209990 \h </w:instrText>
      </w:r>
      <w:r w:rsidRPr="00370B64">
        <w:fldChar w:fldCharType="separate"/>
      </w:r>
      <w:r w:rsidRPr="00370B64">
        <w:t>2</w:t>
      </w:r>
      <w:r w:rsidRPr="00370B64">
        <w:fldChar w:fldCharType="end"/>
      </w:r>
    </w:p>
    <w:p w:rsidR="000D4E81" w:rsidRPr="00370B64" w:rsidRDefault="000D4E81">
      <w:pPr>
        <w:pStyle w:val="Innehll1"/>
        <w:shd w:val="clear" w:color="000000" w:fill="auto"/>
        <w:tabs>
          <w:tab w:val="left" w:pos="360"/>
        </w:tabs>
        <w:rPr>
          <w:sz w:val="24"/>
          <w:szCs w:val="24"/>
        </w:rPr>
      </w:pPr>
      <w:r w:rsidRPr="00370B64">
        <w:t>3</w:t>
      </w:r>
      <w:r w:rsidRPr="00370B64">
        <w:rPr>
          <w:sz w:val="24"/>
          <w:szCs w:val="24"/>
        </w:rPr>
        <w:tab/>
      </w:r>
      <w:r w:rsidRPr="00370B64">
        <w:t>Inför samtyckeskrav i våldtäktsparagrafen</w:t>
      </w:r>
      <w:r w:rsidRPr="00370B64">
        <w:tab/>
      </w:r>
      <w:r w:rsidRPr="00370B64">
        <w:fldChar w:fldCharType="begin" w:fldLock="1"/>
      </w:r>
      <w:r w:rsidRPr="00370B64">
        <w:instrText xml:space="preserve"> PAGEREF _Toc215209991 \h </w:instrText>
      </w:r>
      <w:r w:rsidRPr="00370B64">
        <w:fldChar w:fldCharType="separate"/>
      </w:r>
      <w:r w:rsidRPr="00370B64">
        <w:t>2</w:t>
      </w:r>
      <w:r w:rsidRPr="00370B64">
        <w:fldChar w:fldCharType="end"/>
      </w:r>
    </w:p>
    <w:p w:rsidR="000D4E81" w:rsidRPr="00370B64" w:rsidRDefault="000D4E81">
      <w:pPr>
        <w:pStyle w:val="Innehll1"/>
        <w:shd w:val="clear" w:color="000000" w:fill="auto"/>
        <w:tabs>
          <w:tab w:val="left" w:pos="360"/>
        </w:tabs>
        <w:rPr>
          <w:sz w:val="24"/>
          <w:szCs w:val="24"/>
        </w:rPr>
      </w:pPr>
      <w:r w:rsidRPr="00370B64">
        <w:t>4</w:t>
      </w:r>
      <w:r w:rsidRPr="00370B64">
        <w:rPr>
          <w:sz w:val="24"/>
          <w:szCs w:val="24"/>
        </w:rPr>
        <w:tab/>
      </w:r>
      <w:r w:rsidRPr="00370B64">
        <w:t>Samhällsproblemet mäns sexualbrott mot kvinnor</w:t>
      </w:r>
      <w:r w:rsidRPr="00370B64">
        <w:tab/>
      </w:r>
      <w:r w:rsidRPr="00370B64">
        <w:fldChar w:fldCharType="begin" w:fldLock="1"/>
      </w:r>
      <w:r w:rsidRPr="00370B64">
        <w:instrText xml:space="preserve"> PAGEREF _Toc215209992 \h </w:instrText>
      </w:r>
      <w:r w:rsidRPr="00370B64">
        <w:fldChar w:fldCharType="separate"/>
      </w:r>
      <w:r w:rsidRPr="00370B64">
        <w:t>3</w:t>
      </w:r>
      <w:r w:rsidRPr="00370B64">
        <w:fldChar w:fldCharType="end"/>
      </w:r>
    </w:p>
    <w:p w:rsidR="000D4E81" w:rsidRPr="00370B64" w:rsidRDefault="000D4E81">
      <w:pPr>
        <w:pStyle w:val="Innehll1"/>
        <w:shd w:val="clear" w:color="000000" w:fill="auto"/>
        <w:tabs>
          <w:tab w:val="left" w:pos="360"/>
        </w:tabs>
        <w:rPr>
          <w:sz w:val="24"/>
          <w:szCs w:val="24"/>
        </w:rPr>
      </w:pPr>
      <w:r w:rsidRPr="00370B64">
        <w:t>5</w:t>
      </w:r>
      <w:r w:rsidRPr="00370B64">
        <w:rPr>
          <w:sz w:val="24"/>
          <w:szCs w:val="24"/>
        </w:rPr>
        <w:tab/>
      </w:r>
      <w:r w:rsidRPr="00370B64">
        <w:t>Miljöpartiets utredning</w:t>
      </w:r>
      <w:r w:rsidRPr="00370B64">
        <w:tab/>
      </w:r>
      <w:r w:rsidRPr="00370B64">
        <w:fldChar w:fldCharType="begin" w:fldLock="1"/>
      </w:r>
      <w:r w:rsidRPr="00370B64">
        <w:instrText xml:space="preserve"> PAGEREF _Toc215209993 \h </w:instrText>
      </w:r>
      <w:r w:rsidRPr="00370B64">
        <w:fldChar w:fldCharType="separate"/>
      </w:r>
      <w:r w:rsidRPr="00370B64">
        <w:t>3</w:t>
      </w:r>
      <w:r w:rsidRPr="00370B64">
        <w:fldChar w:fldCharType="end"/>
      </w:r>
    </w:p>
    <w:p w:rsidR="000D4E81" w:rsidRPr="00370B64" w:rsidRDefault="000D4E81">
      <w:pPr>
        <w:pStyle w:val="Innehll1"/>
        <w:shd w:val="clear" w:color="000000" w:fill="auto"/>
        <w:tabs>
          <w:tab w:val="left" w:pos="360"/>
        </w:tabs>
        <w:rPr>
          <w:sz w:val="24"/>
          <w:szCs w:val="24"/>
        </w:rPr>
      </w:pPr>
      <w:r w:rsidRPr="00370B64">
        <w:t>6</w:t>
      </w:r>
      <w:r w:rsidRPr="00370B64">
        <w:rPr>
          <w:sz w:val="24"/>
          <w:szCs w:val="24"/>
        </w:rPr>
        <w:tab/>
      </w:r>
      <w:r w:rsidRPr="00370B64">
        <w:t>Samtyckesutredningens arbetsform</w:t>
      </w:r>
      <w:r w:rsidRPr="00370B64">
        <w:tab/>
      </w:r>
      <w:r w:rsidRPr="00370B64">
        <w:fldChar w:fldCharType="begin" w:fldLock="1"/>
      </w:r>
      <w:r w:rsidRPr="00370B64">
        <w:instrText xml:space="preserve"> PAGEREF _Toc215209994 \h </w:instrText>
      </w:r>
      <w:r w:rsidRPr="00370B64">
        <w:fldChar w:fldCharType="separate"/>
      </w:r>
      <w:r w:rsidRPr="00370B64">
        <w:t>3</w:t>
      </w:r>
      <w:r w:rsidRPr="00370B64">
        <w:fldChar w:fldCharType="end"/>
      </w:r>
    </w:p>
    <w:p w:rsidR="000D4E81" w:rsidRPr="00370B64" w:rsidRDefault="000D4E81">
      <w:pPr>
        <w:pStyle w:val="Innehll1"/>
        <w:shd w:val="clear" w:color="000000" w:fill="auto"/>
        <w:tabs>
          <w:tab w:val="left" w:pos="360"/>
        </w:tabs>
        <w:rPr>
          <w:sz w:val="24"/>
          <w:szCs w:val="24"/>
        </w:rPr>
      </w:pPr>
      <w:r w:rsidRPr="00370B64">
        <w:t>7</w:t>
      </w:r>
      <w:r w:rsidRPr="00370B64">
        <w:rPr>
          <w:sz w:val="24"/>
          <w:szCs w:val="24"/>
        </w:rPr>
        <w:tab/>
      </w:r>
      <w:r w:rsidRPr="00370B64">
        <w:t>Utredningens direktiv</w:t>
      </w:r>
      <w:r w:rsidRPr="00370B64">
        <w:tab/>
      </w:r>
      <w:r w:rsidRPr="00370B64">
        <w:fldChar w:fldCharType="begin" w:fldLock="1"/>
      </w:r>
      <w:r w:rsidRPr="00370B64">
        <w:instrText xml:space="preserve"> PAGEREF _Toc215209995 \h </w:instrText>
      </w:r>
      <w:r w:rsidRPr="00370B64">
        <w:fldChar w:fldCharType="separate"/>
      </w:r>
      <w:r w:rsidRPr="00370B64">
        <w:t>4</w:t>
      </w:r>
      <w:r w:rsidRPr="00370B64">
        <w:fldChar w:fldCharType="end"/>
      </w:r>
    </w:p>
    <w:p w:rsidR="000D4E81" w:rsidRPr="00370B64" w:rsidRDefault="000D4E81">
      <w:pPr>
        <w:pStyle w:val="Innehll1"/>
        <w:shd w:val="clear" w:color="000000" w:fill="auto"/>
        <w:tabs>
          <w:tab w:val="left" w:pos="360"/>
        </w:tabs>
        <w:rPr>
          <w:sz w:val="24"/>
          <w:szCs w:val="24"/>
        </w:rPr>
      </w:pPr>
      <w:r w:rsidRPr="00370B64">
        <w:t>8</w:t>
      </w:r>
      <w:r w:rsidRPr="00370B64">
        <w:rPr>
          <w:sz w:val="24"/>
          <w:szCs w:val="24"/>
        </w:rPr>
        <w:tab/>
      </w:r>
      <w:r w:rsidRPr="00370B64">
        <w:t>Vad krävs för att ge den sexuella integriteten fullgott lagskydd?</w:t>
      </w:r>
      <w:r w:rsidRPr="00370B64">
        <w:tab/>
      </w:r>
      <w:r w:rsidRPr="00370B64">
        <w:fldChar w:fldCharType="begin" w:fldLock="1"/>
      </w:r>
      <w:r w:rsidRPr="00370B64">
        <w:instrText xml:space="preserve"> PAGEREF _Toc215209996 \h </w:instrText>
      </w:r>
      <w:r w:rsidRPr="00370B64">
        <w:fldChar w:fldCharType="separate"/>
      </w:r>
      <w:r w:rsidRPr="00370B64">
        <w:t>4</w:t>
      </w:r>
      <w:r w:rsidRPr="00370B64">
        <w:fldChar w:fldCharType="end"/>
      </w:r>
    </w:p>
    <w:p w:rsidR="000D4E81" w:rsidRPr="00370B64" w:rsidRDefault="000D4E81">
      <w:pPr>
        <w:pStyle w:val="Innehll1"/>
        <w:shd w:val="clear" w:color="000000" w:fill="auto"/>
        <w:tabs>
          <w:tab w:val="left" w:pos="360"/>
        </w:tabs>
        <w:rPr>
          <w:sz w:val="24"/>
          <w:szCs w:val="24"/>
        </w:rPr>
      </w:pPr>
      <w:r w:rsidRPr="00370B64">
        <w:t>9</w:t>
      </w:r>
      <w:r w:rsidRPr="00370B64">
        <w:rPr>
          <w:sz w:val="24"/>
          <w:szCs w:val="24"/>
        </w:rPr>
        <w:tab/>
      </w:r>
      <w:r w:rsidRPr="00370B64">
        <w:t>Miljöpartiets lagförslag</w:t>
      </w:r>
      <w:r w:rsidRPr="00370B64">
        <w:tab/>
      </w:r>
      <w:r w:rsidRPr="00370B64">
        <w:fldChar w:fldCharType="begin" w:fldLock="1"/>
      </w:r>
      <w:r w:rsidRPr="00370B64">
        <w:instrText xml:space="preserve"> PAGEREF _Toc215209997 \h </w:instrText>
      </w:r>
      <w:r w:rsidRPr="00370B64">
        <w:fldChar w:fldCharType="separate"/>
      </w:r>
      <w:r w:rsidRPr="00370B64">
        <w:t>5</w:t>
      </w:r>
      <w:r w:rsidRPr="00370B64">
        <w:fldChar w:fldCharType="end"/>
      </w:r>
    </w:p>
    <w:p w:rsidR="000D4E81" w:rsidRPr="00370B64" w:rsidRDefault="000D4E81">
      <w:pPr>
        <w:pStyle w:val="Innehll2"/>
        <w:shd w:val="clear" w:color="000000" w:fill="auto"/>
        <w:tabs>
          <w:tab w:val="left" w:pos="720"/>
        </w:tabs>
        <w:rPr>
          <w:sz w:val="24"/>
          <w:szCs w:val="24"/>
        </w:rPr>
      </w:pPr>
      <w:r w:rsidRPr="00370B64">
        <w:t>9.1</w:t>
      </w:r>
      <w:r w:rsidRPr="00370B64">
        <w:rPr>
          <w:sz w:val="24"/>
          <w:szCs w:val="24"/>
        </w:rPr>
        <w:tab/>
      </w:r>
      <w:r w:rsidRPr="00370B64">
        <w:t>Sex med någon som inte frivilligt deltar straffbeläggs</w:t>
      </w:r>
      <w:r w:rsidRPr="00370B64">
        <w:tab/>
      </w:r>
      <w:r w:rsidRPr="00370B64">
        <w:fldChar w:fldCharType="begin" w:fldLock="1"/>
      </w:r>
      <w:r w:rsidRPr="00370B64">
        <w:instrText xml:space="preserve"> PAGEREF _Toc215209998 \h </w:instrText>
      </w:r>
      <w:r w:rsidRPr="00370B64">
        <w:fldChar w:fldCharType="separate"/>
      </w:r>
      <w:r w:rsidRPr="00370B64">
        <w:t>6</w:t>
      </w:r>
      <w:r w:rsidRPr="00370B64">
        <w:fldChar w:fldCharType="end"/>
      </w:r>
    </w:p>
    <w:p w:rsidR="000D4E81" w:rsidRPr="00370B64" w:rsidRDefault="000D4E81">
      <w:pPr>
        <w:pStyle w:val="Innehll2"/>
        <w:shd w:val="clear" w:color="000000" w:fill="auto"/>
        <w:tabs>
          <w:tab w:val="left" w:pos="720"/>
        </w:tabs>
        <w:rPr>
          <w:sz w:val="24"/>
          <w:szCs w:val="24"/>
        </w:rPr>
      </w:pPr>
      <w:r w:rsidRPr="00370B64">
        <w:t>9.2</w:t>
      </w:r>
      <w:r w:rsidRPr="00370B64">
        <w:rPr>
          <w:sz w:val="24"/>
          <w:szCs w:val="24"/>
        </w:rPr>
        <w:tab/>
      </w:r>
      <w:r w:rsidRPr="00370B64">
        <w:t>Sexualbrottet rubriceras sexuellt utnyttjande</w:t>
      </w:r>
      <w:r w:rsidRPr="00370B64">
        <w:tab/>
      </w:r>
      <w:r w:rsidRPr="00370B64">
        <w:fldChar w:fldCharType="begin" w:fldLock="1"/>
      </w:r>
      <w:r w:rsidRPr="00370B64">
        <w:instrText xml:space="preserve"> PAGEREF _Toc215209999 \h </w:instrText>
      </w:r>
      <w:r w:rsidRPr="00370B64">
        <w:fldChar w:fldCharType="separate"/>
      </w:r>
      <w:r w:rsidRPr="00370B64">
        <w:t>7</w:t>
      </w:r>
      <w:r w:rsidRPr="00370B64">
        <w:fldChar w:fldCharType="end"/>
      </w:r>
    </w:p>
    <w:p w:rsidR="000D4E81" w:rsidRPr="00370B64" w:rsidRDefault="000D4E81">
      <w:pPr>
        <w:pStyle w:val="Innehll2"/>
        <w:shd w:val="clear" w:color="000000" w:fill="auto"/>
        <w:tabs>
          <w:tab w:val="left" w:pos="720"/>
        </w:tabs>
        <w:ind w:left="719" w:hanging="435"/>
        <w:rPr>
          <w:sz w:val="24"/>
          <w:szCs w:val="24"/>
        </w:rPr>
      </w:pPr>
      <w:r w:rsidRPr="00370B64">
        <w:t>9.3</w:t>
      </w:r>
      <w:r w:rsidRPr="00370B64">
        <w:rPr>
          <w:sz w:val="24"/>
          <w:szCs w:val="24"/>
        </w:rPr>
        <w:tab/>
      </w:r>
      <w:r w:rsidRPr="00370B64">
        <w:t>Våld, hot eller annat tvång i samband med sex bestraffas enligt befintliga straffbud om sådana förfaranden. Den samlade brottsligheten betecknas i dessa fall våldtäkt.</w:t>
      </w:r>
      <w:r w:rsidRPr="00370B64">
        <w:tab/>
      </w:r>
      <w:r w:rsidRPr="00370B64">
        <w:fldChar w:fldCharType="begin" w:fldLock="1"/>
      </w:r>
      <w:r w:rsidRPr="00370B64">
        <w:instrText xml:space="preserve"> PAGEREF _Toc215210000 \h </w:instrText>
      </w:r>
      <w:r w:rsidRPr="00370B64">
        <w:fldChar w:fldCharType="separate"/>
      </w:r>
      <w:r w:rsidRPr="00370B64">
        <w:t>7</w:t>
      </w:r>
      <w:r w:rsidRPr="00370B64">
        <w:fldChar w:fldCharType="end"/>
      </w:r>
    </w:p>
    <w:p w:rsidR="000D4E81" w:rsidRPr="00370B64" w:rsidRDefault="000D4E81">
      <w:pPr>
        <w:pStyle w:val="Innehll2"/>
        <w:shd w:val="clear" w:color="000000" w:fill="auto"/>
        <w:tabs>
          <w:tab w:val="left" w:pos="720"/>
        </w:tabs>
        <w:ind w:left="719" w:hanging="435"/>
        <w:rPr>
          <w:sz w:val="24"/>
          <w:szCs w:val="24"/>
        </w:rPr>
      </w:pPr>
      <w:r w:rsidRPr="00370B64">
        <w:t>9.4</w:t>
      </w:r>
      <w:r w:rsidRPr="00370B64">
        <w:rPr>
          <w:sz w:val="24"/>
          <w:szCs w:val="24"/>
        </w:rPr>
        <w:tab/>
      </w:r>
      <w:r w:rsidRPr="00370B64">
        <w:t>En särskild brottsrubricering, och straffskala, införs för grova fall av sexuellt utnyttjande</w:t>
      </w:r>
      <w:r w:rsidRPr="00370B64">
        <w:tab/>
      </w:r>
      <w:r w:rsidRPr="00370B64">
        <w:fldChar w:fldCharType="begin" w:fldLock="1"/>
      </w:r>
      <w:r w:rsidRPr="00370B64">
        <w:instrText xml:space="preserve"> PAGEREF _Toc215210001 \h </w:instrText>
      </w:r>
      <w:r w:rsidRPr="00370B64">
        <w:fldChar w:fldCharType="separate"/>
      </w:r>
      <w:r w:rsidRPr="00370B64">
        <w:t>7</w:t>
      </w:r>
      <w:r w:rsidRPr="00370B64">
        <w:fldChar w:fldCharType="end"/>
      </w:r>
    </w:p>
    <w:p w:rsidR="000D4E81" w:rsidRPr="00370B64" w:rsidRDefault="000D4E81">
      <w:pPr>
        <w:pStyle w:val="Innehll2"/>
        <w:shd w:val="clear" w:color="000000" w:fill="auto"/>
        <w:tabs>
          <w:tab w:val="left" w:pos="720"/>
        </w:tabs>
        <w:ind w:left="719" w:hanging="435"/>
        <w:rPr>
          <w:sz w:val="24"/>
          <w:szCs w:val="24"/>
        </w:rPr>
      </w:pPr>
      <w:r w:rsidRPr="00370B64">
        <w:t>9.5</w:t>
      </w:r>
      <w:r w:rsidRPr="00370B64">
        <w:rPr>
          <w:sz w:val="24"/>
          <w:szCs w:val="24"/>
        </w:rPr>
        <w:tab/>
      </w:r>
      <w:r w:rsidRPr="00370B64">
        <w:t>Straffansvar införs för försök till sexuellt utnyttjande samt försök, förberedelse, stämpling och underlåtenhet att avslöja grovt sexuellt utnyttjande</w:t>
      </w:r>
      <w:r w:rsidRPr="00370B64">
        <w:tab/>
      </w:r>
      <w:r w:rsidRPr="00370B64">
        <w:fldChar w:fldCharType="begin" w:fldLock="1"/>
      </w:r>
      <w:r w:rsidRPr="00370B64">
        <w:instrText xml:space="preserve"> PAGEREF _Toc215210002 \h </w:instrText>
      </w:r>
      <w:r w:rsidRPr="00370B64">
        <w:fldChar w:fldCharType="separate"/>
      </w:r>
      <w:r w:rsidRPr="00370B64">
        <w:t>8</w:t>
      </w:r>
      <w:r w:rsidRPr="00370B64">
        <w:fldChar w:fldCharType="end"/>
      </w:r>
    </w:p>
    <w:p w:rsidR="000D4E81" w:rsidRPr="00370B64" w:rsidRDefault="000D4E81">
      <w:pPr>
        <w:pStyle w:val="Innehll2"/>
        <w:shd w:val="clear" w:color="000000" w:fill="auto"/>
        <w:tabs>
          <w:tab w:val="left" w:pos="720"/>
        </w:tabs>
        <w:rPr>
          <w:sz w:val="24"/>
          <w:szCs w:val="24"/>
        </w:rPr>
      </w:pPr>
      <w:r w:rsidRPr="00370B64">
        <w:t>9.6</w:t>
      </w:r>
      <w:r w:rsidRPr="00370B64">
        <w:rPr>
          <w:sz w:val="24"/>
          <w:szCs w:val="24"/>
        </w:rPr>
        <w:tab/>
      </w:r>
      <w:r w:rsidRPr="00370B64">
        <w:t>Straffnivån blir mer differentierad</w:t>
      </w:r>
      <w:r w:rsidRPr="00370B64">
        <w:tab/>
      </w:r>
      <w:r w:rsidRPr="00370B64">
        <w:fldChar w:fldCharType="begin" w:fldLock="1"/>
      </w:r>
      <w:r w:rsidRPr="00370B64">
        <w:instrText xml:space="preserve"> PAGEREF _Toc215210003 \h </w:instrText>
      </w:r>
      <w:r w:rsidRPr="00370B64">
        <w:fldChar w:fldCharType="separate"/>
      </w:r>
      <w:r w:rsidRPr="00370B64">
        <w:t>8</w:t>
      </w:r>
      <w:r w:rsidRPr="00370B64">
        <w:fldChar w:fldCharType="end"/>
      </w:r>
    </w:p>
    <w:p w:rsidR="000D4E81" w:rsidRPr="00370B64" w:rsidRDefault="000D4E81">
      <w:r w:rsidRPr="00370B64">
        <w:fldChar w:fldCharType="end"/>
      </w:r>
      <w:bookmarkStart w:id="3" w:name="_Toc215209990"/>
    </w:p>
    <w:p w:rsidR="000D4E81" w:rsidRPr="00370B64" w:rsidRDefault="000D4E81">
      <w:pPr>
        <w:pStyle w:val="Hemstlrubrik"/>
        <w:pageBreakBefore/>
        <w:shd w:val="clear" w:color="000000" w:fill="auto"/>
        <w:spacing w:before="0"/>
      </w:pPr>
      <w:r w:rsidRPr="00370B64">
        <w:lastRenderedPageBreak/>
        <w:t>Förslag till riksdagsbeslut</w:t>
      </w:r>
      <w:bookmarkEnd w:id="1"/>
      <w:bookmarkEnd w:id="2"/>
      <w:bookmarkEnd w:id="3"/>
    </w:p>
    <w:p w:rsidR="000D4E81" w:rsidRPr="00370B64" w:rsidRDefault="000D4E81">
      <w:pPr>
        <w:pStyle w:val="Hemstlatt"/>
        <w:shd w:val="clear" w:color="000000" w:fill="auto"/>
        <w:ind w:left="0"/>
      </w:pPr>
      <w:r w:rsidRPr="00370B64">
        <w:t>Riksdagen beslutar om ändring i 6 kap. 1 och 15 §§ brottsbalken i enlighet med vad som anförs i motionen.</w:t>
      </w:r>
    </w:p>
    <w:p w:rsidR="000D4E81" w:rsidRPr="00370B64" w:rsidRDefault="000D4E81">
      <w:pPr>
        <w:pStyle w:val="Rubrik1"/>
        <w:shd w:val="clear" w:color="000000" w:fill="auto"/>
      </w:pPr>
      <w:bookmarkStart w:id="4" w:name="_Toc210731607"/>
      <w:bookmarkStart w:id="5" w:name="_Toc210987338"/>
      <w:bookmarkStart w:id="6" w:name="_Toc215209991"/>
      <w:r w:rsidRPr="00370B64">
        <w:t>Inför samtyckeskrav i våldtäktsparagrafen</w:t>
      </w:r>
      <w:bookmarkEnd w:id="0"/>
      <w:bookmarkEnd w:id="4"/>
      <w:bookmarkEnd w:id="5"/>
      <w:bookmarkEnd w:id="6"/>
    </w:p>
    <w:p w:rsidR="000D4E81" w:rsidRPr="00370B64" w:rsidRDefault="000D4E81">
      <w:pPr>
        <w:shd w:val="clear" w:color="000000" w:fill="auto"/>
      </w:pPr>
      <w:r w:rsidRPr="00370B64">
        <w:t>Miljöpartiet de gröna har efter 2005 års lagstiftningsärende</w:t>
      </w:r>
      <w:r w:rsidRPr="00370B64">
        <w:rPr>
          <w:rStyle w:val="Fotnotsreferens"/>
        </w:rPr>
        <w:footnoteReference w:id="1"/>
      </w:r>
      <w:r w:rsidRPr="00370B64">
        <w:t xml:space="preserve"> starkt engag</w:t>
      </w:r>
      <w:r w:rsidRPr="00370B64">
        <w:t>e</w:t>
      </w:r>
      <w:r w:rsidRPr="00370B64">
        <w:t>rat sig i frågorna om hur skyddet mot sexuella övergrepp kan stärkas. Diskussi</w:t>
      </w:r>
      <w:r w:rsidRPr="00370B64">
        <w:t>o</w:t>
      </w:r>
      <w:r w:rsidRPr="00370B64">
        <w:t>nen i partiet har utmynnat i en ståndpunkt att sexualbrottslagstiftningen beh</w:t>
      </w:r>
      <w:r w:rsidRPr="00370B64">
        <w:t>ö</w:t>
      </w:r>
      <w:r w:rsidRPr="00370B64">
        <w:t>ver förbättras. De luckor i lagen som finns i dag gör att skyddet inte ger ett tillräckligt skydd för de offer som utsätts för våldtäkt.</w:t>
      </w:r>
    </w:p>
    <w:p w:rsidR="000D4E81" w:rsidRPr="00370B64" w:rsidRDefault="000D4E81">
      <w:pPr>
        <w:pStyle w:val="Normaltindrag"/>
        <w:shd w:val="clear" w:color="000000" w:fill="auto"/>
      </w:pPr>
      <w:r w:rsidRPr="00370B64">
        <w:t>Den främsta brist som har identifierats är att Sverige inte uppfyller det krav som ställs i Europakonventionen angående skydd för de mänskliga rä</w:t>
      </w:r>
      <w:r w:rsidRPr="00370B64">
        <w:t>t</w:t>
      </w:r>
      <w:r w:rsidRPr="00370B64">
        <w:t>tigheterna av upprätt</w:t>
      </w:r>
      <w:r w:rsidRPr="00370B64">
        <w:softHyphen/>
        <w:t>hållandet av rätten till privatliv enligt artikel 8 samt art</w:t>
      </w:r>
      <w:r w:rsidRPr="00370B64">
        <w:t>i</w:t>
      </w:r>
      <w:r w:rsidRPr="00370B64">
        <w:t>kel 3 som stadgar förbud mot tortyr eller annan omänsklig eller förnedrande behandling. I fallet M.C. mot Bulgarien uttalade Europadomstolen att stater i skyddet för den personliga integriteten måste lagföra varje ”non-consensual” sexualhandling, även där offret inte gör motstånd. Den nuvarande svenska våldtäktslagen, brottsbalken 6 kap. 1 §, omfattar inte alla påtvingade sexua</w:t>
      </w:r>
      <w:r w:rsidRPr="00370B64">
        <w:t>l</w:t>
      </w:r>
      <w:r w:rsidRPr="00370B64">
        <w:t>handlingar. Ett exempel är: Om en kvinna blir v</w:t>
      </w:r>
      <w:r w:rsidRPr="00370B64">
        <w:t>åldtagen av en man och hon inte gör fysiskt motstånd kan inte en åklagare åtala övergreppet som våldtäkt eftersom hon inte utsattes för våld, hot eller befann sig i ett hjälplöst tillstånd  – detta även om medicinsk expertis påpekar, och forskning visar, att det är en vanligt förekommande reaktion att kvinnan uppvisar ett ”frozen-fright pa</w:t>
      </w:r>
      <w:r w:rsidRPr="00370B64">
        <w:t>t</w:t>
      </w:r>
      <w:r w:rsidRPr="00370B64">
        <w:t>tern” när en man avser att utnyttja henne sexuellt. Hon blir helt passiv, vill liksom gå ur sin kropp samt fryser fast i rädsla och uppgivenhet. Våld och hot i den nuvara</w:t>
      </w:r>
      <w:r w:rsidRPr="00370B64">
        <w:t>nde lagens mening täcker således inte in de verkliga reaktionerna hos en kvinna som är utsatt för vanmakt genom sexuellt utnyttjande.</w:t>
      </w:r>
    </w:p>
    <w:p w:rsidR="000D4E81" w:rsidRPr="00370B64" w:rsidRDefault="000D4E81">
      <w:pPr>
        <w:pStyle w:val="Normaltindrag"/>
        <w:shd w:val="clear" w:color="000000" w:fill="auto"/>
      </w:pPr>
      <w:r w:rsidRPr="00370B64">
        <w:t xml:space="preserve">Omfattningen eller graden av fysiskt våld varierar mycket kraftigt bland polisanmälda våldtäkter, men är alltså i dagens lagstiftning avgörande för rättens bedömning. </w:t>
      </w:r>
    </w:p>
    <w:p w:rsidR="000D4E81" w:rsidRPr="00370B64" w:rsidRDefault="000D4E81">
      <w:pPr>
        <w:pStyle w:val="Normaltindrag"/>
        <w:shd w:val="clear" w:color="000000" w:fill="auto"/>
      </w:pPr>
      <w:r w:rsidRPr="00370B64">
        <w:t>Det är hög tid att lägga ansvaret där det bör ligga: På förövarna, inte på d</w:t>
      </w:r>
      <w:r w:rsidRPr="00370B64">
        <w:t>e</w:t>
      </w:r>
      <w:r w:rsidRPr="00370B64">
        <w:t>ras offer.</w:t>
      </w:r>
    </w:p>
    <w:p w:rsidR="000D4E81" w:rsidRPr="00370B64" w:rsidRDefault="000D4E81">
      <w:pPr>
        <w:pStyle w:val="Normaltindrag"/>
        <w:shd w:val="clear" w:color="000000" w:fill="auto"/>
      </w:pPr>
      <w:r w:rsidRPr="00370B64">
        <w:t>Miljöpartiet vill med detta förslag genom lagstiftning påverka attityder och skapa normer. Vi anser att det tillhör en förfluten tid att diskutera om hur kvinnor bör begränsa sina fria val att gå ut på kvällen, dricka eller klä sig sexuellt utmanande.</w:t>
      </w:r>
    </w:p>
    <w:p w:rsidR="000D4E81" w:rsidRPr="00370B64" w:rsidRDefault="000D4E81">
      <w:pPr>
        <w:pStyle w:val="Normaltindrag"/>
        <w:shd w:val="clear" w:color="000000" w:fill="auto"/>
      </w:pPr>
      <w:r w:rsidRPr="00370B64">
        <w:t>Mot bakgrund av de diskussioner som förts i partiet gav Miljöpartiet pr</w:t>
      </w:r>
      <w:r w:rsidRPr="00370B64">
        <w:t>o</w:t>
      </w:r>
      <w:r w:rsidRPr="00370B64">
        <w:t>fessor emerita i straffrätt Madeleine Leijonhufvud i uppdrag att se över la</w:t>
      </w:r>
      <w:r w:rsidRPr="00370B64">
        <w:t>g</w:t>
      </w:r>
      <w:r w:rsidRPr="00370B64">
        <w:t>texten och komma med konkreta ändringsförslag. Efter detta initiativ har även regeringen tillsatt en utredning för att utvärdera den nuvarande våldtäktsla</w:t>
      </w:r>
      <w:r w:rsidRPr="00370B64">
        <w:t>g</w:t>
      </w:r>
      <w:r w:rsidRPr="00370B64">
        <w:t>stiftningen. I den här motionen presenteras resultatet av Leijonhufvuds utre</w:t>
      </w:r>
      <w:r w:rsidRPr="00370B64">
        <w:t>d</w:t>
      </w:r>
      <w:r w:rsidRPr="00370B64">
        <w:t>ning, som vi föreslår ska ligga till grund för en ny lagtext.</w:t>
      </w:r>
    </w:p>
    <w:p w:rsidR="000D4E81" w:rsidRPr="00370B64" w:rsidRDefault="000D4E81">
      <w:pPr>
        <w:pStyle w:val="Rubrik1"/>
        <w:shd w:val="clear" w:color="000000" w:fill="auto"/>
      </w:pPr>
      <w:bookmarkStart w:id="7" w:name="_Toc210731608"/>
      <w:bookmarkStart w:id="8" w:name="_Toc210987339"/>
      <w:bookmarkStart w:id="9" w:name="_Toc215209992"/>
      <w:r w:rsidRPr="00370B64">
        <w:t>Samhällsproblemet mäns sexualbrott mot kvinnor</w:t>
      </w:r>
      <w:bookmarkEnd w:id="7"/>
      <w:bookmarkEnd w:id="8"/>
      <w:bookmarkEnd w:id="9"/>
    </w:p>
    <w:p w:rsidR="000D4E81" w:rsidRPr="00370B64" w:rsidRDefault="000D4E81">
      <w:pPr>
        <w:shd w:val="clear" w:color="000000" w:fill="auto"/>
      </w:pPr>
      <w:r w:rsidRPr="00370B64">
        <w:t>Antalet polisanmälda våldtäkter fortsätter att öka markant. Trots att anmä</w:t>
      </w:r>
      <w:r w:rsidRPr="00370B64">
        <w:t>l</w:t>
      </w:r>
      <w:r w:rsidRPr="00370B64">
        <w:t>ningarna har tiodubblats sedan 1965 ligger antalet dömda personer kvar på 100–200 per år, vilket det gjort i över 40 år. Endast 10–20 procent av anmä</w:t>
      </w:r>
      <w:r w:rsidRPr="00370B64">
        <w:t>l</w:t>
      </w:r>
      <w:r w:rsidRPr="00370B64">
        <w:t>ningarna leder i dag till åtal. Nio av tio sållas bort redan på ett tidigt stadium. Forskning från Stockholms universitet visar att lagändringarna från 2005 inte har haft någon preventiv effekt. Våldtäkterna har inte blivit färre och domar i våldtäktsmålen har inte ökat.</w:t>
      </w:r>
    </w:p>
    <w:p w:rsidR="000D4E81" w:rsidRPr="00370B64" w:rsidRDefault="000D4E81">
      <w:pPr>
        <w:pStyle w:val="Normaltindrag"/>
        <w:shd w:val="clear" w:color="000000" w:fill="auto"/>
      </w:pPr>
      <w:r w:rsidRPr="00370B64">
        <w:t>Statistiken visar alltså att den nya lagstiftningen inte har lett till fler fälla</w:t>
      </w:r>
      <w:r w:rsidRPr="00370B64">
        <w:t>n</w:t>
      </w:r>
      <w:r w:rsidRPr="00370B64">
        <w:t>de domar. Att fall där förövaren utnyttjar att offret redan är i hjälplöst tillstånd – redlös av alkohol och droger – ”uppgraderades” i lagstiftningen från 2005 till våldtäkt har ändå inte lett till att fler sådana fall har blivit lagförda. Tvär</w:t>
      </w:r>
      <w:r w:rsidRPr="00370B64">
        <w:t>t</w:t>
      </w:r>
      <w:r w:rsidRPr="00370B64">
        <w:t>om har fällandefrekvensen bland våldtäktsanmälningar blivit lägre.</w:t>
      </w:r>
      <w:r w:rsidRPr="00370B64">
        <w:rPr>
          <w:rStyle w:val="Fotnotsreferens"/>
        </w:rPr>
        <w:footnoteReference w:id="2"/>
      </w:r>
      <w:r w:rsidRPr="00370B64">
        <w:t xml:space="preserve"> Detta har skett trots att den största delen anmälningar inte handlar om överfallsvåldtä</w:t>
      </w:r>
      <w:r w:rsidRPr="00370B64">
        <w:t>k</w:t>
      </w:r>
      <w:r w:rsidRPr="00370B64">
        <w:t>ter med okänd förövare utan om våldtäkter där gärningsmannen är känd för kvinnan.</w:t>
      </w:r>
      <w:r w:rsidRPr="00370B64">
        <w:rPr>
          <w:rStyle w:val="Fotnotsreferens"/>
        </w:rPr>
        <w:footnoteReference w:id="3"/>
      </w:r>
      <w:r w:rsidRPr="00370B64">
        <w:t xml:space="preserve"> </w:t>
      </w:r>
    </w:p>
    <w:p w:rsidR="000D4E81" w:rsidRPr="00370B64" w:rsidRDefault="000D4E81">
      <w:pPr>
        <w:pStyle w:val="Rubrik1"/>
        <w:shd w:val="clear" w:color="000000" w:fill="auto"/>
      </w:pPr>
      <w:bookmarkStart w:id="10" w:name="_Toc210731609"/>
      <w:bookmarkStart w:id="11" w:name="_Toc210987340"/>
      <w:bookmarkStart w:id="12" w:name="_Toc215209993"/>
      <w:r w:rsidRPr="00370B64">
        <w:t>Miljöpartiets utredning</w:t>
      </w:r>
      <w:bookmarkEnd w:id="10"/>
      <w:bookmarkEnd w:id="11"/>
      <w:bookmarkEnd w:id="12"/>
    </w:p>
    <w:p w:rsidR="000D4E81" w:rsidRPr="00370B64" w:rsidRDefault="000D4E81">
      <w:pPr>
        <w:shd w:val="clear" w:color="000000" w:fill="auto"/>
      </w:pPr>
      <w:r w:rsidRPr="00370B64">
        <w:t>Miljöpartiet föreslog till riksdagen år 2007 att samtyckeskravet skulle inf</w:t>
      </w:r>
      <w:r w:rsidRPr="00370B64">
        <w:t>ö</w:t>
      </w:r>
      <w:r w:rsidRPr="00370B64">
        <w:t>ras i våldtäktslagen, brottsbalken 6 kap. 1 §.</w:t>
      </w:r>
      <w:r w:rsidRPr="00370B64">
        <w:rPr>
          <w:rStyle w:val="Fotnotsreferens"/>
        </w:rPr>
        <w:footnoteReference w:id="4"/>
      </w:r>
      <w:r w:rsidRPr="00370B64">
        <w:t xml:space="preserve"> Efter att regeringen uppenbart visat en ovilja att agera inom rimlig tid för att få fram förslag till en förän</w:t>
      </w:r>
      <w:r w:rsidRPr="00370B64">
        <w:t>d</w:t>
      </w:r>
      <w:r w:rsidRPr="00370B64">
        <w:t xml:space="preserve">ring tillsatte Miljöpartiet en utredning med en av Sveriges främsta experter på området, professor emerita i straffrätt Madeleine Leijonhufvud. Den 4 mars 2008 beslutade Miljöpartiets riksdagsgrupp att tillsätta utredningen. </w:t>
      </w:r>
      <w:bookmarkStart w:id="13" w:name="_Toc210731610"/>
      <w:bookmarkStart w:id="14" w:name="_Toc210987341"/>
    </w:p>
    <w:p w:rsidR="000D4E81" w:rsidRPr="00370B64" w:rsidRDefault="000D4E81">
      <w:pPr>
        <w:pStyle w:val="Rubrik1"/>
        <w:shd w:val="clear" w:color="000000" w:fill="auto"/>
      </w:pPr>
      <w:bookmarkStart w:id="15" w:name="_Toc215209994"/>
      <w:r w:rsidRPr="00370B64">
        <w:t>Samtyckesutredningens arbetsform</w:t>
      </w:r>
      <w:bookmarkEnd w:id="13"/>
      <w:bookmarkEnd w:id="14"/>
      <w:bookmarkEnd w:id="15"/>
    </w:p>
    <w:p w:rsidR="000D4E81" w:rsidRPr="00370B64" w:rsidRDefault="000D4E81">
      <w:pPr>
        <w:shd w:val="clear" w:color="000000" w:fill="auto"/>
      </w:pPr>
      <w:r w:rsidRPr="00370B64">
        <w:t xml:space="preserve">Utredaren antog namnet </w:t>
      </w:r>
      <w:r w:rsidRPr="00370B64">
        <w:rPr>
          <w:i/>
        </w:rPr>
        <w:t>Samtyckesutredningen – lagskydd för den sexuella integriteten</w:t>
      </w:r>
      <w:r w:rsidRPr="00370B64">
        <w:t xml:space="preserve"> för sitt uppdrag. Professor i processrätt Christian Diesen tillkall</w:t>
      </w:r>
      <w:r w:rsidRPr="00370B64">
        <w:t>a</w:t>
      </w:r>
      <w:r w:rsidRPr="00370B64">
        <w:t>des att biträda som expert rörande straffprocessuella frågor och statistiskt underlag. Forskaren Eva L. Diesen har likaså bidragit med statistiskt unde</w:t>
      </w:r>
      <w:r w:rsidRPr="00370B64">
        <w:t>r</w:t>
      </w:r>
      <w:r w:rsidRPr="00370B64">
        <w:t>lag. Från f.d. kammarrättspresidenten Elisabeth Palm erhöll utredningen ett utlåtande om innebörden av Europadomstolens för de mänskliga rättigheterna dom i det s.k. Bulgarienfallet. Elisabeth Palm är för närvarande ledamot av FN:</w:t>
      </w:r>
      <w:r w:rsidRPr="00370B64">
        <w:t>s kommitté för de mänskliga rättigheterna och var under åren 1988–2003 domare vid Europadomstolen.</w:t>
      </w:r>
    </w:p>
    <w:p w:rsidR="000D4E81" w:rsidRPr="00370B64" w:rsidRDefault="000D4E81">
      <w:pPr>
        <w:pStyle w:val="Normaltindrag"/>
        <w:shd w:val="clear" w:color="000000" w:fill="auto"/>
      </w:pPr>
      <w:r w:rsidRPr="00370B64">
        <w:t>Av överläkaren Lotti Helström vid Akutmottagningen för våldtagna kvi</w:t>
      </w:r>
      <w:r w:rsidRPr="00370B64">
        <w:t>n</w:t>
      </w:r>
      <w:r w:rsidRPr="00370B64">
        <w:t>nor vid Södersjukhuset i Stockholm har utredningen, i form av intervjusvar, erhållit redogörelser för de fysiska och psykiska skador som är vanliga vid sexuella övergrepp.</w:t>
      </w:r>
    </w:p>
    <w:p w:rsidR="000D4E81" w:rsidRPr="00370B64" w:rsidRDefault="000D4E81">
      <w:pPr>
        <w:pStyle w:val="Normaltindrag"/>
        <w:shd w:val="clear" w:color="000000" w:fill="auto"/>
      </w:pPr>
      <w:r w:rsidRPr="00370B64">
        <w:t>Som underlag för prövningen av den norska modellen, med ett ansvar för grov oaktsam våldtäkt, erhöll utredningen en redogörelse av professor Rag</w:t>
      </w:r>
      <w:r w:rsidRPr="00370B64">
        <w:t>n</w:t>
      </w:r>
      <w:r w:rsidRPr="00370B64">
        <w:t>hild Hennum, Institutt for offentlig rett vid Oslo universitet.</w:t>
      </w:r>
    </w:p>
    <w:p w:rsidR="000D4E81" w:rsidRPr="00370B64" w:rsidRDefault="000D4E81">
      <w:pPr>
        <w:pStyle w:val="Normaltindrag"/>
        <w:shd w:val="clear" w:color="000000" w:fill="auto"/>
      </w:pPr>
      <w:r w:rsidRPr="00370B64">
        <w:t>Utredaren har därutöver refererat till nationell och internationell forskning samt undersökningar utförda inom ramen för examensarbeten på juristlinjen vid Stockholms Universitet.</w:t>
      </w:r>
    </w:p>
    <w:p w:rsidR="000D4E81" w:rsidRPr="00370B64" w:rsidRDefault="000D4E81">
      <w:pPr>
        <w:pStyle w:val="Rubrik1"/>
        <w:shd w:val="clear" w:color="000000" w:fill="auto"/>
      </w:pPr>
      <w:bookmarkStart w:id="16" w:name="_Toc210731611"/>
      <w:bookmarkStart w:id="17" w:name="_Toc210987342"/>
      <w:bookmarkStart w:id="18" w:name="_Toc215209995"/>
      <w:r w:rsidRPr="00370B64">
        <w:t>Utredningens direktiv</w:t>
      </w:r>
      <w:bookmarkEnd w:id="16"/>
      <w:bookmarkEnd w:id="17"/>
      <w:bookmarkEnd w:id="18"/>
    </w:p>
    <w:p w:rsidR="000D4E81" w:rsidRPr="00370B64" w:rsidRDefault="000D4E81">
      <w:pPr>
        <w:shd w:val="clear" w:color="000000" w:fill="auto"/>
      </w:pPr>
      <w:r w:rsidRPr="00370B64">
        <w:t>Utredningsuppdraget var att se över dagens konstruktion av brottet vål</w:t>
      </w:r>
      <w:r w:rsidRPr="00370B64">
        <w:t>d</w:t>
      </w:r>
      <w:r w:rsidRPr="00370B64">
        <w:t>täkt i brottsbalkens (BrB) 6 kap. 1 § och att därvid, med beaktande av rättssäkerh</w:t>
      </w:r>
      <w:r w:rsidRPr="00370B64">
        <w:t>e</w:t>
      </w:r>
      <w:r w:rsidRPr="00370B64">
        <w:t>ten för den tilltalade, särskilt överväga</w:t>
      </w:r>
    </w:p>
    <w:p w:rsidR="000D4E81" w:rsidRPr="00370B64" w:rsidRDefault="000D4E81">
      <w:pPr>
        <w:pStyle w:val="PunktlistaBomb"/>
        <w:shd w:val="clear" w:color="000000" w:fill="auto"/>
        <w:tabs>
          <w:tab w:val="clear" w:pos="360"/>
          <w:tab w:val="num" w:pos="240"/>
        </w:tabs>
      </w:pPr>
      <w:r w:rsidRPr="00370B64">
        <w:t>om dagens krav på våld, hot om brottslig gärning eller utnyttjande av of</w:t>
      </w:r>
      <w:r w:rsidRPr="00370B64">
        <w:t>f</w:t>
      </w:r>
      <w:r w:rsidRPr="00370B64">
        <w:t>rets hjälplösa tillstånd bör ersättas med en samtyckesmodell, dvs. att det görs straffbart att ha samlag med eller utföra någon därmed jämförbar se</w:t>
      </w:r>
      <w:r w:rsidRPr="00370B64">
        <w:t>x</w:t>
      </w:r>
      <w:r w:rsidRPr="00370B64">
        <w:t>uell handling mot någon utan dennes samtycke,</w:t>
      </w:r>
    </w:p>
    <w:p w:rsidR="000D4E81" w:rsidRPr="00370B64" w:rsidRDefault="000D4E81">
      <w:pPr>
        <w:pStyle w:val="PunktlistaBomb"/>
        <w:shd w:val="clear" w:color="000000" w:fill="auto"/>
        <w:tabs>
          <w:tab w:val="clear" w:pos="360"/>
          <w:tab w:val="num" w:pos="240"/>
        </w:tabs>
        <w:spacing w:before="0"/>
      </w:pPr>
      <w:r w:rsidRPr="00370B64">
        <w:t>möjlighet att komplettera brottets subjektiva del med en oaktsamhetsvar</w:t>
      </w:r>
      <w:r w:rsidRPr="00370B64">
        <w:t>i</w:t>
      </w:r>
      <w:r w:rsidRPr="00370B64">
        <w:t>ant samt</w:t>
      </w:r>
    </w:p>
    <w:p w:rsidR="000D4E81" w:rsidRPr="00370B64" w:rsidRDefault="000D4E81">
      <w:pPr>
        <w:pStyle w:val="PunktlistaBomb"/>
        <w:shd w:val="clear" w:color="000000" w:fill="auto"/>
        <w:tabs>
          <w:tab w:val="clear" w:pos="360"/>
          <w:tab w:val="num" w:pos="240"/>
        </w:tabs>
        <w:spacing w:before="0"/>
      </w:pPr>
      <w:r w:rsidRPr="00370B64">
        <w:t>om brottet ska omfatta också situationer då gärningsmannen otillbörligen utnyttjat att offret befunnit sig i en särskilt utsatt situation.</w:t>
      </w:r>
    </w:p>
    <w:p w:rsidR="000D4E81" w:rsidRPr="00370B64" w:rsidRDefault="000D4E81">
      <w:pPr>
        <w:shd w:val="clear" w:color="000000" w:fill="auto"/>
      </w:pPr>
      <w:r w:rsidRPr="00370B64">
        <w:t xml:space="preserve">Uppdraget har således enbart berört straffansvar för sexuella gärningar som riktas mot någon som fyllt 15 år. </w:t>
      </w:r>
    </w:p>
    <w:p w:rsidR="000D4E81" w:rsidRPr="00370B64" w:rsidRDefault="000D4E81">
      <w:pPr>
        <w:pStyle w:val="Rubrik1"/>
        <w:shd w:val="clear" w:color="000000" w:fill="auto"/>
      </w:pPr>
      <w:bookmarkStart w:id="19" w:name="_Toc210731612"/>
      <w:bookmarkStart w:id="20" w:name="_Toc210987343"/>
      <w:bookmarkStart w:id="21" w:name="_Toc215209996"/>
      <w:r w:rsidRPr="00370B64">
        <w:t>Vad krävs för att ge den sexuella integriteten fullgott lagskydd?</w:t>
      </w:r>
      <w:bookmarkEnd w:id="19"/>
      <w:bookmarkEnd w:id="20"/>
      <w:bookmarkEnd w:id="21"/>
    </w:p>
    <w:p w:rsidR="000D4E81" w:rsidRPr="00370B64" w:rsidRDefault="000D4E81">
      <w:pPr>
        <w:shd w:val="clear" w:color="000000" w:fill="auto"/>
      </w:pPr>
      <w:r w:rsidRPr="00370B64">
        <w:t>Europakonventionen är sedan år 1995 svensk lag, och svensk lag måste alltid prövas mot de krav som konventionen uppställer till skydd för männ</w:t>
      </w:r>
      <w:r w:rsidRPr="00370B64">
        <w:t>i</w:t>
      </w:r>
      <w:r w:rsidRPr="00370B64">
        <w:t>skor. Elisabeth Palms utlåtande till Samtyckesutredningen klargör förhålla</w:t>
      </w:r>
      <w:r w:rsidRPr="00370B64">
        <w:t>n</w:t>
      </w:r>
      <w:r w:rsidRPr="00370B64">
        <w:t>dena ytterligare:</w:t>
      </w:r>
    </w:p>
    <w:p w:rsidR="000D4E81" w:rsidRPr="00370B64" w:rsidRDefault="000D4E81">
      <w:pPr>
        <w:pStyle w:val="Citat"/>
        <w:shd w:val="clear" w:color="000000" w:fill="auto"/>
        <w:spacing w:after="120"/>
      </w:pPr>
      <w:r w:rsidRPr="00370B64">
        <w:t>Europakonventionen utgörs – – – inte bara av konventionstexten. Den verkliga innebörden av konventionens bestämmelser definieras i domst</w:t>
      </w:r>
      <w:r w:rsidRPr="00370B64">
        <w:t>o</w:t>
      </w:r>
      <w:r w:rsidRPr="00370B64">
        <w:t>lens avgöranden.</w:t>
      </w:r>
    </w:p>
    <w:p w:rsidR="000D4E81" w:rsidRPr="00370B64" w:rsidRDefault="000D4E81">
      <w:pPr>
        <w:shd w:val="clear" w:color="000000" w:fill="auto"/>
      </w:pPr>
      <w:r w:rsidRPr="00370B64">
        <w:t>I fallet M.C. mot Bulgarien fällde Europadomstolen Bulgarien för sin utfor</w:t>
      </w:r>
      <w:r w:rsidRPr="00370B64">
        <w:t>m</w:t>
      </w:r>
      <w:r w:rsidRPr="00370B64">
        <w:t>ning och tillämpning av sexualbrottslagstiftning eftersom inte varje ofr</w:t>
      </w:r>
      <w:r w:rsidRPr="00370B64">
        <w:t>i</w:t>
      </w:r>
      <w:r w:rsidRPr="00370B64">
        <w:t>villig sexuell handling var brottsbelagd. Enligt Elisabeth Palm är det vanligt att medlemsländer avvaktar med att ändra sin lagstiftning tills att de fått en fällande dom. Det finns anledning att erinra om det Johan Munck, nuvarande ordförande i Högsta domstolen, uttryckte i ett betänkande från 2001, näml</w:t>
      </w:r>
      <w:r w:rsidRPr="00370B64">
        <w:t>i</w:t>
      </w:r>
      <w:r w:rsidRPr="00370B64">
        <w:t xml:space="preserve">gen att ”Sverige inte bör balansera på gränsen till vad som kan tänkas strida mot de grundläggande mänskliga rättigheterna”, i det </w:t>
      </w:r>
      <w:r w:rsidRPr="00370B64">
        <w:t>fallet avseende Europa</w:t>
      </w:r>
      <w:r w:rsidRPr="00370B64">
        <w:softHyphen/>
        <w:t>konventionen.</w:t>
      </w:r>
      <w:r w:rsidRPr="00370B64">
        <w:rPr>
          <w:rStyle w:val="Fotnotsreferens"/>
        </w:rPr>
        <w:footnoteReference w:id="5"/>
      </w:r>
      <w:r w:rsidRPr="00370B64">
        <w:t xml:space="preserve"> Miljöpartiets slutsats är mot bakgrund av detta att Sverige snarast bör införa ett förbud mot sexuella handlingar som företas mot någon som inte deltar frivilligt för att inte bryta mot Europakonventionen.</w:t>
      </w:r>
    </w:p>
    <w:p w:rsidR="000D4E81" w:rsidRPr="00370B64" w:rsidRDefault="000D4E81">
      <w:pPr>
        <w:pStyle w:val="Rubrik1"/>
        <w:shd w:val="clear" w:color="000000" w:fill="auto"/>
      </w:pPr>
      <w:bookmarkStart w:id="22" w:name="_Toc210731613"/>
      <w:bookmarkStart w:id="23" w:name="_Toc210987344"/>
      <w:bookmarkStart w:id="24" w:name="_Toc215209997"/>
      <w:r w:rsidRPr="00370B64">
        <w:t>Miljöpartiets lagförslag</w:t>
      </w:r>
      <w:bookmarkEnd w:id="22"/>
      <w:bookmarkEnd w:id="23"/>
      <w:bookmarkEnd w:id="24"/>
    </w:p>
    <w:p w:rsidR="000D4E81" w:rsidRPr="00370B64" w:rsidRDefault="000D4E81">
      <w:pPr>
        <w:shd w:val="clear" w:color="000000" w:fill="auto"/>
      </w:pPr>
      <w:r w:rsidRPr="00370B64">
        <w:t>Miljöpartiet föreslår följande förändring av 6 kap. 1 § och 15 § brottsba</w:t>
      </w:r>
      <w:r w:rsidRPr="00370B64">
        <w:t>l</w:t>
      </w:r>
      <w:r w:rsidRPr="00370B64">
        <w:t xml:space="preserve">ken: </w:t>
      </w:r>
    </w:p>
    <w:tbl>
      <w:tblPr>
        <w:tblW w:w="6070" w:type="dxa"/>
        <w:tblLayout w:type="fixed"/>
        <w:tblCellMar>
          <w:left w:w="70" w:type="dxa"/>
          <w:right w:w="70" w:type="dxa"/>
        </w:tblCellMar>
        <w:tblLook w:val="0000" w:firstRow="0" w:lastRow="0" w:firstColumn="0" w:lastColumn="0" w:noHBand="0" w:noVBand="0"/>
      </w:tblPr>
      <w:tblGrid>
        <w:gridCol w:w="3070"/>
        <w:gridCol w:w="3000"/>
      </w:tblGrid>
      <w:tr w:rsidR="00000000" w:rsidRPr="00370B64">
        <w:tc>
          <w:tcPr>
            <w:tcW w:w="3070" w:type="dxa"/>
          </w:tcPr>
          <w:p w:rsidR="000D4E81" w:rsidRPr="00370B64" w:rsidRDefault="000D4E81">
            <w:pPr>
              <w:pStyle w:val="Lagtext"/>
              <w:shd w:val="clear" w:color="000000" w:fill="auto"/>
              <w:spacing w:before="60" w:line="200" w:lineRule="exact"/>
            </w:pPr>
            <w:r w:rsidRPr="00370B64">
              <w:t>Nuvarande lydelse</w:t>
            </w:r>
          </w:p>
        </w:tc>
        <w:tc>
          <w:tcPr>
            <w:tcW w:w="3000" w:type="dxa"/>
          </w:tcPr>
          <w:p w:rsidR="000D4E81" w:rsidRPr="00370B64" w:rsidRDefault="000D4E81">
            <w:pPr>
              <w:pStyle w:val="Lagtext"/>
              <w:shd w:val="clear" w:color="000000" w:fill="auto"/>
              <w:spacing w:before="60" w:line="200" w:lineRule="exact"/>
            </w:pPr>
            <w:r w:rsidRPr="00370B64">
              <w:t>Föreslagen lydelse</w:t>
            </w:r>
          </w:p>
        </w:tc>
      </w:tr>
      <w:tr w:rsidR="00000000" w:rsidRPr="00370B64">
        <w:tc>
          <w:tcPr>
            <w:tcW w:w="3070" w:type="dxa"/>
          </w:tcPr>
          <w:p w:rsidR="000D4E81" w:rsidRPr="00370B64" w:rsidRDefault="000D4E81">
            <w:pPr>
              <w:pStyle w:val="Lagtext"/>
              <w:shd w:val="clear" w:color="000000" w:fill="auto"/>
              <w:spacing w:before="60" w:line="200" w:lineRule="exact"/>
              <w:rPr>
                <w:i w:val="0"/>
              </w:rPr>
            </w:pPr>
            <w:r w:rsidRPr="00370B64">
              <w:rPr>
                <w:i w:val="0"/>
              </w:rPr>
              <w:t>6 kap. 1 §</w:t>
            </w:r>
          </w:p>
          <w:p w:rsidR="000D4E81" w:rsidRPr="00370B64" w:rsidRDefault="000D4E81">
            <w:pPr>
              <w:pStyle w:val="Lagtextindrag"/>
              <w:shd w:val="clear" w:color="000000" w:fill="auto"/>
              <w:spacing w:before="60" w:line="200" w:lineRule="exact"/>
              <w:ind w:firstLine="0"/>
              <w:rPr>
                <w:i w:val="0"/>
              </w:rPr>
            </w:pPr>
            <w:r w:rsidRPr="00370B64">
              <w:rPr>
                <w:i w:val="0"/>
              </w:rPr>
              <w:t xml:space="preserve">Den som genom misshandel eller annars med våld eller genom hot om brottslig gärning tvingar en person till samlag eller till att företa eller tåla en annan sexuell handling som med hänsyn till kränkningens art och omständigheter i övrigt är jämförlig med samlag, döms för </w:t>
            </w:r>
            <w:r w:rsidRPr="00370B64">
              <w:t>våldtäkt</w:t>
            </w:r>
            <w:r w:rsidRPr="00370B64">
              <w:rPr>
                <w:i w:val="0"/>
              </w:rPr>
              <w:t xml:space="preserve"> till fängelse i lägst två år och högst sex år.</w:t>
            </w:r>
          </w:p>
          <w:p w:rsidR="000D4E81" w:rsidRPr="00370B64" w:rsidRDefault="000D4E81">
            <w:pPr>
              <w:pStyle w:val="Lagtextindrag"/>
              <w:shd w:val="clear" w:color="000000" w:fill="auto"/>
              <w:spacing w:before="60" w:line="200" w:lineRule="exact"/>
              <w:rPr>
                <w:i w:val="0"/>
              </w:rPr>
            </w:pPr>
            <w:r w:rsidRPr="00370B64">
              <w:rPr>
                <w:i w:val="0"/>
              </w:rPr>
              <w:t>Detsamma gäller för den som med en person genomför ett samlag eller en sexuell handling som enligt första stycket är jämförlig med samlag genom att otillbörligt utnyttja att personen på grund av medvetslöshet, sömn, berusning eller annan drogpåverkan, sjukdom, kroppsskada eller psykisk störning eller annars med hänsyn till omständigheterna befinner sig i hjälplöst tillstånd.</w:t>
            </w:r>
          </w:p>
          <w:p w:rsidR="000D4E81" w:rsidRPr="00370B64" w:rsidRDefault="000D4E81">
            <w:pPr>
              <w:pStyle w:val="Lagtextindrag"/>
              <w:shd w:val="clear" w:color="000000" w:fill="auto"/>
              <w:spacing w:before="60" w:line="200" w:lineRule="exact"/>
              <w:rPr>
                <w:i w:val="0"/>
              </w:rPr>
            </w:pPr>
            <w:r w:rsidRPr="00370B64">
              <w:rPr>
                <w:i w:val="0"/>
              </w:rPr>
              <w:t>Är ett brott som avses i första eller andra stycket med hänsyn till omständigheterna att anse som mindre grovt, döms för våldtäkt till fängelse i högst fyra år.</w:t>
            </w:r>
          </w:p>
          <w:p w:rsidR="000D4E81" w:rsidRPr="00370B64" w:rsidRDefault="000D4E81">
            <w:pPr>
              <w:pStyle w:val="Lagtextindrag"/>
              <w:shd w:val="clear" w:color="000000" w:fill="auto"/>
              <w:spacing w:before="60" w:line="200" w:lineRule="exact"/>
            </w:pPr>
            <w:r w:rsidRPr="00370B64">
              <w:rPr>
                <w:i w:val="0"/>
              </w:rPr>
              <w:t xml:space="preserve">Är brott som avses i första eller andra stycket att anse som grovt, döms för </w:t>
            </w:r>
            <w:r w:rsidRPr="00370B64">
              <w:t>grov våldtäkt</w:t>
            </w:r>
            <w:r w:rsidRPr="00370B64">
              <w:rPr>
                <w:i w:val="0"/>
              </w:rPr>
              <w:t xml:space="preserve"> till fängelse i lägst fyra och högst tio år. Vid bedömande om brottet är särskilt grovt skall särskilt beaktas, om våldet eller hotet varit av särskilt allvarlig art eller om fler än en förgripit sig på offret eller på annat sätt deltagit i övergreppet eller om gärningsmannen med hänsyn till tillvägagångssättet eller annars visat särskild hänsynslöshet eller råhet.</w:t>
            </w:r>
          </w:p>
        </w:tc>
        <w:tc>
          <w:tcPr>
            <w:tcW w:w="3000" w:type="dxa"/>
          </w:tcPr>
          <w:p w:rsidR="000D4E81" w:rsidRPr="00370B64" w:rsidRDefault="000D4E81">
            <w:pPr>
              <w:pStyle w:val="Lagtext"/>
              <w:shd w:val="clear" w:color="000000" w:fill="auto"/>
              <w:spacing w:before="60" w:line="200" w:lineRule="exact"/>
              <w:rPr>
                <w:i w:val="0"/>
              </w:rPr>
            </w:pPr>
            <w:r w:rsidRPr="00370B64">
              <w:rPr>
                <w:i w:val="0"/>
              </w:rPr>
              <w:t>6 kap. 1 §</w:t>
            </w:r>
          </w:p>
          <w:p w:rsidR="000D4E81" w:rsidRPr="00370B64" w:rsidRDefault="000D4E81">
            <w:pPr>
              <w:pStyle w:val="Lagtextindrag"/>
              <w:shd w:val="clear" w:color="000000" w:fill="auto"/>
              <w:spacing w:before="60" w:line="200" w:lineRule="exact"/>
              <w:ind w:firstLine="0"/>
              <w:rPr>
                <w:i w:val="0"/>
              </w:rPr>
            </w:pPr>
            <w:r w:rsidRPr="00370B64">
              <w:rPr>
                <w:i w:val="0"/>
              </w:rPr>
              <w:t xml:space="preserve">Den som företar en sexuell handling mot eller utverkar en sådan handling av en person som inte frivilligt deltar däri döms för </w:t>
            </w:r>
            <w:r w:rsidRPr="00370B64">
              <w:t>sexuellt utnyttjande</w:t>
            </w:r>
            <w:r w:rsidRPr="00370B64">
              <w:rPr>
                <w:i w:val="0"/>
              </w:rPr>
              <w:t xml:space="preserve"> till fängelse i högst fyra år.</w:t>
            </w:r>
          </w:p>
          <w:p w:rsidR="000D4E81" w:rsidRPr="00370B64" w:rsidRDefault="000D4E81">
            <w:pPr>
              <w:pStyle w:val="Lagtextindrag"/>
              <w:shd w:val="clear" w:color="000000" w:fill="auto"/>
              <w:spacing w:before="60" w:line="200" w:lineRule="exact"/>
            </w:pPr>
            <w:r w:rsidRPr="00370B64">
              <w:rPr>
                <w:i w:val="0"/>
              </w:rPr>
              <w:t xml:space="preserve">Är brottet grovt, döms för </w:t>
            </w:r>
            <w:r w:rsidRPr="00370B64">
              <w:t>grovt sexuellt utnyttjande</w:t>
            </w:r>
            <w:r w:rsidRPr="00370B64">
              <w:rPr>
                <w:i w:val="0"/>
              </w:rPr>
              <w:t xml:space="preserve"> till fängelse i lägst två och högst åtta år. Vid bedömande av om brottet är grovt ska särskilt beaktas om handlingen varit av särskilt allvarlig art, om den riktats mot en person som befunnit sig i beroendeställning till gärningsmannen, varit ur stånd att värja sig eller annars befunnit sig i en särskilt utsatt situation, om fler än en förgripit sig på offret eller på annat sätt deltagit i övergreppet eller om gärningen lett till graviditet eller överföring av allvarlig smitta ell</w:t>
            </w:r>
            <w:r w:rsidRPr="00370B64">
              <w:rPr>
                <w:i w:val="0"/>
              </w:rPr>
              <w:t xml:space="preserve">er sjukdom. Om ansvar ådöms också för brott enligt 3 eller 4 kap. som medel för eller effekt av sexuellt utnyttjande ska den samlade brottsligheten betecknas </w:t>
            </w:r>
            <w:r w:rsidRPr="00370B64">
              <w:t>våldtäkt</w:t>
            </w:r>
            <w:r w:rsidRPr="00370B64">
              <w:rPr>
                <w:i w:val="0"/>
              </w:rPr>
              <w:t>.</w:t>
            </w:r>
          </w:p>
        </w:tc>
      </w:tr>
    </w:tbl>
    <w:p w:rsidR="000D4E81" w:rsidRPr="00370B64" w:rsidRDefault="000D4E81">
      <w:pPr>
        <w:pStyle w:val="Normaltindrag"/>
        <w:shd w:val="clear" w:color="000000" w:fill="auto"/>
        <w:ind w:firstLine="0"/>
      </w:pPr>
    </w:p>
    <w:p w:rsidR="000D4E81" w:rsidRPr="00370B64" w:rsidRDefault="000D4E81">
      <w:pPr>
        <w:pStyle w:val="Normaltindrag"/>
        <w:shd w:val="clear" w:color="000000" w:fill="auto"/>
        <w:ind w:firstLine="0"/>
      </w:pPr>
    </w:p>
    <w:tbl>
      <w:tblPr>
        <w:tblW w:w="6070" w:type="dxa"/>
        <w:tblLayout w:type="fixed"/>
        <w:tblCellMar>
          <w:left w:w="70" w:type="dxa"/>
          <w:right w:w="70" w:type="dxa"/>
        </w:tblCellMar>
        <w:tblLook w:val="0000" w:firstRow="0" w:lastRow="0" w:firstColumn="0" w:lastColumn="0" w:noHBand="0" w:noVBand="0"/>
      </w:tblPr>
      <w:tblGrid>
        <w:gridCol w:w="2950"/>
        <w:gridCol w:w="3120"/>
      </w:tblGrid>
      <w:tr w:rsidR="00000000" w:rsidRPr="00370B64">
        <w:tc>
          <w:tcPr>
            <w:tcW w:w="2950" w:type="dxa"/>
          </w:tcPr>
          <w:p w:rsidR="000D4E81" w:rsidRPr="00370B64" w:rsidRDefault="000D4E81">
            <w:pPr>
              <w:pStyle w:val="Lagtext"/>
              <w:shd w:val="clear" w:color="000000" w:fill="auto"/>
              <w:spacing w:after="60" w:line="200" w:lineRule="exact"/>
            </w:pPr>
            <w:r w:rsidRPr="00370B64">
              <w:t>Nuvarande lydelse</w:t>
            </w:r>
          </w:p>
        </w:tc>
        <w:tc>
          <w:tcPr>
            <w:tcW w:w="3120" w:type="dxa"/>
          </w:tcPr>
          <w:p w:rsidR="000D4E81" w:rsidRPr="00370B64" w:rsidRDefault="000D4E81">
            <w:pPr>
              <w:pStyle w:val="Lagtext"/>
              <w:shd w:val="clear" w:color="000000" w:fill="auto"/>
              <w:spacing w:after="60" w:line="200" w:lineRule="exact"/>
            </w:pPr>
            <w:r w:rsidRPr="00370B64">
              <w:t>Föreslagen lydelse</w:t>
            </w:r>
          </w:p>
        </w:tc>
      </w:tr>
      <w:tr w:rsidR="00000000" w:rsidRPr="00370B64">
        <w:tc>
          <w:tcPr>
            <w:tcW w:w="2950" w:type="dxa"/>
          </w:tcPr>
          <w:p w:rsidR="000D4E81" w:rsidRPr="00370B64" w:rsidRDefault="000D4E81">
            <w:pPr>
              <w:pStyle w:val="Lagtext"/>
              <w:shd w:val="clear" w:color="000000" w:fill="auto"/>
              <w:spacing w:after="60" w:line="200" w:lineRule="exact"/>
              <w:rPr>
                <w:i w:val="0"/>
              </w:rPr>
            </w:pPr>
            <w:r w:rsidRPr="00370B64">
              <w:rPr>
                <w:i w:val="0"/>
              </w:rPr>
              <w:t>15 §</w:t>
            </w:r>
          </w:p>
          <w:p w:rsidR="000D4E81" w:rsidRPr="00370B64" w:rsidRDefault="000D4E81">
            <w:pPr>
              <w:pStyle w:val="Lagtextindrag"/>
              <w:shd w:val="clear" w:color="000000" w:fill="auto"/>
              <w:spacing w:after="60" w:line="200" w:lineRule="exact"/>
              <w:ind w:firstLine="0"/>
              <w:rPr>
                <w:i w:val="0"/>
              </w:rPr>
            </w:pPr>
            <w:r w:rsidRPr="00370B64">
              <w:rPr>
                <w:i w:val="0"/>
              </w:rPr>
              <w:t>För försök till våldtäkt, grov våldtäkt, sexuellt tvång, grovt sexuellt tvång, sexuellt utnyttjande av person i beroende</w:t>
            </w:r>
            <w:r w:rsidRPr="00370B64">
              <w:rPr>
                <w:i w:val="0"/>
              </w:rPr>
              <w:softHyphen/>
              <w:t>ställning, våldtäkt mot barn, grov våldtäkt mot barn, sexuellt utnyttjande av barn, sexuellt övergrepp mot barn, grovt sexuellt övergrepp mot barn, utnyttjande av barn för sexuell posering, grovt utnyttjande av barn för sexuell posering, köp av sexuell handling av barn, köp av sexuell tjänst, koppleri och grovt koppleri döms till ansvar enligt vad som föreskrivs i 23 kap.</w:t>
            </w:r>
          </w:p>
          <w:p w:rsidR="000D4E81" w:rsidRPr="00370B64" w:rsidRDefault="000D4E81">
            <w:pPr>
              <w:pStyle w:val="Normaltindrag"/>
              <w:shd w:val="clear" w:color="000000" w:fill="auto"/>
              <w:spacing w:after="60" w:line="200" w:lineRule="exact"/>
            </w:pPr>
            <w:r w:rsidRPr="00370B64">
              <w:t>Detsamma gäller i fråga om för</w:t>
            </w:r>
            <w:r w:rsidRPr="00370B64">
              <w:t>e</w:t>
            </w:r>
            <w:r w:rsidRPr="00370B64">
              <w:t>beredelse och stämpling till våldtäkt, grov våldtäkt, våldtäkt mot barn, grov våldtäkt mot barn, grovt utnyt</w:t>
            </w:r>
            <w:r w:rsidRPr="00370B64">
              <w:t>t</w:t>
            </w:r>
            <w:r w:rsidRPr="00370B64">
              <w:t>jande av barn för sexuell posering, grovt utnyttjande av barn för sexuell posering och grovt koppleri samt underlåtenhet att avslöja sådant brott.</w:t>
            </w:r>
          </w:p>
        </w:tc>
        <w:tc>
          <w:tcPr>
            <w:tcW w:w="3120" w:type="dxa"/>
          </w:tcPr>
          <w:p w:rsidR="000D4E81" w:rsidRPr="00370B64" w:rsidRDefault="000D4E81">
            <w:pPr>
              <w:pStyle w:val="Lagtext"/>
              <w:shd w:val="clear" w:color="000000" w:fill="auto"/>
              <w:spacing w:after="60" w:line="200" w:lineRule="exact"/>
              <w:rPr>
                <w:i w:val="0"/>
              </w:rPr>
            </w:pPr>
            <w:r w:rsidRPr="00370B64">
              <w:rPr>
                <w:i w:val="0"/>
              </w:rPr>
              <w:t>15 §</w:t>
            </w:r>
          </w:p>
          <w:p w:rsidR="000D4E81" w:rsidRPr="00370B64" w:rsidRDefault="000D4E81">
            <w:pPr>
              <w:shd w:val="clear" w:color="000000" w:fill="auto"/>
              <w:spacing w:after="60" w:line="200" w:lineRule="exact"/>
            </w:pPr>
            <w:r w:rsidRPr="00370B64">
              <w:t>För försök till sexuellt utnyttjande, grovt sexuellt utnyttjande, våldtäkt mot barn, grov våldtäkt mot barn, sexuellt utnyttjande av barn, sexuellt övergrepp mot barn, grovt sexuellt övergrepp mot barn, utnyttjande av barn för sexuell posering, grovt utnyt</w:t>
            </w:r>
            <w:r w:rsidRPr="00370B64">
              <w:t>t</w:t>
            </w:r>
            <w:r w:rsidRPr="00370B64">
              <w:t>jande av barn för sexuell posering, köp av sexuell tjänst, koppleri och grovt koppleri döms till ansvar enligt vad som föreskrivs i 23 kap.</w:t>
            </w:r>
          </w:p>
          <w:p w:rsidR="000D4E81" w:rsidRPr="00370B64" w:rsidRDefault="000D4E81">
            <w:pPr>
              <w:pStyle w:val="Normaltindrag"/>
              <w:shd w:val="clear" w:color="000000" w:fill="auto"/>
              <w:spacing w:after="60" w:line="200" w:lineRule="exact"/>
            </w:pPr>
            <w:r w:rsidRPr="00370B64">
              <w:t>Detsamma gäller i fråga om förb</w:t>
            </w:r>
            <w:r w:rsidRPr="00370B64">
              <w:t>e</w:t>
            </w:r>
            <w:r w:rsidRPr="00370B64">
              <w:t>redelse och stämpling till grovt sex</w:t>
            </w:r>
            <w:r w:rsidRPr="00370B64">
              <w:t>u</w:t>
            </w:r>
            <w:r w:rsidRPr="00370B64">
              <w:t>ellt utnyttjande, våldtäkt mot barn, grov våldtäkt mot barn, grovt utnyt</w:t>
            </w:r>
            <w:r w:rsidRPr="00370B64">
              <w:t>t</w:t>
            </w:r>
            <w:r w:rsidRPr="00370B64">
              <w:t>jande av barn för sexuell posering och grovt koppleri samt underlåtenhet att avslöja sådant brott.</w:t>
            </w:r>
          </w:p>
        </w:tc>
      </w:tr>
    </w:tbl>
    <w:p w:rsidR="000D4E81" w:rsidRPr="00370B64" w:rsidRDefault="000D4E81">
      <w:pPr>
        <w:pStyle w:val="Rubrik2"/>
        <w:shd w:val="clear" w:color="000000" w:fill="auto"/>
      </w:pPr>
      <w:bookmarkStart w:id="25" w:name="_Toc210731614"/>
      <w:bookmarkStart w:id="26" w:name="_Toc210987345"/>
      <w:bookmarkStart w:id="27" w:name="_Toc215209998"/>
      <w:r w:rsidRPr="00370B64">
        <w:t>Sex med någon som inte frivilligt deltar straffbeläggs</w:t>
      </w:r>
      <w:bookmarkEnd w:id="25"/>
      <w:bookmarkEnd w:id="26"/>
      <w:bookmarkEnd w:id="27"/>
    </w:p>
    <w:p w:rsidR="000D4E81" w:rsidRPr="00370B64" w:rsidRDefault="000D4E81">
      <w:pPr>
        <w:shd w:val="clear" w:color="000000" w:fill="auto"/>
      </w:pPr>
      <w:r w:rsidRPr="00370B64">
        <w:t>En sexuell handling som företas mot någon som inte frivilligt deltar i den eller som utverkas av någon som inte frivilligt utför den är ett brott mot den sexuella och kroppsliga integriteten. Varje sådant brott måste vara straffbelagt enligt svensk lag enligt de krav som följer av Europakonventionen och inte</w:t>
      </w:r>
      <w:r w:rsidRPr="00370B64">
        <w:t>r</w:t>
      </w:r>
      <w:r w:rsidRPr="00370B64">
        <w:t>nationella brottsmåls</w:t>
      </w:r>
      <w:r w:rsidRPr="00370B64">
        <w:softHyphen/>
        <w:t>konventionen. Det förutsätter att de krav på våld, hot eller annat tvång, alternativt hjälplöst tillstånd, som för närvarande uppställs för straffansvar i 6 kap. 1 och 2 § BrB måste slopas. I stället bör införas ett straffstadgande som enbart tar sikte på den otillåtna sexuella handlingen. På så sätt renodlas ansvaret för att kränka en annan människas sexuella integritet. Det är viktigt att detta genomförs såväl för normbildningen som för rättstil</w:t>
      </w:r>
      <w:r w:rsidRPr="00370B64">
        <w:t>l</w:t>
      </w:r>
      <w:r w:rsidRPr="00370B64">
        <w:t xml:space="preserve">lämpningen. Med förslaget elimineras </w:t>
      </w:r>
      <w:r w:rsidRPr="00370B64">
        <w:t>den oklarhet som råder om straffansv</w:t>
      </w:r>
      <w:r w:rsidRPr="00370B64">
        <w:t>a</w:t>
      </w:r>
      <w:r w:rsidRPr="00370B64">
        <w:t xml:space="preserve">rets omfattning. </w:t>
      </w:r>
    </w:p>
    <w:p w:rsidR="000D4E81" w:rsidRPr="00370B64" w:rsidRDefault="000D4E81">
      <w:pPr>
        <w:pStyle w:val="Rubrik2"/>
        <w:shd w:val="clear" w:color="000000" w:fill="auto"/>
      </w:pPr>
      <w:bookmarkStart w:id="28" w:name="_Toc210731615"/>
      <w:bookmarkStart w:id="29" w:name="_Toc210987346"/>
      <w:bookmarkStart w:id="30" w:name="_Toc215209999"/>
      <w:r w:rsidRPr="00370B64">
        <w:t>Sexualbrottet rubriceras sexuellt utnyttjande</w:t>
      </w:r>
      <w:bookmarkEnd w:id="28"/>
      <w:bookmarkEnd w:id="29"/>
      <w:bookmarkEnd w:id="30"/>
    </w:p>
    <w:p w:rsidR="000D4E81" w:rsidRPr="00370B64" w:rsidRDefault="000D4E81">
      <w:pPr>
        <w:shd w:val="clear" w:color="000000" w:fill="auto"/>
      </w:pPr>
      <w:r w:rsidRPr="00370B64">
        <w:t>Benämningen våldtäkt är inte lämplig för själva sexualbrottet när detta reno</w:t>
      </w:r>
      <w:r w:rsidRPr="00370B64">
        <w:t>d</w:t>
      </w:r>
      <w:r w:rsidRPr="00370B64">
        <w:t>las till att avse enbart själva sexualhandlingen. Ordet ”våld” i dagens brott</w:t>
      </w:r>
      <w:r w:rsidRPr="00370B64">
        <w:t>s</w:t>
      </w:r>
      <w:r w:rsidRPr="00370B64">
        <w:t>rubricering våldtäkt problematiserar en vidgning av begreppet att inn</w:t>
      </w:r>
      <w:r w:rsidRPr="00370B64">
        <w:t>e</w:t>
      </w:r>
      <w:r w:rsidRPr="00370B64">
        <w:t xml:space="preserve">fatta handlingar som sker utan våld. Brottsrubriceringen bör i stället vara </w:t>
      </w:r>
      <w:r w:rsidRPr="00370B64">
        <w:rPr>
          <w:i/>
        </w:rPr>
        <w:t>sexuellt utnyttjande</w:t>
      </w:r>
      <w:r w:rsidRPr="00370B64">
        <w:t>. Då markeras också tydligare att det är fråga om att u</w:t>
      </w:r>
      <w:r w:rsidRPr="00370B64">
        <w:t>t</w:t>
      </w:r>
      <w:r w:rsidRPr="00370B64">
        <w:t>nyttja en annan människas kropp mot denna människas vilja, vilket är det förfarande som särskilt beläggs med straff.</w:t>
      </w:r>
    </w:p>
    <w:p w:rsidR="000D4E81" w:rsidRPr="00370B64" w:rsidRDefault="000D4E81">
      <w:pPr>
        <w:pStyle w:val="Rubrik2"/>
        <w:shd w:val="clear" w:color="000000" w:fill="auto"/>
      </w:pPr>
      <w:bookmarkStart w:id="31" w:name="_Toc210731616"/>
      <w:bookmarkStart w:id="32" w:name="_Toc210987347"/>
      <w:bookmarkStart w:id="33" w:name="_Toc215210000"/>
      <w:r w:rsidRPr="00370B64">
        <w:t>Våld, hot eller annat tvång i samband med sex bestraffas enligt befintliga straffbud om sådana</w:t>
      </w:r>
      <w:r w:rsidRPr="00370B64">
        <w:t xml:space="preserve"> förfaranden. Den samlade brottsligheten betecknas i dessa fall våldtäkt.</w:t>
      </w:r>
      <w:bookmarkEnd w:id="31"/>
      <w:bookmarkEnd w:id="32"/>
      <w:bookmarkEnd w:id="33"/>
    </w:p>
    <w:p w:rsidR="000D4E81" w:rsidRPr="00370B64" w:rsidRDefault="000D4E81">
      <w:pPr>
        <w:shd w:val="clear" w:color="000000" w:fill="auto"/>
      </w:pPr>
      <w:r w:rsidRPr="00370B64">
        <w:t>Om våld eller hot har använts som medel för att genomföra det sexuella u</w:t>
      </w:r>
      <w:r w:rsidRPr="00370B64">
        <w:t>t</w:t>
      </w:r>
      <w:r w:rsidRPr="00370B64">
        <w:t>nyttjandet ska för detta dömas till särskilt ansvar. Det kan vara fråga om olaga tvång enligt 4 kap. 4 § BrB. Om tvånget bestått i grovt våld ska dessu</w:t>
      </w:r>
      <w:r w:rsidRPr="00370B64">
        <w:t>t</w:t>
      </w:r>
      <w:r w:rsidRPr="00370B64">
        <w:t>om dömas för grov misshandel enligt 3 kap. 6 § BrB. Om sexualhandlingen ors</w:t>
      </w:r>
      <w:r w:rsidRPr="00370B64">
        <w:t>a</w:t>
      </w:r>
      <w:r w:rsidRPr="00370B64">
        <w:t>kat fysisk och/eller psykisk skada ska detta bedömas som misshandel</w:t>
      </w:r>
      <w:r w:rsidRPr="00370B64">
        <w:t>s</w:t>
      </w:r>
      <w:r w:rsidRPr="00370B64">
        <w:t>brott enligt tillämpligt straffbud i 3 kap. BrB. Grov miss</w:t>
      </w:r>
      <w:r w:rsidRPr="00370B64">
        <w:softHyphen/>
        <w:t>handel föreligger när kra</w:t>
      </w:r>
      <w:r w:rsidRPr="00370B64">
        <w:t>f</w:t>
      </w:r>
      <w:r w:rsidRPr="00370B64">
        <w:t>tigt våld har använts, liksom ofta då våld har riktats mot en gravid kvinna. Skador i underlivet, som kan vara både smärtsamma, lå</w:t>
      </w:r>
      <w:r w:rsidRPr="00370B64">
        <w:t>ngvariga och kraftigt handikappande, grundar ansvar för misshandel som kan vara grov. Skadan kan också bestå i att det genom gärningen har överförts smitta eller sjukdom. Därtill kommer psykiska skador, som ofta kan och bör rubriceras som psykisk misshandel, för vilken ansvar ska följa enligt bestämmelserna i 3 kap. BrB. Gärningen kan också innefatta dödande enligt 3 kap. 1, 2 eller 7 § eller mä</w:t>
      </w:r>
      <w:r w:rsidRPr="00370B64">
        <w:t>n</w:t>
      </w:r>
      <w:r w:rsidRPr="00370B64">
        <w:t xml:space="preserve">niskorov, människohandel eller olaga frihetsberövande enligt 4 kap. 1, </w:t>
      </w:r>
      <w:smartTag w:uri="urn:schemas-microsoft-com:office:smarttags" w:element="metricconverter">
        <w:smartTagPr>
          <w:attr w:name="ProductID" w:val="1 a"/>
        </w:smartTagPr>
        <w:r w:rsidRPr="00370B64">
          <w:t>1 a</w:t>
        </w:r>
      </w:smartTag>
      <w:r w:rsidRPr="00370B64">
        <w:t xml:space="preserve"> eller 2 § BrB.</w:t>
      </w:r>
    </w:p>
    <w:p w:rsidR="000D4E81" w:rsidRPr="00370B64" w:rsidRDefault="000D4E81">
      <w:pPr>
        <w:pStyle w:val="Normaltindrag"/>
        <w:shd w:val="clear" w:color="000000" w:fill="auto"/>
      </w:pPr>
      <w:r w:rsidRPr="00370B64">
        <w:t>Den samlade brottslighe</w:t>
      </w:r>
      <w:r w:rsidRPr="00370B64">
        <w:t>ten ska betecknas våldtäkt.</w:t>
      </w:r>
    </w:p>
    <w:p w:rsidR="000D4E81" w:rsidRPr="00370B64" w:rsidRDefault="000D4E81">
      <w:pPr>
        <w:pStyle w:val="Rubrik2"/>
        <w:shd w:val="clear" w:color="000000" w:fill="auto"/>
      </w:pPr>
      <w:bookmarkStart w:id="34" w:name="_Toc210731617"/>
      <w:bookmarkStart w:id="35" w:name="_Toc210987348"/>
      <w:bookmarkStart w:id="36" w:name="_Toc215210001"/>
      <w:r w:rsidRPr="00370B64">
        <w:t>En särskild brottsrubricering, och straffskala, införs för grova fall av sexuellt utnyttjande</w:t>
      </w:r>
      <w:bookmarkEnd w:id="34"/>
      <w:bookmarkEnd w:id="35"/>
      <w:bookmarkEnd w:id="36"/>
    </w:p>
    <w:p w:rsidR="000D4E81" w:rsidRPr="00370B64" w:rsidRDefault="000D4E81">
      <w:pPr>
        <w:shd w:val="clear" w:color="000000" w:fill="auto"/>
      </w:pPr>
      <w:r w:rsidRPr="00370B64">
        <w:t>För att markera vissa särskilt straffvärda situationer införs ett särskilt stadgande om grovt sexuellt utnyttjande. Exempel på omständigheter som bör medföra att det sexuella utnyttjandet anses grovt är om handlingen av särskilt allvarlig art, om handlingen riktats mot en person som befunnit sig i beroe</w:t>
      </w:r>
      <w:r w:rsidRPr="00370B64">
        <w:t>n</w:t>
      </w:r>
      <w:r w:rsidRPr="00370B64">
        <w:t>deställning till gärningsmannen, nuvarande 6 kap. 3 §, eller om personen varit ur stånd att värja sig, motsvarande 6 kap. 1 § andra stycket eller en ”patients</w:t>
      </w:r>
      <w:r w:rsidRPr="00370B64">
        <w:t>i</w:t>
      </w:r>
      <w:r w:rsidRPr="00370B64">
        <w:t>tuation” som den som förelåg i ”solariefallet” NJA 1988 s. 40, eller om fler än en har förgripit sig på offret, nu i 6 kap. 1 § tredje stycket Att utnyttjandet gällt en person som varit i en särskilt utsatt situation anges som en omstä</w:t>
      </w:r>
      <w:r w:rsidRPr="00370B64">
        <w:t>n</w:t>
      </w:r>
      <w:r w:rsidRPr="00370B64">
        <w:t>dighet som ska medföra ansvar för grovt sexuellt utnyttjande. Samtliga dessa omständigheter är sådana att de i sig g</w:t>
      </w:r>
      <w:r w:rsidRPr="00370B64">
        <w:t>er sexualbrottet ett högt straffvärde.</w:t>
      </w:r>
    </w:p>
    <w:p w:rsidR="000D4E81" w:rsidRPr="00370B64" w:rsidRDefault="000D4E81">
      <w:pPr>
        <w:pStyle w:val="Normaltindrag"/>
        <w:shd w:val="clear" w:color="000000" w:fill="auto"/>
      </w:pPr>
      <w:r w:rsidRPr="00370B64">
        <w:t>Även omständigheten att handlingen lett till graviditet eller att gärning</w:t>
      </w:r>
      <w:r w:rsidRPr="00370B64">
        <w:t>s</w:t>
      </w:r>
      <w:r w:rsidRPr="00370B64">
        <w:t>mannen överfört en smitta eller sjukdom anses särskilt allvarlig. Även om överförandet av smitta eller sjukdom bedöms som ett brott i sig ska det sex</w:t>
      </w:r>
      <w:r w:rsidRPr="00370B64">
        <w:t>u</w:t>
      </w:r>
      <w:r w:rsidRPr="00370B64">
        <w:t>ella utnyttjandet i sådana fall kunna bedömas som särskilt allvarligt.</w:t>
      </w:r>
    </w:p>
    <w:p w:rsidR="000D4E81" w:rsidRPr="00370B64" w:rsidRDefault="000D4E81">
      <w:pPr>
        <w:pStyle w:val="Rubrik2"/>
        <w:shd w:val="clear" w:color="000000" w:fill="auto"/>
      </w:pPr>
      <w:bookmarkStart w:id="37" w:name="_Toc210731618"/>
      <w:bookmarkStart w:id="38" w:name="_Toc210987349"/>
      <w:bookmarkStart w:id="39" w:name="_Toc215210002"/>
      <w:r w:rsidRPr="00370B64">
        <w:t>Straffansvar införs för försök till sexuellt utnyttjande samt försök, förberedelse, stämpling och underlåtenhet att avslöja grovt sexuellt utnyttjande</w:t>
      </w:r>
      <w:bookmarkEnd w:id="37"/>
      <w:bookmarkEnd w:id="38"/>
      <w:bookmarkEnd w:id="39"/>
    </w:p>
    <w:p w:rsidR="000D4E81" w:rsidRPr="00370B64" w:rsidRDefault="000D4E81">
      <w:pPr>
        <w:shd w:val="clear" w:color="000000" w:fill="auto"/>
      </w:pPr>
      <w:r w:rsidRPr="00370B64">
        <w:t>Som följdkonsekvens av lagförslaget ändras även 6 kap. 15 § BrB.</w:t>
      </w:r>
    </w:p>
    <w:p w:rsidR="000D4E81" w:rsidRPr="00370B64" w:rsidRDefault="000D4E81">
      <w:pPr>
        <w:pStyle w:val="Rubrik2"/>
        <w:shd w:val="clear" w:color="000000" w:fill="auto"/>
      </w:pPr>
      <w:bookmarkStart w:id="40" w:name="_Toc210731619"/>
      <w:bookmarkStart w:id="41" w:name="_Toc210987350"/>
      <w:bookmarkStart w:id="42" w:name="_Toc215210003"/>
      <w:r w:rsidRPr="00370B64">
        <w:t>Straffnivån blir mer differentierad</w:t>
      </w:r>
      <w:bookmarkEnd w:id="40"/>
      <w:bookmarkEnd w:id="41"/>
      <w:bookmarkEnd w:id="42"/>
    </w:p>
    <w:p w:rsidR="000D4E81" w:rsidRPr="00370B64" w:rsidRDefault="000D4E81">
      <w:pPr>
        <w:shd w:val="clear" w:color="000000" w:fill="auto"/>
      </w:pPr>
      <w:r w:rsidRPr="00370B64">
        <w:t>För sexuellt utnyttjande ska straffskalan vara den som i dag gäller för mindre grova fall av våldtäkt, fängelse i högst fyra år. Varje sexuellt utnyt</w:t>
      </w:r>
      <w:r w:rsidRPr="00370B64">
        <w:t>t</w:t>
      </w:r>
      <w:r w:rsidRPr="00370B64">
        <w:t>jande är en integritets</w:t>
      </w:r>
      <w:r w:rsidRPr="00370B64">
        <w:softHyphen/>
        <w:t>kränkning, men straffvärdet kan variera avsevärt, bl.a. med hänsyn till vilken typ av sexuell handling det varit fråga om. För grova fall av sex</w:t>
      </w:r>
      <w:r w:rsidRPr="00370B64">
        <w:t>u</w:t>
      </w:r>
      <w:r w:rsidRPr="00370B64">
        <w:t>ellt utnyttjande föreskrivs samma maximum som i dag gäller för medelsvåra fall av våldtäkt, dvs. fängelse i två år. Maximum för grovt sex</w:t>
      </w:r>
      <w:r w:rsidRPr="00370B64">
        <w:t>u</w:t>
      </w:r>
      <w:r w:rsidRPr="00370B64">
        <w:t>ellt utnyttjande sätts till fängelse i åtta år, något lägre än vad som i dag gäller för grov vål</w:t>
      </w:r>
      <w:r w:rsidRPr="00370B64">
        <w:t>d</w:t>
      </w:r>
      <w:r w:rsidRPr="00370B64">
        <w:t>täkt.</w:t>
      </w:r>
    </w:p>
    <w:p w:rsidR="000D4E81" w:rsidRPr="00370B64" w:rsidRDefault="000D4E81">
      <w:pPr>
        <w:pStyle w:val="Normaltindrag"/>
        <w:shd w:val="clear" w:color="000000" w:fill="auto"/>
      </w:pPr>
      <w:r w:rsidRPr="00370B64">
        <w:t>Om våld eller hot har använts och straff således ska utdömas förutom för grovt sexuellt utnyttjande ä</w:t>
      </w:r>
      <w:r w:rsidRPr="00370B64">
        <w:t>ven för olaga tvång blir enligt reglerna om geme</w:t>
      </w:r>
      <w:r w:rsidRPr="00370B64">
        <w:t>n</w:t>
      </w:r>
      <w:r w:rsidRPr="00370B64">
        <w:t>samt straff</w:t>
      </w:r>
      <w:r w:rsidRPr="00370B64">
        <w:softHyphen/>
        <w:t>maximum tio år, dvs. vad som i dag gäller för grov våldtäkt. Om sexualbrottet är grovt och har begåtts med olaga tvång blir straffmax</w:t>
      </w:r>
      <w:r w:rsidRPr="00370B64">
        <w:t>i</w:t>
      </w:r>
      <w:r w:rsidRPr="00370B64">
        <w:t>mum fängelse i tolv år, och om grov misshandel utdöms blir straffmaximum fän</w:t>
      </w:r>
      <w:r w:rsidRPr="00370B64">
        <w:t>g</w:t>
      </w:r>
      <w:r w:rsidRPr="00370B64">
        <w:t>else i 14 år. Ett så högt straffvärde kan vara klart befogat i mycket grova fall. Exempelvis om en ung kvinna utsatts för grovt våld av sin far eller sty</w:t>
      </w:r>
      <w:r w:rsidRPr="00370B64">
        <w:t>v</w:t>
      </w:r>
      <w:r w:rsidRPr="00370B64">
        <w:t>far och utnyttjats sexuellt av denne samt även lämnas ut till andra som förgr</w:t>
      </w:r>
      <w:r w:rsidRPr="00370B64">
        <w:t>i</w:t>
      </w:r>
      <w:r w:rsidRPr="00370B64">
        <w:t xml:space="preserve">per sig </w:t>
      </w:r>
      <w:r w:rsidRPr="00370B64">
        <w:t>på henne.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0B64">
        <w:trPr>
          <w:cantSplit/>
        </w:trPr>
        <w:tc>
          <w:tcPr>
            <w:tcW w:w="3046" w:type="dxa"/>
          </w:tcPr>
          <w:p w:rsidR="000D4E81" w:rsidRPr="00370B64" w:rsidRDefault="000D4E81">
            <w:pPr>
              <w:pStyle w:val="UnderskriftDatum"/>
              <w:shd w:val="clear" w:color="000000" w:fill="auto"/>
              <w:spacing w:before="240"/>
            </w:pPr>
            <w:r w:rsidRPr="00370B64">
              <w:t>Stockholm den 6 oktober 2008</w:t>
            </w:r>
          </w:p>
        </w:tc>
        <w:tc>
          <w:tcPr>
            <w:tcW w:w="3047" w:type="dxa"/>
          </w:tcPr>
          <w:p w:rsidR="000D4E81" w:rsidRPr="00370B64" w:rsidRDefault="000D4E81">
            <w:pPr>
              <w:pStyle w:val="Underskrifter"/>
              <w:shd w:val="clear" w:color="000000" w:fill="auto"/>
              <w:spacing w:before="240"/>
            </w:pPr>
          </w:p>
        </w:tc>
      </w:tr>
      <w:tr w:rsidR="00000000" w:rsidRPr="00370B64">
        <w:trPr>
          <w:cantSplit/>
        </w:trPr>
        <w:tc>
          <w:tcPr>
            <w:tcW w:w="3046" w:type="dxa"/>
          </w:tcPr>
          <w:p w:rsidR="000D4E81" w:rsidRPr="00370B64" w:rsidRDefault="000D4E81">
            <w:pPr>
              <w:pStyle w:val="Underskrifter"/>
              <w:shd w:val="clear" w:color="000000" w:fill="auto"/>
            </w:pPr>
            <w:r w:rsidRPr="00370B64">
              <w:t>Peter Eriksson (mp)</w:t>
            </w:r>
          </w:p>
        </w:tc>
        <w:tc>
          <w:tcPr>
            <w:tcW w:w="3046" w:type="dxa"/>
          </w:tcPr>
          <w:p w:rsidR="000D4E81" w:rsidRPr="00370B64" w:rsidRDefault="000D4E81">
            <w:pPr>
              <w:pStyle w:val="Underskrifter"/>
              <w:shd w:val="clear" w:color="000000" w:fill="auto"/>
            </w:pPr>
          </w:p>
        </w:tc>
      </w:tr>
      <w:tr w:rsidR="00000000" w:rsidRPr="00370B64">
        <w:trPr>
          <w:cantSplit/>
        </w:trPr>
        <w:tc>
          <w:tcPr>
            <w:tcW w:w="3046" w:type="dxa"/>
          </w:tcPr>
          <w:p w:rsidR="000D4E81" w:rsidRPr="00370B64" w:rsidRDefault="000D4E81">
            <w:pPr>
              <w:pStyle w:val="Underskrifter"/>
              <w:shd w:val="clear" w:color="000000" w:fill="auto"/>
            </w:pPr>
            <w:r w:rsidRPr="00370B64">
              <w:t>Maria Wetterstrand (mp)</w:t>
            </w:r>
          </w:p>
        </w:tc>
        <w:tc>
          <w:tcPr>
            <w:tcW w:w="3046" w:type="dxa"/>
          </w:tcPr>
          <w:p w:rsidR="000D4E81" w:rsidRPr="00370B64" w:rsidRDefault="000D4E81">
            <w:pPr>
              <w:pStyle w:val="Underskrifter"/>
              <w:shd w:val="clear" w:color="000000" w:fill="auto"/>
            </w:pPr>
            <w:r w:rsidRPr="00370B64">
              <w:t>Mehmet Kaplan (mp)</w:t>
            </w:r>
          </w:p>
        </w:tc>
      </w:tr>
      <w:tr w:rsidR="00000000" w:rsidRPr="00370B64">
        <w:trPr>
          <w:cantSplit/>
        </w:trPr>
        <w:tc>
          <w:tcPr>
            <w:tcW w:w="3046" w:type="dxa"/>
          </w:tcPr>
          <w:p w:rsidR="000D4E81" w:rsidRPr="00370B64" w:rsidRDefault="000D4E81">
            <w:pPr>
              <w:pStyle w:val="Underskrifter"/>
              <w:shd w:val="clear" w:color="000000" w:fill="auto"/>
            </w:pPr>
            <w:r w:rsidRPr="00370B64">
              <w:t>Esabelle Dingizian (mp)</w:t>
            </w:r>
          </w:p>
        </w:tc>
        <w:tc>
          <w:tcPr>
            <w:tcW w:w="3046" w:type="dxa"/>
          </w:tcPr>
          <w:p w:rsidR="000D4E81" w:rsidRPr="00370B64" w:rsidRDefault="000D4E81">
            <w:pPr>
              <w:pStyle w:val="Underskrifter"/>
              <w:shd w:val="clear" w:color="000000" w:fill="auto"/>
            </w:pPr>
            <w:r w:rsidRPr="00370B64">
              <w:t>Max Andersson (mp)</w:t>
            </w:r>
          </w:p>
        </w:tc>
      </w:tr>
      <w:tr w:rsidR="00000000" w:rsidRPr="00370B64">
        <w:trPr>
          <w:cantSplit/>
        </w:trPr>
        <w:tc>
          <w:tcPr>
            <w:tcW w:w="3046" w:type="dxa"/>
          </w:tcPr>
          <w:p w:rsidR="000D4E81" w:rsidRPr="00370B64" w:rsidRDefault="000D4E81">
            <w:pPr>
              <w:pStyle w:val="Underskrifter"/>
              <w:shd w:val="clear" w:color="000000" w:fill="auto"/>
            </w:pPr>
            <w:r w:rsidRPr="00370B64">
              <w:t>Bodil Ceballos (mp)</w:t>
            </w:r>
          </w:p>
        </w:tc>
        <w:tc>
          <w:tcPr>
            <w:tcW w:w="3046" w:type="dxa"/>
          </w:tcPr>
          <w:p w:rsidR="000D4E81" w:rsidRPr="00370B64" w:rsidRDefault="000D4E81">
            <w:pPr>
              <w:pStyle w:val="Underskrifter"/>
              <w:shd w:val="clear" w:color="000000" w:fill="auto"/>
            </w:pPr>
            <w:r w:rsidRPr="00370B64">
              <w:t>Tina Ehn (mp)</w:t>
            </w:r>
          </w:p>
        </w:tc>
      </w:tr>
      <w:tr w:rsidR="00000000" w:rsidRPr="00370B64">
        <w:trPr>
          <w:cantSplit/>
        </w:trPr>
        <w:tc>
          <w:tcPr>
            <w:tcW w:w="3046" w:type="dxa"/>
          </w:tcPr>
          <w:p w:rsidR="000D4E81" w:rsidRPr="00370B64" w:rsidRDefault="000D4E81">
            <w:pPr>
              <w:pStyle w:val="Underskrifter"/>
              <w:shd w:val="clear" w:color="000000" w:fill="auto"/>
            </w:pPr>
            <w:r w:rsidRPr="00370B64">
              <w:t>Gunvor G Ericson (mp)</w:t>
            </w:r>
          </w:p>
        </w:tc>
        <w:tc>
          <w:tcPr>
            <w:tcW w:w="3046" w:type="dxa"/>
          </w:tcPr>
          <w:p w:rsidR="000D4E81" w:rsidRPr="00370B64" w:rsidRDefault="000D4E81">
            <w:pPr>
              <w:pStyle w:val="Underskrifter"/>
              <w:shd w:val="clear" w:color="000000" w:fill="auto"/>
            </w:pPr>
            <w:r w:rsidRPr="00370B64">
              <w:t>Ulf Holm (mp)</w:t>
            </w:r>
          </w:p>
        </w:tc>
      </w:tr>
      <w:tr w:rsidR="00000000" w:rsidRPr="00370B64">
        <w:trPr>
          <w:cantSplit/>
        </w:trPr>
        <w:tc>
          <w:tcPr>
            <w:tcW w:w="3046" w:type="dxa"/>
          </w:tcPr>
          <w:p w:rsidR="000D4E81" w:rsidRPr="00370B64" w:rsidRDefault="000D4E81">
            <w:pPr>
              <w:pStyle w:val="Underskrifter"/>
              <w:shd w:val="clear" w:color="000000" w:fill="auto"/>
            </w:pPr>
            <w:r w:rsidRPr="00370B64">
              <w:t>Mikael Johansson (mp)</w:t>
            </w:r>
          </w:p>
        </w:tc>
        <w:tc>
          <w:tcPr>
            <w:tcW w:w="3046" w:type="dxa"/>
          </w:tcPr>
          <w:p w:rsidR="000D4E81" w:rsidRPr="00370B64" w:rsidRDefault="000D4E81">
            <w:pPr>
              <w:pStyle w:val="Underskrifter"/>
              <w:shd w:val="clear" w:color="000000" w:fill="auto"/>
            </w:pPr>
            <w:r w:rsidRPr="00370B64">
              <w:t>Helena Leander (mp)</w:t>
            </w:r>
          </w:p>
        </w:tc>
      </w:tr>
      <w:tr w:rsidR="00000000" w:rsidRPr="00370B64">
        <w:trPr>
          <w:cantSplit/>
        </w:trPr>
        <w:tc>
          <w:tcPr>
            <w:tcW w:w="3046" w:type="dxa"/>
          </w:tcPr>
          <w:p w:rsidR="000D4E81" w:rsidRPr="00370B64" w:rsidRDefault="000D4E81">
            <w:pPr>
              <w:pStyle w:val="Underskrifter"/>
              <w:shd w:val="clear" w:color="000000" w:fill="auto"/>
            </w:pPr>
            <w:r w:rsidRPr="00370B64">
              <w:t>Jan Lindholm (mp)</w:t>
            </w:r>
          </w:p>
        </w:tc>
        <w:tc>
          <w:tcPr>
            <w:tcW w:w="3046" w:type="dxa"/>
          </w:tcPr>
          <w:p w:rsidR="000D4E81" w:rsidRPr="00370B64" w:rsidRDefault="000D4E81">
            <w:pPr>
              <w:pStyle w:val="Underskrifter"/>
              <w:shd w:val="clear" w:color="000000" w:fill="auto"/>
            </w:pPr>
            <w:r w:rsidRPr="00370B64">
              <w:t>Thomas Nihlén (mp)</w:t>
            </w:r>
          </w:p>
        </w:tc>
      </w:tr>
      <w:tr w:rsidR="00000000" w:rsidRPr="00370B64">
        <w:trPr>
          <w:cantSplit/>
        </w:trPr>
        <w:tc>
          <w:tcPr>
            <w:tcW w:w="3046" w:type="dxa"/>
          </w:tcPr>
          <w:p w:rsidR="000D4E81" w:rsidRPr="00370B64" w:rsidRDefault="000D4E81">
            <w:pPr>
              <w:pStyle w:val="Underskrifter"/>
              <w:shd w:val="clear" w:color="000000" w:fill="auto"/>
            </w:pPr>
            <w:r w:rsidRPr="00370B64">
              <w:t>Mats Pertoft (mp)</w:t>
            </w:r>
          </w:p>
        </w:tc>
        <w:tc>
          <w:tcPr>
            <w:tcW w:w="3046" w:type="dxa"/>
          </w:tcPr>
          <w:p w:rsidR="000D4E81" w:rsidRPr="00370B64" w:rsidRDefault="000D4E81">
            <w:pPr>
              <w:pStyle w:val="Underskrifter"/>
              <w:shd w:val="clear" w:color="000000" w:fill="auto"/>
            </w:pPr>
            <w:r w:rsidRPr="00370B64">
              <w:t>Lage Rahm (mp)</w:t>
            </w:r>
          </w:p>
        </w:tc>
      </w:tr>
      <w:tr w:rsidR="00000000" w:rsidRPr="00370B64">
        <w:trPr>
          <w:cantSplit/>
        </w:trPr>
        <w:tc>
          <w:tcPr>
            <w:tcW w:w="3046" w:type="dxa"/>
          </w:tcPr>
          <w:p w:rsidR="000D4E81" w:rsidRPr="00370B64" w:rsidRDefault="000D4E81">
            <w:pPr>
              <w:pStyle w:val="Underskrifter"/>
              <w:shd w:val="clear" w:color="000000" w:fill="auto"/>
            </w:pPr>
            <w:r w:rsidRPr="00370B64">
              <w:t>Peter Rådberg (mp)</w:t>
            </w:r>
          </w:p>
        </w:tc>
        <w:tc>
          <w:tcPr>
            <w:tcW w:w="3046" w:type="dxa"/>
          </w:tcPr>
          <w:p w:rsidR="000D4E81" w:rsidRPr="00370B64" w:rsidRDefault="000D4E81">
            <w:pPr>
              <w:pStyle w:val="Underskrifter"/>
              <w:shd w:val="clear" w:color="000000" w:fill="auto"/>
            </w:pPr>
            <w:r w:rsidRPr="00370B64">
              <w:t>Karin Svensson Smith (mp)</w:t>
            </w:r>
          </w:p>
        </w:tc>
      </w:tr>
      <w:tr w:rsidR="00000000" w:rsidRPr="00370B64">
        <w:trPr>
          <w:cantSplit/>
        </w:trPr>
        <w:tc>
          <w:tcPr>
            <w:tcW w:w="3046" w:type="dxa"/>
          </w:tcPr>
          <w:p w:rsidR="000D4E81" w:rsidRPr="00370B64" w:rsidRDefault="000D4E81">
            <w:pPr>
              <w:pStyle w:val="Underskrifter"/>
              <w:shd w:val="clear" w:color="000000" w:fill="auto"/>
            </w:pPr>
            <w:r w:rsidRPr="00370B64">
              <w:t>Mikaela Valtersson (mp)</w:t>
            </w:r>
          </w:p>
        </w:tc>
        <w:tc>
          <w:tcPr>
            <w:tcW w:w="3046" w:type="dxa"/>
          </w:tcPr>
          <w:p w:rsidR="000D4E81" w:rsidRPr="00370B64" w:rsidRDefault="000D4E81">
            <w:pPr>
              <w:pStyle w:val="Underskrifter"/>
              <w:shd w:val="clear" w:color="000000" w:fill="auto"/>
            </w:pPr>
            <w:r w:rsidRPr="00370B64">
              <w:t>Christopher Ödmann (mp)</w:t>
            </w:r>
          </w:p>
        </w:tc>
      </w:tr>
    </w:tbl>
    <w:p w:rsidR="000D4E81" w:rsidRPr="00370B64" w:rsidRDefault="000D4E81">
      <w:pPr>
        <w:pStyle w:val="Normaltindrag"/>
        <w:shd w:val="clear" w:color="000000" w:fill="auto"/>
      </w:pPr>
    </w:p>
    <w:sectPr w:rsidR="000D4E81" w:rsidRPr="00370B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4E81" w:rsidRPr="00370B64" w:rsidRDefault="000D4E81">
      <w:r w:rsidRPr="00370B64">
        <w:separator/>
      </w:r>
    </w:p>
  </w:endnote>
  <w:endnote w:type="continuationSeparator" w:id="0">
    <w:p w:rsidR="000D4E81" w:rsidRPr="00370B64" w:rsidRDefault="000D4E81">
      <w:r w:rsidRPr="00370B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E81" w:rsidRPr="00370B64" w:rsidRDefault="00370B64">
    <w:pPr>
      <w:pStyle w:val="Sidfot"/>
    </w:pPr>
    <w:r w:rsidRPr="00370B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8048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E81" w:rsidRDefault="000D4E81">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4E81" w:rsidRDefault="000D4E81">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E81" w:rsidRPr="00370B64" w:rsidRDefault="00370B64">
    <w:pPr>
      <w:pStyle w:val="Sidfot"/>
    </w:pPr>
    <w:r w:rsidRPr="00370B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821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E81" w:rsidRDefault="000D4E81">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4E81" w:rsidRDefault="000D4E81">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E81" w:rsidRPr="00370B64" w:rsidRDefault="00370B64">
    <w:pPr>
      <w:pStyle w:val="Sidfot"/>
    </w:pPr>
    <w:r w:rsidRPr="00370B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964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E81" w:rsidRDefault="000D4E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4E81" w:rsidRDefault="000D4E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4E81" w:rsidRPr="00370B64" w:rsidRDefault="000D4E81"/>
  </w:footnote>
  <w:footnote w:type="continuationSeparator" w:id="0">
    <w:p w:rsidR="000D4E81" w:rsidRPr="00370B64" w:rsidRDefault="000D4E81">
      <w:r w:rsidRPr="00370B64">
        <w:continuationSeparator/>
      </w:r>
    </w:p>
  </w:footnote>
  <w:footnote w:id="1">
    <w:p w:rsidR="000D4E81" w:rsidRPr="00370B64" w:rsidRDefault="000D4E81">
      <w:pPr>
        <w:pStyle w:val="Fotnotstext"/>
        <w:rPr>
          <w:sz w:val="16"/>
          <w:szCs w:val="16"/>
        </w:rPr>
      </w:pPr>
      <w:r w:rsidRPr="00370B64">
        <w:rPr>
          <w:rStyle w:val="Fotnotsreferens"/>
          <w:sz w:val="16"/>
          <w:szCs w:val="16"/>
        </w:rPr>
        <w:footnoteRef/>
      </w:r>
      <w:r w:rsidRPr="00370B64">
        <w:rPr>
          <w:sz w:val="16"/>
          <w:szCs w:val="16"/>
        </w:rPr>
        <w:t xml:space="preserve"> Se prop. 2004/05:45 En ny sexualbrottslagstiftning.</w:t>
      </w:r>
    </w:p>
  </w:footnote>
  <w:footnote w:id="2">
    <w:p w:rsidR="000D4E81" w:rsidRPr="00370B64" w:rsidRDefault="000D4E81">
      <w:pPr>
        <w:pStyle w:val="Fotnotstext"/>
        <w:spacing w:before="0" w:line="200" w:lineRule="atLeast"/>
        <w:rPr>
          <w:sz w:val="16"/>
          <w:szCs w:val="16"/>
        </w:rPr>
      </w:pPr>
      <w:r w:rsidRPr="00370B64">
        <w:rPr>
          <w:rStyle w:val="Fotnotsreferens"/>
          <w:sz w:val="16"/>
          <w:szCs w:val="16"/>
        </w:rPr>
        <w:footnoteRef/>
      </w:r>
      <w:r w:rsidRPr="00370B64">
        <w:rPr>
          <w:sz w:val="16"/>
          <w:szCs w:val="16"/>
        </w:rPr>
        <w:t xml:space="preserve"> Se Samtyckesutredningen – lagskydd för den sexuella integriteten, s. </w:t>
      </w:r>
      <w:smartTag w:uri="urn:schemas-microsoft-com:office:smarttags" w:element="metricconverter">
        <w:smartTagPr>
          <w:attr w:name="ProductID" w:val="44 f"/>
        </w:smartTagPr>
        <w:r w:rsidRPr="00370B64">
          <w:rPr>
            <w:sz w:val="16"/>
            <w:szCs w:val="16"/>
          </w:rPr>
          <w:t>44 f</w:t>
        </w:r>
      </w:smartTag>
      <w:r w:rsidRPr="00370B64">
        <w:rPr>
          <w:sz w:val="16"/>
          <w:szCs w:val="16"/>
        </w:rPr>
        <w:t>.</w:t>
      </w:r>
    </w:p>
  </w:footnote>
  <w:footnote w:id="3">
    <w:p w:rsidR="000D4E81" w:rsidRPr="00370B64" w:rsidRDefault="000D4E81">
      <w:pPr>
        <w:pStyle w:val="Fotnotstext"/>
        <w:spacing w:before="0" w:line="200" w:lineRule="atLeast"/>
        <w:rPr>
          <w:sz w:val="16"/>
          <w:szCs w:val="16"/>
        </w:rPr>
      </w:pPr>
      <w:r w:rsidRPr="00370B64">
        <w:rPr>
          <w:rStyle w:val="Fotnotsreferens"/>
          <w:sz w:val="16"/>
          <w:szCs w:val="16"/>
        </w:rPr>
        <w:footnoteRef/>
      </w:r>
      <w:r w:rsidRPr="00370B64">
        <w:rPr>
          <w:sz w:val="16"/>
          <w:szCs w:val="16"/>
        </w:rPr>
        <w:t xml:space="preserve"> Se Brottsförebyggande rådets rapport 2008:13 Våldtäkt mot personer 15 år eller äldre, </w:t>
      </w:r>
    </w:p>
    <w:p w:rsidR="000D4E81" w:rsidRPr="00370B64" w:rsidRDefault="000D4E81">
      <w:pPr>
        <w:pStyle w:val="Fotnotstext"/>
        <w:spacing w:before="0" w:line="200" w:lineRule="atLeast"/>
        <w:rPr>
          <w:sz w:val="16"/>
          <w:szCs w:val="16"/>
        </w:rPr>
      </w:pPr>
      <w:r w:rsidRPr="00370B64">
        <w:rPr>
          <w:sz w:val="16"/>
          <w:szCs w:val="16"/>
        </w:rPr>
        <w:t xml:space="preserve">s. </w:t>
      </w:r>
      <w:smartTag w:uri="urn:schemas-microsoft-com:office:smarttags" w:element="metricconverter">
        <w:smartTagPr>
          <w:attr w:name="ProductID" w:val="42 f"/>
        </w:smartTagPr>
        <w:r w:rsidRPr="00370B64">
          <w:rPr>
            <w:sz w:val="16"/>
            <w:szCs w:val="16"/>
          </w:rPr>
          <w:t>42 f</w:t>
        </w:r>
      </w:smartTag>
      <w:r w:rsidRPr="00370B64">
        <w:rPr>
          <w:sz w:val="16"/>
          <w:szCs w:val="16"/>
        </w:rPr>
        <w:t>.</w:t>
      </w:r>
    </w:p>
  </w:footnote>
  <w:footnote w:id="4">
    <w:p w:rsidR="000D4E81" w:rsidRPr="00370B64" w:rsidRDefault="000D4E81">
      <w:pPr>
        <w:pStyle w:val="Fotnotstext"/>
        <w:spacing w:before="0" w:line="200" w:lineRule="atLeast"/>
      </w:pPr>
      <w:r w:rsidRPr="00370B64">
        <w:rPr>
          <w:rStyle w:val="Fotnotsreferens"/>
          <w:sz w:val="16"/>
          <w:szCs w:val="16"/>
        </w:rPr>
        <w:footnoteRef/>
      </w:r>
      <w:r w:rsidRPr="00370B64">
        <w:rPr>
          <w:sz w:val="16"/>
          <w:szCs w:val="16"/>
        </w:rPr>
        <w:t xml:space="preserve"> Se partimotionen Ett jämställt samhälle 2007/08:A402.</w:t>
      </w:r>
      <w:r w:rsidRPr="00370B64">
        <w:t xml:space="preserve"> </w:t>
      </w:r>
    </w:p>
  </w:footnote>
  <w:footnote w:id="5">
    <w:p w:rsidR="000D4E81" w:rsidRPr="00370B64" w:rsidRDefault="000D4E81">
      <w:pPr>
        <w:pStyle w:val="Fotnotstext"/>
        <w:rPr>
          <w:sz w:val="16"/>
          <w:szCs w:val="16"/>
        </w:rPr>
      </w:pPr>
      <w:r w:rsidRPr="00370B64">
        <w:rPr>
          <w:rStyle w:val="Fotnotsreferens"/>
          <w:sz w:val="16"/>
          <w:szCs w:val="16"/>
        </w:rPr>
        <w:footnoteRef/>
      </w:r>
      <w:r w:rsidRPr="00370B64">
        <w:rPr>
          <w:sz w:val="16"/>
          <w:szCs w:val="16"/>
        </w:rPr>
        <w:t xml:space="preserve"> Se SOU 2001:25, Skattetillägg m.m., s. 172 och 232.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E81" w:rsidRPr="00370B64" w:rsidRDefault="00370B64">
    <w:pPr>
      <w:pStyle w:val="Sidhuvud"/>
    </w:pPr>
    <w:r w:rsidRPr="00370B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5319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E81" w:rsidRDefault="000D4E8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4E81" w:rsidRDefault="000D4E8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E81" w:rsidRPr="00370B64" w:rsidRDefault="00370B64">
    <w:pPr>
      <w:pStyle w:val="Sidhuvud"/>
    </w:pPr>
    <w:r w:rsidRPr="00370B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4589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E81" w:rsidRDefault="000D4E8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4E81" w:rsidRDefault="000D4E8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E81" w:rsidRPr="00370B64" w:rsidRDefault="000D4E81">
    <w:pPr>
      <w:pStyle w:val="FSHNormal"/>
      <w:tabs>
        <w:tab w:val="right" w:pos="5840"/>
      </w:tabs>
    </w:pPr>
    <w:r w:rsidRPr="00370B64">
      <w:br/>
    </w:r>
    <w:r w:rsidRPr="00370B64">
      <w:fldChar w:fldCharType="begin" w:fldLock="1"/>
    </w:r>
    <w:r w:rsidRPr="00370B64">
      <w:instrText xml:space="preserve"> DOCPROPERTY</w:instrText>
    </w:r>
    <w:r w:rsidRPr="00370B64">
      <w:rPr>
        <w:sz w:val="18"/>
      </w:rPr>
      <w:instrText xml:space="preserve"> "YearUser" *\charformat </w:instrText>
    </w:r>
    <w:r w:rsidRPr="00370B64">
      <w:fldChar w:fldCharType="separate"/>
    </w:r>
    <w:r w:rsidRPr="00370B64">
      <w:t>2008/09</w:t>
    </w:r>
    <w:r w:rsidRPr="00370B64">
      <w:fldChar w:fldCharType="end"/>
    </w:r>
    <w:r w:rsidRPr="00370B64">
      <w:t xml:space="preserve"> </w:t>
    </w:r>
    <w:r w:rsidRPr="00370B64">
      <w:tab/>
      <w:t xml:space="preserve">mnr: </w:t>
    </w:r>
    <w:r w:rsidRPr="00370B64">
      <w:fldChar w:fldCharType="begin" w:fldLock="1"/>
    </w:r>
    <w:r w:rsidRPr="00370B64">
      <w:instrText xml:space="preserve"> DOCPROPERTY</w:instrText>
    </w:r>
    <w:r w:rsidRPr="00370B64">
      <w:rPr>
        <w:sz w:val="18"/>
      </w:rPr>
      <w:instrText xml:space="preserve"> "Motionsnummer" *\charformat </w:instrText>
    </w:r>
    <w:r w:rsidRPr="00370B64">
      <w:fldChar w:fldCharType="separate"/>
    </w:r>
    <w:r w:rsidRPr="00370B64">
      <w:t>Ju426</w:t>
    </w:r>
    <w:r w:rsidRPr="00370B64">
      <w:fldChar w:fldCharType="end"/>
    </w:r>
    <w:r w:rsidRPr="00370B64">
      <w:br/>
    </w:r>
    <w:r w:rsidRPr="00370B64">
      <w:fldChar w:fldCharType="begin" w:fldLock="1"/>
    </w:r>
    <w:r w:rsidRPr="00370B64">
      <w:instrText xml:space="preserve"> DOCPROPERTY</w:instrText>
    </w:r>
    <w:r w:rsidRPr="00370B64">
      <w:rPr>
        <w:sz w:val="18"/>
      </w:rPr>
      <w:instrText xml:space="preserve"> "Samling" *\charformat </w:instrText>
    </w:r>
    <w:r w:rsidRPr="00370B64">
      <w:fldChar w:fldCharType="end"/>
    </w:r>
    <w:r w:rsidRPr="00370B64">
      <w:tab/>
      <w:t xml:space="preserve">pnr: </w:t>
    </w:r>
    <w:r w:rsidRPr="00370B64">
      <w:fldChar w:fldCharType="begin" w:fldLock="1"/>
    </w:r>
    <w:r w:rsidRPr="00370B64">
      <w:instrText xml:space="preserve"> DOCPROPERTY</w:instrText>
    </w:r>
    <w:r w:rsidRPr="00370B64">
      <w:rPr>
        <w:sz w:val="18"/>
      </w:rPr>
      <w:instrText xml:space="preserve"> "Partinummer" *\charformat </w:instrText>
    </w:r>
    <w:r w:rsidRPr="00370B64">
      <w:fldChar w:fldCharType="separate"/>
    </w:r>
    <w:r w:rsidRPr="00370B64">
      <w:t>mp606</w:t>
    </w:r>
    <w:r w:rsidRPr="00370B64">
      <w:fldChar w:fldCharType="end"/>
    </w:r>
  </w:p>
  <w:p w:rsidR="000D4E81" w:rsidRPr="00370B64" w:rsidRDefault="000D4E81">
    <w:pPr>
      <w:pStyle w:val="FSHRub1"/>
    </w:pPr>
    <w:r w:rsidRPr="00370B64">
      <w:t>Motion till riksdagen</w:t>
    </w:r>
    <w:r w:rsidRPr="00370B64">
      <w:br/>
    </w:r>
    <w:r w:rsidRPr="00370B64">
      <w:fldChar w:fldCharType="begin" w:fldLock="1"/>
    </w:r>
    <w:r w:rsidRPr="00370B64">
      <w:instrText xml:space="preserve"> DOCPROPERTY "YearUser" *\charformat </w:instrText>
    </w:r>
    <w:r w:rsidRPr="00370B64">
      <w:fldChar w:fldCharType="separate"/>
    </w:r>
    <w:r w:rsidRPr="00370B64">
      <w:t>2008/09</w:t>
    </w:r>
    <w:r w:rsidRPr="00370B64">
      <w:fldChar w:fldCharType="end"/>
    </w:r>
    <w:r w:rsidRPr="00370B64">
      <w:t>:</w:t>
    </w:r>
    <w:r w:rsidRPr="00370B64">
      <w:fldChar w:fldCharType="begin" w:fldLock="1"/>
    </w:r>
    <w:r w:rsidRPr="00370B64">
      <w:instrText xml:space="preserve"> DOCPROPERTY "Motionsnummer" *\charformat </w:instrText>
    </w:r>
    <w:r w:rsidRPr="00370B64">
      <w:fldChar w:fldCharType="separate"/>
    </w:r>
    <w:r w:rsidRPr="00370B64">
      <w:t>Ju426</w:t>
    </w:r>
    <w:r w:rsidRPr="00370B64">
      <w:fldChar w:fldCharType="end"/>
    </w:r>
  </w:p>
  <w:p w:rsidR="000D4E81" w:rsidRPr="00370B64" w:rsidRDefault="000D4E81">
    <w:pPr>
      <w:pStyle w:val="FSHNormalS5"/>
    </w:pPr>
    <w:r w:rsidRPr="00370B64">
      <w:fldChar w:fldCharType="begin" w:fldLock="1"/>
    </w:r>
    <w:r w:rsidRPr="00370B64">
      <w:instrText xml:space="preserve"> DOCPROPERTY "MotionarText" *\charformat </w:instrText>
    </w:r>
    <w:r w:rsidRPr="00370B64">
      <w:fldChar w:fldCharType="separate"/>
    </w:r>
    <w:r w:rsidRPr="00370B64">
      <w:t>av Peter Eriksson m.fl. (mp)</w:t>
    </w:r>
    <w:r w:rsidRPr="00370B64">
      <w:fldChar w:fldCharType="end"/>
    </w:r>
    <w:r w:rsidRPr="00370B64">
      <w:br/>
    </w:r>
    <w:r w:rsidRPr="00370B64">
      <w:fldChar w:fldCharType="begin" w:fldLock="1"/>
    </w:r>
    <w:r w:rsidRPr="00370B64">
      <w:instrText xml:space="preserve"> DOCPROPERTY "SvarFrasKort" *\charformat </w:instrText>
    </w:r>
    <w:r w:rsidRPr="00370B64">
      <w:fldChar w:fldCharType="end"/>
    </w:r>
  </w:p>
  <w:p w:rsidR="000D4E81" w:rsidRPr="00370B64" w:rsidRDefault="000D4E81">
    <w:pPr>
      <w:pStyle w:val="FSHTitel"/>
    </w:pPr>
    <w:r w:rsidRPr="00370B64">
      <w:fldChar w:fldCharType="begin" w:fldLock="1"/>
    </w:r>
    <w:r w:rsidRPr="00370B64">
      <w:instrText xml:space="preserve"> DOCPROPERTY</w:instrText>
    </w:r>
    <w:r w:rsidRPr="00370B64">
      <w:rPr>
        <w:sz w:val="18"/>
      </w:rPr>
      <w:instrText xml:space="preserve"> "RubrikSvar" *\charformat </w:instrText>
    </w:r>
    <w:r w:rsidRPr="00370B64">
      <w:fldChar w:fldCharType="separate"/>
    </w:r>
    <w:r w:rsidRPr="00370B64">
      <w:t>Införande av samtyckeskravet</w:t>
    </w:r>
    <w:r w:rsidRPr="00370B64">
      <w:fldChar w:fldCharType="end"/>
    </w:r>
  </w:p>
  <w:p w:rsidR="000D4E81" w:rsidRPr="00370B64" w:rsidRDefault="000D4E81">
    <w:pPr>
      <w:pStyle w:val="Normal00"/>
    </w:pPr>
  </w:p>
  <w:p w:rsidR="000D4E81" w:rsidRPr="00370B64" w:rsidRDefault="000D4E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77474"/>
    <w:multiLevelType w:val="multilevel"/>
    <w:tmpl w:val="C346DC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AEE72FE"/>
    <w:multiLevelType w:val="multilevel"/>
    <w:tmpl w:val="A1A6F73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18C4F60"/>
    <w:multiLevelType w:val="multilevel"/>
    <w:tmpl w:val="17B269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4E67EA"/>
    <w:multiLevelType w:val="multilevel"/>
    <w:tmpl w:val="8DBA80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C4D5F4C"/>
    <w:multiLevelType w:val="hybridMultilevel"/>
    <w:tmpl w:val="433E35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6B20338"/>
    <w:multiLevelType w:val="multilevel"/>
    <w:tmpl w:val="656407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72407882">
    <w:abstractNumId w:val="8"/>
  </w:num>
  <w:num w:numId="2" w16cid:durableId="1669750768">
    <w:abstractNumId w:val="9"/>
  </w:num>
  <w:num w:numId="3" w16cid:durableId="1300920077">
    <w:abstractNumId w:val="8"/>
  </w:num>
  <w:num w:numId="4" w16cid:durableId="95906745">
    <w:abstractNumId w:val="9"/>
  </w:num>
  <w:num w:numId="5" w16cid:durableId="1742484703">
    <w:abstractNumId w:val="18"/>
  </w:num>
  <w:num w:numId="6" w16cid:durableId="2111192937">
    <w:abstractNumId w:val="11"/>
  </w:num>
  <w:num w:numId="7" w16cid:durableId="1540782333">
    <w:abstractNumId w:val="13"/>
  </w:num>
  <w:num w:numId="8" w16cid:durableId="1346862660">
    <w:abstractNumId w:val="16"/>
  </w:num>
  <w:num w:numId="9" w16cid:durableId="1314024674">
    <w:abstractNumId w:val="8"/>
  </w:num>
  <w:num w:numId="10" w16cid:durableId="1811701985">
    <w:abstractNumId w:val="3"/>
  </w:num>
  <w:num w:numId="11" w16cid:durableId="1723940556">
    <w:abstractNumId w:val="2"/>
  </w:num>
  <w:num w:numId="12" w16cid:durableId="1710304884">
    <w:abstractNumId w:val="1"/>
  </w:num>
  <w:num w:numId="13" w16cid:durableId="1390415893">
    <w:abstractNumId w:val="0"/>
  </w:num>
  <w:num w:numId="14" w16cid:durableId="865757436">
    <w:abstractNumId w:val="9"/>
  </w:num>
  <w:num w:numId="15" w16cid:durableId="1722635941">
    <w:abstractNumId w:val="7"/>
  </w:num>
  <w:num w:numId="16" w16cid:durableId="944576351">
    <w:abstractNumId w:val="6"/>
  </w:num>
  <w:num w:numId="17" w16cid:durableId="1296258544">
    <w:abstractNumId w:val="5"/>
  </w:num>
  <w:num w:numId="18" w16cid:durableId="388042044">
    <w:abstractNumId w:val="4"/>
  </w:num>
  <w:num w:numId="19" w16cid:durableId="1530416449">
    <w:abstractNumId w:val="17"/>
  </w:num>
  <w:num w:numId="20" w16cid:durableId="1770345145">
    <w:abstractNumId w:val="10"/>
  </w:num>
  <w:num w:numId="21" w16cid:durableId="1520387231">
    <w:abstractNumId w:val="19"/>
  </w:num>
  <w:num w:numId="22" w16cid:durableId="1353799356">
    <w:abstractNumId w:val="14"/>
  </w:num>
  <w:num w:numId="23" w16cid:durableId="646977770">
    <w:abstractNumId w:val="14"/>
    <w:lvlOverride w:ilvl="0">
      <w:startOverride w:val="7"/>
    </w:lvlOverride>
  </w:num>
  <w:num w:numId="24" w16cid:durableId="4358131">
    <w:abstractNumId w:val="15"/>
  </w:num>
  <w:num w:numId="25" w16cid:durableId="1874296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0CDB567F-E43C-4889-9FA5-1291966678FD},{8022D127-CE9D-46CB-B553-D28767AFBAA9},{118C048D-818B-4EE9-99AD-DE1F328BC164},{67E77369-3EE3-448A-A205-B9E0C4AF5EC8},{891F8238-7272-4195-A81B-8E357071C4D2},{44E1179A-EAF6-4300-B094-8294DC01CCC9},{18C74A2A-AE65-4127-9CEA-CFF157E3C4FA},{89ABCACB-191A-460E-9D0D-F493EEE6F9F1},{DA08321F-F0BC-4060-A586-E39C9BA97177},{756F1CB3-4A6F-49DB-ACE4-BF700CEB9665},{EC49A5C4-EF8B-4128-8058-67D1E519C3AA},{C87839E7-C05D-47B9-AB7F-246B82B1F61B},{678A9254-59ED-452D-AB16-7DA16C224668},{0F87DCE8-E845-4A82-8576-72C9B4F36723},{B40CF4CF-E74B-4017-8D58-93B738EC5F6D},{B81B8A0A-08CE-44CC-9E69-32C06335E529},{56D06B6F-3AC6-4A0C-8BA9-48CDB569EBA6},{7C31CD86-53C7-4E1C-A073-157C1FC7DBDC},{5A165EE7-E029-4B68-908C-9B423A53C354}"/>
  </w:docVars>
  <w:rsids>
    <w:rsidRoot w:val="00574F02"/>
    <w:rsid w:val="000D4E81"/>
    <w:rsid w:val="00370B64"/>
    <w:rsid w:val="00574F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1B9EF17-159C-4AF2-A329-B23329F6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link w:val="HemstlrubrikChar"/>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HemstlrubrikChar">
    <w:name w:val="Hemstl_rubrik Char"/>
    <w:basedOn w:val="Rubrik1Char"/>
    <w:link w:val="Hemstlrubrik"/>
    <w:rPr>
      <w:b/>
      <w:sz w:val="32"/>
      <w:lang w:val="sv-SE" w:eastAsia="sv-SE" w:bidi="ar-SA"/>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2849</Words>
  <Characters>16073</Characters>
  <Application>Microsoft Office Word</Application>
  <DocSecurity>4</DocSecurity>
  <Lines>373</Lines>
  <Paragraphs>119</Paragraphs>
  <ScaleCrop>false</ScaleCrop>
  <HeadingPairs>
    <vt:vector size="2" baseType="variant">
      <vt:variant>
        <vt:lpstr>Rubrik</vt:lpstr>
      </vt:variant>
      <vt:variant>
        <vt:i4>1</vt:i4>
      </vt:variant>
    </vt:vector>
  </HeadingPairs>
  <TitlesOfParts>
    <vt:vector size="1" baseType="lpstr">
      <vt:lpstr>mp606</vt:lpstr>
    </vt:vector>
  </TitlesOfParts>
  <Company>Riksdagen</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mp606</dc:title>
  <dc:subject>mp606</dc:subject>
  <dc:creator>Riksdagen</dc:creator>
  <cp:keywords>Riksdagen</cp:keywords>
  <dc:description>TKG-ktrl, MSMQ4mb, PersReg-Distribution mm b-&gt;ny fplogga c-&gt;nygamla s-rosen</dc:description>
  <cp:lastModifiedBy>Lars Brink</cp:lastModifiedBy>
  <cp:revision>2</cp:revision>
  <cp:lastPrinted>2009-02-19T11:39:00Z</cp:lastPrinted>
  <dcterms:created xsi:type="dcterms:W3CDTF">2025-12-17T16:16:00Z</dcterms:created>
  <dcterms:modified xsi:type="dcterms:W3CDTF">2025-12-17T16:16:00Z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Införande av samtyckeskravet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samtyckeskravet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mp606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(mp)\Wetterstrand, Maria (mp)\Kaplan, Mehmet (mp)\Dingizian, Esabelle (mp)\Andersson, Max (mp)\Ceballos, Bodil (mp)\Ehn, Tina (mp)\Ericson, Gunvor G (mp)\Holm, Ulf (mp)\Johansson, Mikael (mp)\Leander, Helena (mp)\Lindholm, Jan (mp)\</vt:lpwstr>
  </property>
  <property fmtid="{D5CDD505-2E9C-101B-9397-08002B2CF9AE}" pid="27" name="MotionarLista1">
    <vt:lpwstr>Nihlén, Thomas (mp)\Pertoft, Mats (mp)\Rahm, Lage (mp)\Rådberg, Peter (mp)\Svensson Smith, Karin (mp)\Valtersson, Mikaela (mp)\Ödmann, Christopher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Mehmet Kaplan (mp), Esabelle Dingizian (mp), Max Andersson (mp), Bodil Ceballos (mp), Tina Ehn (mp), Gunvor G Ericson (mp), Ulf Holm (mp), Mikael Johansson (mp), Helena Leander (mp), Jan Lindholm (mp), Thomas </vt:lpwstr>
  </property>
  <property fmtid="{D5CDD505-2E9C-101B-9397-08002B2CF9AE}" pid="31" name="MotionarLotus1">
    <vt:lpwstr>Nihlén (mp), Mats Pertoft (mp), Lage Rahm (mp), Peter Rådberg (mp), Karin Svensson Smith (mp), Mikaela Valtersson (mp), Christopher Ödmann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20082009000001090112000006060080</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20082009000001090112000006060080</vt:lpwstr>
  </property>
  <property fmtid="{D5CDD505-2E9C-101B-9397-08002B2CF9AE}" pid="50" name="nummer">
    <vt:lpwstr>426</vt:lpwstr>
  </property>
  <property fmtid="{D5CDD505-2E9C-101B-9397-08002B2CF9AE}" pid="51" name="utskottsbeteckning">
    <vt:lpwstr>Ju</vt:lpwstr>
  </property>
  <property fmtid="{D5CDD505-2E9C-101B-9397-08002B2CF9AE}" pid="52" name="GlobalUID">
    <vt:lpwstr>{97DC1D44-1623-43F9-BE97-044DADC301C0}</vt:lpwstr>
  </property>
  <property fmtid="{D5CDD505-2E9C-101B-9397-08002B2CF9AE}" pid="53" name="Överföringar">
    <vt:i4>0</vt:i4>
  </property>
  <property fmtid="{D5CDD505-2E9C-101B-9397-08002B2CF9AE}" pid="54" name="Checksum">
    <vt:lpwstr>*1003531035618*</vt:lpwstr>
  </property>
  <property fmtid="{D5CDD505-2E9C-101B-9397-08002B2CF9AE}" pid="55" name="skuggnummer">
    <vt:lpwstr>3061</vt:lpwstr>
  </property>
  <property fmtid="{D5CDD505-2E9C-101B-9397-08002B2CF9AE}" pid="56" name="urixVersion">
    <vt:lpwstr>3.2.0.8</vt:lpwstr>
  </property>
  <property fmtid="{D5CDD505-2E9C-101B-9397-08002B2CF9AE}" pid="57" name="urixOrigin">
    <vt:lpwstr>090402 17:56:20.028</vt:lpwstr>
  </property>
  <property fmtid="{D5CDD505-2E9C-101B-9397-08002B2CF9AE}" pid="58" name="urixGuid">
    <vt:lpwstr>{54E7B091-83C1-4FBD-B87B-8E188ACA923E}</vt:lpwstr>
  </property>
</Properties>
</file>