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571B9" w14:textId="77777777" w:rsidR="00B90D3E" w:rsidRDefault="00B90D3E" w:rsidP="00B90D3E">
      <w:pPr>
        <w:pStyle w:val="UDrubrik"/>
        <w:tabs>
          <w:tab w:val="left" w:pos="1701"/>
          <w:tab w:val="left" w:pos="1985"/>
        </w:tabs>
        <w:rPr>
          <w:rFonts w:cs="Arial"/>
          <w:sz w:val="28"/>
        </w:rPr>
      </w:pPr>
      <w:bookmarkStart w:id="0" w:name="_GoBack"/>
      <w:bookmarkEnd w:id="0"/>
    </w:p>
    <w:p w14:paraId="061571BA" w14:textId="77777777" w:rsidR="00B90D3E" w:rsidRDefault="00B90D3E" w:rsidP="00B90D3E">
      <w:pPr>
        <w:pStyle w:val="UDrubrik"/>
        <w:tabs>
          <w:tab w:val="left" w:pos="1701"/>
          <w:tab w:val="left" w:pos="1985"/>
        </w:tabs>
        <w:rPr>
          <w:rFonts w:cs="Arial"/>
          <w:sz w:val="28"/>
        </w:rPr>
      </w:pPr>
    </w:p>
    <w:p w14:paraId="061571BB" w14:textId="77777777" w:rsidR="00B90D3E" w:rsidRDefault="00B90D3E" w:rsidP="00B90D3E">
      <w:pPr>
        <w:pStyle w:val="UDrubrik"/>
        <w:tabs>
          <w:tab w:val="left" w:pos="1701"/>
          <w:tab w:val="left" w:pos="1985"/>
        </w:tabs>
        <w:rPr>
          <w:rFonts w:cs="Arial"/>
          <w:sz w:val="28"/>
        </w:rPr>
      </w:pPr>
    </w:p>
    <w:p w14:paraId="061571BC" w14:textId="77777777" w:rsidR="00B90D3E" w:rsidRDefault="00B90D3E" w:rsidP="00B90D3E">
      <w:pPr>
        <w:pStyle w:val="UDrubrik"/>
        <w:tabs>
          <w:tab w:val="left" w:pos="1701"/>
          <w:tab w:val="left" w:pos="1985"/>
        </w:tabs>
        <w:rPr>
          <w:rFonts w:cs="Arial"/>
          <w:sz w:val="28"/>
        </w:rPr>
      </w:pPr>
    </w:p>
    <w:p w14:paraId="061571BD" w14:textId="10819023" w:rsidR="00B90D3E" w:rsidRDefault="001679A9" w:rsidP="00B90D3E">
      <w:pPr>
        <w:pStyle w:val="UDrubrik"/>
        <w:tabs>
          <w:tab w:val="left" w:pos="1701"/>
          <w:tab w:val="left" w:pos="1985"/>
        </w:tabs>
        <w:rPr>
          <w:rFonts w:cs="Arial"/>
          <w:sz w:val="28"/>
        </w:rPr>
      </w:pPr>
      <w:r>
        <w:rPr>
          <w:rFonts w:cs="Arial"/>
          <w:sz w:val="28"/>
        </w:rPr>
        <w:t>I</w:t>
      </w:r>
      <w:r w:rsidR="008B279D">
        <w:rPr>
          <w:rFonts w:cs="Arial"/>
          <w:sz w:val="28"/>
        </w:rPr>
        <w:t xml:space="preserve">-punkt från möte i </w:t>
      </w:r>
      <w:proofErr w:type="spellStart"/>
      <w:r w:rsidR="00E10129">
        <w:rPr>
          <w:rFonts w:cs="Arial"/>
          <w:sz w:val="28"/>
        </w:rPr>
        <w:t>Coreper</w:t>
      </w:r>
      <w:proofErr w:type="spellEnd"/>
      <w:r w:rsidR="00E10129">
        <w:rPr>
          <w:rFonts w:cs="Arial"/>
          <w:sz w:val="28"/>
        </w:rPr>
        <w:t xml:space="preserve"> I</w:t>
      </w:r>
      <w:r>
        <w:rPr>
          <w:rFonts w:cs="Arial"/>
          <w:sz w:val="28"/>
        </w:rPr>
        <w:t>I den 20</w:t>
      </w:r>
      <w:r w:rsidR="00DA1B1D">
        <w:rPr>
          <w:rFonts w:cs="Arial"/>
          <w:sz w:val="28"/>
        </w:rPr>
        <w:t xml:space="preserve"> november 2014,</w:t>
      </w:r>
      <w:r w:rsidR="008B279D">
        <w:rPr>
          <w:rFonts w:cs="Arial"/>
          <w:sz w:val="28"/>
        </w:rPr>
        <w:t xml:space="preserve"> som kan tas som A-punkt vid kommande rådsmöte.</w:t>
      </w:r>
    </w:p>
    <w:p w14:paraId="061571BE" w14:textId="77777777" w:rsidR="00B90D3E" w:rsidRDefault="00B90D3E" w:rsidP="00B90D3E">
      <w:pPr>
        <w:pStyle w:val="Brdtext"/>
      </w:pPr>
    </w:p>
    <w:p w14:paraId="061571BF" w14:textId="573A3E32" w:rsidR="00B90D3E" w:rsidRDefault="00E10129" w:rsidP="00B90D3E">
      <w:pPr>
        <w:pStyle w:val="Brdtext"/>
      </w:pPr>
      <w:r>
        <w:t xml:space="preserve">Överlämnas för skriftligt samråd till </w:t>
      </w:r>
      <w:r w:rsidR="003E2DDF">
        <w:t>måndagen</w:t>
      </w:r>
      <w:r w:rsidR="00D82B21">
        <w:t xml:space="preserve"> den </w:t>
      </w:r>
      <w:r w:rsidR="001679A9">
        <w:t xml:space="preserve">1 december 2014, </w:t>
      </w:r>
      <w:proofErr w:type="spellStart"/>
      <w:r w:rsidR="001679A9">
        <w:t>kl</w:t>
      </w:r>
      <w:proofErr w:type="spellEnd"/>
      <w:r w:rsidR="001679A9">
        <w:t xml:space="preserve"> 08.30</w:t>
      </w:r>
      <w:r w:rsidR="00D82B21">
        <w:t>.</w:t>
      </w:r>
    </w:p>
    <w:p w14:paraId="424165D5" w14:textId="45E879E1" w:rsidR="008B279D" w:rsidRPr="00BA1B43" w:rsidRDefault="00E10129">
      <w:pPr>
        <w:ind w:left="0"/>
        <w:rPr>
          <w:b/>
          <w:bCs/>
        </w:rPr>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1571C1" w14:textId="77777777" w:rsidR="00B90D3E" w:rsidRPr="00FB32B9" w:rsidRDefault="00E10129">
          <w:pPr>
            <w:pStyle w:val="Innehllsfrteckningsrubrik"/>
            <w:rPr>
              <w:color w:val="auto"/>
            </w:rPr>
          </w:pPr>
          <w:proofErr w:type="spellStart"/>
          <w:r w:rsidRPr="00FB32B9">
            <w:rPr>
              <w:color w:val="auto"/>
            </w:rPr>
            <w:t>Innehållsförteckning</w:t>
          </w:r>
          <w:proofErr w:type="spellEnd"/>
        </w:p>
        <w:p w14:paraId="061571C2" w14:textId="77777777" w:rsidR="00B90D3E" w:rsidRPr="00DA7250" w:rsidRDefault="00B90D3E" w:rsidP="00B90D3E">
          <w:pPr>
            <w:rPr>
              <w:lang w:val="en-US" w:eastAsia="ja-JP"/>
            </w:rPr>
          </w:pPr>
        </w:p>
        <w:p w14:paraId="703F4289" w14:textId="77777777" w:rsidR="00BA1B43" w:rsidRDefault="00E10129">
          <w:pPr>
            <w:pStyle w:val="Innehll1"/>
            <w:tabs>
              <w:tab w:val="left" w:pos="405"/>
              <w:tab w:val="right" w:leader="dot" w:pos="9061"/>
            </w:tabs>
            <w:rPr>
              <w:rFonts w:asciiTheme="minorHAnsi" w:eastAsiaTheme="minorEastAsia" w:hAnsiTheme="minorHAnsi" w:cstheme="minorBidi"/>
              <w:noProof/>
              <w:sz w:val="24"/>
              <w:szCs w:val="24"/>
              <w:lang w:eastAsia="ja-JP"/>
            </w:rPr>
          </w:pPr>
          <w:r>
            <w:fldChar w:fldCharType="begin"/>
          </w:r>
          <w:r>
            <w:instrText xml:space="preserve"> TOC \o "1-1" \h \z \u </w:instrText>
          </w:r>
          <w:r>
            <w:fldChar w:fldCharType="separate"/>
          </w:r>
          <w:r w:rsidR="00BA1B43">
            <w:rPr>
              <w:noProof/>
            </w:rPr>
            <w:t>1.</w:t>
          </w:r>
          <w:r w:rsidR="00BA1B43">
            <w:rPr>
              <w:rFonts w:asciiTheme="minorHAnsi" w:eastAsiaTheme="minorEastAsia" w:hAnsiTheme="minorHAnsi" w:cstheme="minorBidi"/>
              <w:noProof/>
              <w:sz w:val="24"/>
              <w:szCs w:val="24"/>
              <w:lang w:eastAsia="ja-JP"/>
            </w:rPr>
            <w:tab/>
          </w:r>
          <w:r w:rsidR="00BA1B43" w:rsidRPr="00E76C12">
            <w:rPr>
              <w:noProof/>
              <w:lang w:val="en-US"/>
            </w:rPr>
            <w:t>Proposal for a Regulation of the European Parliament and of the Council on reporting and transparency of securities financing transactions (First reading); General approach</w:t>
          </w:r>
          <w:r w:rsidR="00BA1B43">
            <w:rPr>
              <w:noProof/>
            </w:rPr>
            <w:tab/>
          </w:r>
          <w:r w:rsidR="00BA1B43">
            <w:rPr>
              <w:noProof/>
            </w:rPr>
            <w:fldChar w:fldCharType="begin"/>
          </w:r>
          <w:r w:rsidR="00BA1B43">
            <w:rPr>
              <w:noProof/>
            </w:rPr>
            <w:instrText xml:space="preserve"> PAGEREF _Toc278826055 \h </w:instrText>
          </w:r>
          <w:r w:rsidR="00BA1B43">
            <w:rPr>
              <w:noProof/>
            </w:rPr>
          </w:r>
          <w:r w:rsidR="00BA1B43">
            <w:rPr>
              <w:noProof/>
            </w:rPr>
            <w:fldChar w:fldCharType="separate"/>
          </w:r>
          <w:r w:rsidR="00BA1B43">
            <w:rPr>
              <w:noProof/>
            </w:rPr>
            <w:t>3</w:t>
          </w:r>
          <w:r w:rsidR="00BA1B43">
            <w:rPr>
              <w:noProof/>
            </w:rPr>
            <w:fldChar w:fldCharType="end"/>
          </w:r>
        </w:p>
        <w:p w14:paraId="061571DF" w14:textId="77777777" w:rsidR="00B90D3E" w:rsidRDefault="00E10129">
          <w:r>
            <w:rPr>
              <w:b/>
              <w:bCs/>
              <w:noProof/>
            </w:rPr>
            <w:fldChar w:fldCharType="end"/>
          </w:r>
        </w:p>
      </w:sdtContent>
    </w:sdt>
    <w:p w14:paraId="061571E0" w14:textId="77777777" w:rsidR="00B90D3E" w:rsidRDefault="00E10129">
      <w:pPr>
        <w:ind w:left="0"/>
      </w:pPr>
      <w:r>
        <w:br w:type="page"/>
      </w:r>
    </w:p>
    <w:p w14:paraId="27F25346" w14:textId="74735BCA" w:rsidR="008B279D" w:rsidRDefault="008B279D" w:rsidP="00B90D3E">
      <w:bookmarkStart w:id="1" w:name="_Toc364854645"/>
    </w:p>
    <w:p w14:paraId="33B488FD" w14:textId="39719D0E" w:rsidR="005F6DDB" w:rsidRPr="009857D1" w:rsidRDefault="00B90D3E" w:rsidP="00230E82">
      <w:pPr>
        <w:pStyle w:val="Rubrik1"/>
        <w:spacing w:line="240" w:lineRule="auto"/>
        <w:ind w:left="426" w:hanging="426"/>
        <w:rPr>
          <w:sz w:val="24"/>
          <w:szCs w:val="24"/>
        </w:rPr>
      </w:pPr>
      <w:bookmarkStart w:id="2" w:name="_Toc278826055"/>
      <w:r w:rsidRPr="009857D1">
        <w:rPr>
          <w:sz w:val="24"/>
          <w:szCs w:val="24"/>
          <w:lang w:val="en-US"/>
        </w:rPr>
        <w:t xml:space="preserve">Proposal for a Regulation of the European Parliament and of the Council on reporting and transparency of securities financing transactions </w:t>
      </w:r>
      <w:r w:rsidRPr="009857D1">
        <w:rPr>
          <w:b w:val="0"/>
          <w:bCs w:val="0"/>
          <w:sz w:val="24"/>
          <w:szCs w:val="24"/>
          <w:lang w:val="en-US"/>
        </w:rPr>
        <w:t>(First reading); General approach</w:t>
      </w:r>
      <w:bookmarkEnd w:id="2"/>
    </w:p>
    <w:p w14:paraId="013CB9D0" w14:textId="77777777" w:rsidR="00B90D3E" w:rsidRPr="009857D1" w:rsidRDefault="00B90D3E" w:rsidP="00B90D3E">
      <w:pPr>
        <w:widowControl w:val="0"/>
        <w:autoSpaceDE w:val="0"/>
        <w:autoSpaceDN w:val="0"/>
        <w:adjustRightInd w:val="0"/>
        <w:spacing w:after="0" w:line="240" w:lineRule="auto"/>
        <w:ind w:left="426"/>
        <w:rPr>
          <w:sz w:val="24"/>
          <w:szCs w:val="24"/>
          <w:lang w:val="en-US"/>
        </w:rPr>
      </w:pPr>
      <w:r w:rsidRPr="009857D1">
        <w:rPr>
          <w:sz w:val="24"/>
          <w:szCs w:val="24"/>
          <w:lang w:val="en-US"/>
        </w:rPr>
        <w:t>15897/14 EF 319 ECOFIN 1071 CODEC 2334</w:t>
      </w:r>
    </w:p>
    <w:p w14:paraId="4CF6ECB1" w14:textId="11B108CD" w:rsidR="00230E82" w:rsidRPr="009857D1" w:rsidRDefault="00B90D3E" w:rsidP="00B90D3E">
      <w:pPr>
        <w:pStyle w:val="RKnormal"/>
        <w:ind w:left="426"/>
        <w:rPr>
          <w:rFonts w:ascii="Times New Roman" w:hAnsi="Times New Roman"/>
          <w:szCs w:val="24"/>
        </w:rPr>
      </w:pPr>
      <w:r w:rsidRPr="009857D1">
        <w:rPr>
          <w:rFonts w:ascii="Times New Roman" w:hAnsi="Times New Roman"/>
          <w:szCs w:val="24"/>
          <w:lang w:val="en-US"/>
        </w:rPr>
        <w:t>15424/14 EF 309 ECOFIN 1043 CODEC 2227</w:t>
      </w:r>
    </w:p>
    <w:p w14:paraId="0F22BDBA" w14:textId="77777777" w:rsidR="00B90D3E" w:rsidRDefault="00B90D3E" w:rsidP="00230E82">
      <w:pPr>
        <w:ind w:left="426"/>
        <w:rPr>
          <w:b/>
          <w:sz w:val="24"/>
          <w:szCs w:val="24"/>
        </w:rPr>
      </w:pPr>
    </w:p>
    <w:p w14:paraId="20A6ECA3" w14:textId="3D1ADEA3" w:rsidR="00230E82" w:rsidRPr="009857D1" w:rsidRDefault="00230E82" w:rsidP="009857D1">
      <w:pPr>
        <w:ind w:left="426"/>
        <w:rPr>
          <w:sz w:val="24"/>
          <w:szCs w:val="24"/>
        </w:rPr>
      </w:pPr>
      <w:r w:rsidRPr="004B5AF9">
        <w:rPr>
          <w:b/>
          <w:sz w:val="24"/>
          <w:szCs w:val="24"/>
        </w:rPr>
        <w:t>Ansvarigt statsråd</w:t>
      </w:r>
      <w:r w:rsidR="009857D1">
        <w:rPr>
          <w:sz w:val="24"/>
          <w:szCs w:val="24"/>
        </w:rPr>
        <w:t>: Per Bolund</w:t>
      </w:r>
    </w:p>
    <w:p w14:paraId="5EDF88E8" w14:textId="4ADBEABB" w:rsidR="00230E82" w:rsidRDefault="00230E82" w:rsidP="009857D1">
      <w:pPr>
        <w:pStyle w:val="RKnormal"/>
        <w:ind w:left="426"/>
        <w:rPr>
          <w:rFonts w:ascii="Times New Roman" w:hAnsi="Times New Roman"/>
          <w:szCs w:val="24"/>
        </w:rPr>
      </w:pPr>
      <w:r w:rsidRPr="004B5AF9">
        <w:rPr>
          <w:rFonts w:ascii="Times New Roman" w:hAnsi="Times New Roman"/>
          <w:b/>
          <w:szCs w:val="24"/>
        </w:rPr>
        <w:t xml:space="preserve">Tidigare behandling i riksdagen: </w:t>
      </w:r>
      <w:r w:rsidRPr="004B5AF9">
        <w:rPr>
          <w:rFonts w:ascii="Times New Roman" w:hAnsi="Times New Roman"/>
          <w:szCs w:val="24"/>
        </w:rPr>
        <w:t>Överläggning har senast skett</w:t>
      </w:r>
      <w:r w:rsidR="004B5AF9">
        <w:rPr>
          <w:rFonts w:ascii="Times New Roman" w:hAnsi="Times New Roman"/>
          <w:szCs w:val="24"/>
        </w:rPr>
        <w:t xml:space="preserve"> med Finansutskottet den 21 oktober</w:t>
      </w:r>
      <w:r w:rsidRPr="004B5AF9">
        <w:rPr>
          <w:rFonts w:ascii="Times New Roman" w:hAnsi="Times New Roman"/>
          <w:szCs w:val="24"/>
        </w:rPr>
        <w:t xml:space="preserve"> 2014.</w:t>
      </w:r>
    </w:p>
    <w:p w14:paraId="71C8E7C4" w14:textId="77777777" w:rsidR="009857D1" w:rsidRDefault="009857D1" w:rsidP="009857D1">
      <w:pPr>
        <w:pStyle w:val="RKnormal"/>
        <w:ind w:left="426"/>
        <w:rPr>
          <w:rFonts w:ascii="Times New Roman" w:hAnsi="Times New Roman"/>
          <w:szCs w:val="24"/>
        </w:rPr>
      </w:pPr>
    </w:p>
    <w:p w14:paraId="43703041" w14:textId="77777777" w:rsidR="009857D1" w:rsidRPr="009857D1" w:rsidRDefault="009857D1" w:rsidP="009857D1">
      <w:pPr>
        <w:pStyle w:val="RKnormal"/>
        <w:ind w:left="426"/>
        <w:rPr>
          <w:rFonts w:ascii="Times New Roman" w:hAnsi="Times New Roman"/>
          <w:szCs w:val="24"/>
        </w:rPr>
      </w:pPr>
    </w:p>
    <w:p w14:paraId="33892F68" w14:textId="2C2C03D5" w:rsidR="00C34727" w:rsidRPr="004B5AF9" w:rsidRDefault="00C34727" w:rsidP="00230E82">
      <w:pPr>
        <w:tabs>
          <w:tab w:val="left" w:pos="2835"/>
        </w:tabs>
        <w:spacing w:line="240" w:lineRule="atLeast"/>
        <w:ind w:left="426"/>
        <w:rPr>
          <w:sz w:val="24"/>
          <w:szCs w:val="24"/>
        </w:rPr>
      </w:pPr>
      <w:r w:rsidRPr="004B5AF9">
        <w:rPr>
          <w:b/>
          <w:sz w:val="24"/>
          <w:szCs w:val="24"/>
        </w:rPr>
        <w:t>Avsikt med behandlingen i rådet:</w:t>
      </w:r>
      <w:r w:rsidRPr="004B5AF9">
        <w:rPr>
          <w:sz w:val="24"/>
          <w:szCs w:val="24"/>
        </w:rPr>
        <w:t xml:space="preserve"> </w:t>
      </w:r>
      <w:proofErr w:type="spellStart"/>
      <w:r w:rsidR="004B5AF9" w:rsidRPr="004B5AF9">
        <w:rPr>
          <w:sz w:val="24"/>
          <w:szCs w:val="24"/>
          <w:lang w:val="en-US"/>
        </w:rPr>
        <w:t>Rådet</w:t>
      </w:r>
      <w:proofErr w:type="spellEnd"/>
      <w:r w:rsidR="004B5AF9" w:rsidRPr="004B5AF9">
        <w:rPr>
          <w:sz w:val="24"/>
          <w:szCs w:val="24"/>
          <w:lang w:val="en-US"/>
        </w:rPr>
        <w:t> </w:t>
      </w:r>
      <w:proofErr w:type="spellStart"/>
      <w:r w:rsidR="004B5AF9" w:rsidRPr="004B5AF9">
        <w:rPr>
          <w:sz w:val="24"/>
          <w:szCs w:val="24"/>
          <w:lang w:val="en-US"/>
        </w:rPr>
        <w:t>föreslås</w:t>
      </w:r>
      <w:proofErr w:type="spellEnd"/>
      <w:r w:rsidR="004B5AF9" w:rsidRPr="004B5AF9">
        <w:rPr>
          <w:sz w:val="24"/>
          <w:szCs w:val="24"/>
          <w:lang w:val="en-US"/>
        </w:rPr>
        <w:t xml:space="preserve"> anta </w:t>
      </w:r>
      <w:proofErr w:type="spellStart"/>
      <w:r w:rsidR="004B5AF9" w:rsidRPr="004B5AF9">
        <w:rPr>
          <w:sz w:val="24"/>
          <w:szCs w:val="24"/>
          <w:lang w:val="en-US"/>
        </w:rPr>
        <w:t>en</w:t>
      </w:r>
      <w:proofErr w:type="spellEnd"/>
      <w:r w:rsidR="004B5AF9" w:rsidRPr="004B5AF9">
        <w:rPr>
          <w:sz w:val="24"/>
          <w:szCs w:val="24"/>
          <w:lang w:val="en-US"/>
        </w:rPr>
        <w:t xml:space="preserve"> </w:t>
      </w:r>
      <w:proofErr w:type="spellStart"/>
      <w:r w:rsidR="004B5AF9" w:rsidRPr="004B5AF9">
        <w:rPr>
          <w:sz w:val="24"/>
          <w:szCs w:val="24"/>
          <w:lang w:val="en-US"/>
        </w:rPr>
        <w:t>allmän</w:t>
      </w:r>
      <w:proofErr w:type="spellEnd"/>
      <w:r w:rsidR="004B5AF9" w:rsidRPr="004B5AF9">
        <w:rPr>
          <w:sz w:val="24"/>
          <w:szCs w:val="24"/>
          <w:lang w:val="en-US"/>
        </w:rPr>
        <w:t xml:space="preserve"> </w:t>
      </w:r>
      <w:proofErr w:type="spellStart"/>
      <w:r w:rsidR="004B5AF9" w:rsidRPr="004B5AF9">
        <w:rPr>
          <w:sz w:val="24"/>
          <w:szCs w:val="24"/>
          <w:lang w:val="en-US"/>
        </w:rPr>
        <w:t>inriktning</w:t>
      </w:r>
      <w:proofErr w:type="spellEnd"/>
      <w:r w:rsidR="004B5AF9" w:rsidRPr="004B5AF9">
        <w:rPr>
          <w:sz w:val="24"/>
          <w:szCs w:val="24"/>
          <w:lang w:val="en-US"/>
        </w:rPr>
        <w:t xml:space="preserve"> med </w:t>
      </w:r>
      <w:proofErr w:type="spellStart"/>
      <w:r w:rsidR="004B5AF9" w:rsidRPr="004B5AF9">
        <w:rPr>
          <w:sz w:val="24"/>
          <w:szCs w:val="24"/>
          <w:lang w:val="en-US"/>
        </w:rPr>
        <w:t>begäran</w:t>
      </w:r>
      <w:proofErr w:type="spellEnd"/>
      <w:r w:rsidR="004B5AF9" w:rsidRPr="004B5AF9">
        <w:rPr>
          <w:sz w:val="24"/>
          <w:szCs w:val="24"/>
          <w:lang w:val="en-US"/>
        </w:rPr>
        <w:t xml:space="preserve"> </w:t>
      </w:r>
      <w:proofErr w:type="spellStart"/>
      <w:r w:rsidR="004B5AF9" w:rsidRPr="004B5AF9">
        <w:rPr>
          <w:sz w:val="24"/>
          <w:szCs w:val="24"/>
          <w:lang w:val="en-US"/>
        </w:rPr>
        <w:t>att</w:t>
      </w:r>
      <w:proofErr w:type="spellEnd"/>
      <w:r w:rsidR="004B5AF9" w:rsidRPr="004B5AF9">
        <w:rPr>
          <w:sz w:val="24"/>
          <w:szCs w:val="24"/>
          <w:lang w:val="en-US"/>
        </w:rPr>
        <w:t xml:space="preserve"> </w:t>
      </w:r>
      <w:proofErr w:type="spellStart"/>
      <w:r w:rsidR="004B5AF9" w:rsidRPr="004B5AF9">
        <w:rPr>
          <w:sz w:val="24"/>
          <w:szCs w:val="24"/>
          <w:lang w:val="en-US"/>
        </w:rPr>
        <w:t>ordförandeskapet</w:t>
      </w:r>
      <w:proofErr w:type="spellEnd"/>
      <w:r w:rsidR="004B5AF9" w:rsidRPr="004B5AF9">
        <w:rPr>
          <w:sz w:val="24"/>
          <w:szCs w:val="24"/>
          <w:lang w:val="en-US"/>
        </w:rPr>
        <w:t xml:space="preserve">, </w:t>
      </w:r>
      <w:proofErr w:type="spellStart"/>
      <w:r w:rsidR="004B5AF9" w:rsidRPr="004B5AF9">
        <w:rPr>
          <w:sz w:val="24"/>
          <w:szCs w:val="24"/>
          <w:lang w:val="en-US"/>
        </w:rPr>
        <w:t>på</w:t>
      </w:r>
      <w:proofErr w:type="spellEnd"/>
      <w:r w:rsidR="004B5AF9" w:rsidRPr="004B5AF9">
        <w:rPr>
          <w:sz w:val="24"/>
          <w:szCs w:val="24"/>
          <w:lang w:val="en-US"/>
        </w:rPr>
        <w:t xml:space="preserve"> den </w:t>
      </w:r>
      <w:proofErr w:type="spellStart"/>
      <w:r w:rsidR="004B5AF9" w:rsidRPr="004B5AF9">
        <w:rPr>
          <w:sz w:val="24"/>
          <w:szCs w:val="24"/>
          <w:lang w:val="en-US"/>
        </w:rPr>
        <w:t>grunden</w:t>
      </w:r>
      <w:proofErr w:type="spellEnd"/>
      <w:r w:rsidR="004B5AF9" w:rsidRPr="004B5AF9">
        <w:rPr>
          <w:sz w:val="24"/>
          <w:szCs w:val="24"/>
          <w:lang w:val="en-US"/>
        </w:rPr>
        <w:t xml:space="preserve">, </w:t>
      </w:r>
      <w:proofErr w:type="spellStart"/>
      <w:r w:rsidR="004B5AF9" w:rsidRPr="004B5AF9">
        <w:rPr>
          <w:sz w:val="24"/>
          <w:szCs w:val="24"/>
          <w:lang w:val="en-US"/>
        </w:rPr>
        <w:t>genomför</w:t>
      </w:r>
      <w:proofErr w:type="spellEnd"/>
      <w:r w:rsidR="004B5AF9" w:rsidRPr="004B5AF9">
        <w:rPr>
          <w:sz w:val="24"/>
          <w:szCs w:val="24"/>
          <w:lang w:val="en-US"/>
        </w:rPr>
        <w:t xml:space="preserve"> </w:t>
      </w:r>
      <w:proofErr w:type="spellStart"/>
      <w:r w:rsidR="004B5AF9" w:rsidRPr="004B5AF9">
        <w:rPr>
          <w:sz w:val="24"/>
          <w:szCs w:val="24"/>
          <w:lang w:val="en-US"/>
        </w:rPr>
        <w:t>förhandlingar</w:t>
      </w:r>
      <w:proofErr w:type="spellEnd"/>
      <w:r w:rsidR="004B5AF9" w:rsidRPr="004B5AF9">
        <w:rPr>
          <w:sz w:val="24"/>
          <w:szCs w:val="24"/>
          <w:lang w:val="en-US"/>
        </w:rPr>
        <w:t xml:space="preserve"> med </w:t>
      </w:r>
      <w:proofErr w:type="spellStart"/>
      <w:r w:rsidR="004B5AF9" w:rsidRPr="004B5AF9">
        <w:rPr>
          <w:sz w:val="24"/>
          <w:szCs w:val="24"/>
          <w:lang w:val="en-US"/>
        </w:rPr>
        <w:t>Europaparlamentet</w:t>
      </w:r>
      <w:proofErr w:type="spellEnd"/>
      <w:r w:rsidR="004B5AF9" w:rsidRPr="004B5AF9">
        <w:rPr>
          <w:sz w:val="24"/>
          <w:szCs w:val="24"/>
          <w:lang w:val="en-US"/>
        </w:rPr>
        <w:t xml:space="preserve"> </w:t>
      </w:r>
      <w:proofErr w:type="spellStart"/>
      <w:r w:rsidR="004B5AF9" w:rsidRPr="004B5AF9">
        <w:rPr>
          <w:sz w:val="24"/>
          <w:szCs w:val="24"/>
          <w:lang w:val="en-US"/>
        </w:rPr>
        <w:t>i</w:t>
      </w:r>
      <w:proofErr w:type="spellEnd"/>
      <w:r w:rsidR="004B5AF9" w:rsidRPr="004B5AF9">
        <w:rPr>
          <w:sz w:val="24"/>
          <w:szCs w:val="24"/>
          <w:lang w:val="en-US"/>
        </w:rPr>
        <w:t xml:space="preserve"> </w:t>
      </w:r>
      <w:proofErr w:type="spellStart"/>
      <w:r w:rsidR="004B5AF9" w:rsidRPr="004B5AF9">
        <w:rPr>
          <w:sz w:val="24"/>
          <w:szCs w:val="24"/>
          <w:lang w:val="en-US"/>
        </w:rPr>
        <w:t>syfte</w:t>
      </w:r>
      <w:proofErr w:type="spellEnd"/>
      <w:r w:rsidR="004B5AF9" w:rsidRPr="004B5AF9">
        <w:rPr>
          <w:sz w:val="24"/>
          <w:szCs w:val="24"/>
          <w:lang w:val="en-US"/>
        </w:rPr>
        <w:t xml:space="preserve"> </w:t>
      </w:r>
      <w:proofErr w:type="spellStart"/>
      <w:r w:rsidR="004B5AF9" w:rsidRPr="004B5AF9">
        <w:rPr>
          <w:sz w:val="24"/>
          <w:szCs w:val="24"/>
          <w:lang w:val="en-US"/>
        </w:rPr>
        <w:t>att</w:t>
      </w:r>
      <w:proofErr w:type="spellEnd"/>
      <w:r w:rsidR="004B5AF9" w:rsidRPr="004B5AF9">
        <w:rPr>
          <w:sz w:val="24"/>
          <w:szCs w:val="24"/>
          <w:lang w:val="en-US"/>
        </w:rPr>
        <w:t xml:space="preserve"> </w:t>
      </w:r>
      <w:proofErr w:type="spellStart"/>
      <w:r w:rsidR="004B5AF9" w:rsidRPr="004B5AF9">
        <w:rPr>
          <w:sz w:val="24"/>
          <w:szCs w:val="24"/>
          <w:lang w:val="en-US"/>
        </w:rPr>
        <w:t>nå</w:t>
      </w:r>
      <w:proofErr w:type="spellEnd"/>
      <w:r w:rsidR="004B5AF9" w:rsidRPr="004B5AF9">
        <w:rPr>
          <w:sz w:val="24"/>
          <w:szCs w:val="24"/>
          <w:lang w:val="en-US"/>
        </w:rPr>
        <w:t xml:space="preserve"> </w:t>
      </w:r>
      <w:proofErr w:type="spellStart"/>
      <w:r w:rsidR="004B5AF9" w:rsidRPr="004B5AF9">
        <w:rPr>
          <w:sz w:val="24"/>
          <w:szCs w:val="24"/>
          <w:lang w:val="en-US"/>
        </w:rPr>
        <w:t>överenskommelse</w:t>
      </w:r>
      <w:proofErr w:type="spellEnd"/>
      <w:r w:rsidR="004B5AF9" w:rsidRPr="004B5AF9">
        <w:rPr>
          <w:sz w:val="24"/>
          <w:szCs w:val="24"/>
          <w:lang w:val="en-US"/>
        </w:rPr>
        <w:t xml:space="preserve"> </w:t>
      </w:r>
      <w:proofErr w:type="spellStart"/>
      <w:r w:rsidR="004B5AF9" w:rsidRPr="004B5AF9">
        <w:rPr>
          <w:sz w:val="24"/>
          <w:szCs w:val="24"/>
          <w:lang w:val="en-US"/>
        </w:rPr>
        <w:t>i</w:t>
      </w:r>
      <w:proofErr w:type="spellEnd"/>
      <w:r w:rsidR="004B5AF9" w:rsidRPr="004B5AF9">
        <w:rPr>
          <w:sz w:val="24"/>
          <w:szCs w:val="24"/>
          <w:lang w:val="en-US"/>
        </w:rPr>
        <w:t xml:space="preserve"> </w:t>
      </w:r>
      <w:proofErr w:type="spellStart"/>
      <w:r w:rsidR="004B5AF9" w:rsidRPr="004B5AF9">
        <w:rPr>
          <w:sz w:val="24"/>
          <w:szCs w:val="24"/>
          <w:lang w:val="en-US"/>
        </w:rPr>
        <w:t>första</w:t>
      </w:r>
      <w:proofErr w:type="spellEnd"/>
      <w:r w:rsidR="004B5AF9" w:rsidRPr="004B5AF9">
        <w:rPr>
          <w:sz w:val="24"/>
          <w:szCs w:val="24"/>
          <w:lang w:val="en-US"/>
        </w:rPr>
        <w:t xml:space="preserve"> </w:t>
      </w:r>
      <w:proofErr w:type="spellStart"/>
      <w:r w:rsidR="004B5AF9" w:rsidRPr="004B5AF9">
        <w:rPr>
          <w:sz w:val="24"/>
          <w:szCs w:val="24"/>
          <w:lang w:val="en-US"/>
        </w:rPr>
        <w:t>läsningen</w:t>
      </w:r>
      <w:proofErr w:type="spellEnd"/>
      <w:r w:rsidR="004B5AF9" w:rsidRPr="004B5AF9">
        <w:rPr>
          <w:sz w:val="24"/>
          <w:szCs w:val="24"/>
          <w:lang w:val="en-US"/>
        </w:rPr>
        <w:t>.</w:t>
      </w:r>
    </w:p>
    <w:p w14:paraId="7CA97BF0" w14:textId="0659C4AE" w:rsidR="00C34727" w:rsidRPr="004B5AF9" w:rsidRDefault="00C34727" w:rsidP="00230E82">
      <w:pPr>
        <w:tabs>
          <w:tab w:val="left" w:pos="2835"/>
        </w:tabs>
        <w:spacing w:line="240" w:lineRule="atLeast"/>
        <w:ind w:left="426"/>
        <w:rPr>
          <w:sz w:val="24"/>
          <w:szCs w:val="24"/>
        </w:rPr>
      </w:pPr>
      <w:r w:rsidRPr="004B5AF9">
        <w:rPr>
          <w:b/>
          <w:sz w:val="24"/>
          <w:szCs w:val="24"/>
        </w:rPr>
        <w:t>Hur regeringen ställer sig till den blivande a-punkten:</w:t>
      </w:r>
      <w:r w:rsidRPr="004B5AF9">
        <w:rPr>
          <w:sz w:val="24"/>
          <w:szCs w:val="24"/>
        </w:rPr>
        <w:t xml:space="preserve"> </w:t>
      </w:r>
      <w:proofErr w:type="spellStart"/>
      <w:r w:rsidR="004B5AF9" w:rsidRPr="004B5AF9">
        <w:rPr>
          <w:sz w:val="24"/>
          <w:szCs w:val="24"/>
          <w:lang w:val="en-US"/>
        </w:rPr>
        <w:t>Regeringen</w:t>
      </w:r>
      <w:proofErr w:type="spellEnd"/>
      <w:r w:rsidR="004B5AF9" w:rsidRPr="004B5AF9">
        <w:rPr>
          <w:sz w:val="24"/>
          <w:szCs w:val="24"/>
          <w:lang w:val="en-US"/>
        </w:rPr>
        <w:t xml:space="preserve"> </w:t>
      </w:r>
      <w:proofErr w:type="spellStart"/>
      <w:r w:rsidR="004B5AF9" w:rsidRPr="004B5AF9">
        <w:rPr>
          <w:sz w:val="24"/>
          <w:szCs w:val="24"/>
          <w:lang w:val="en-US"/>
        </w:rPr>
        <w:t>stödjer</w:t>
      </w:r>
      <w:proofErr w:type="spellEnd"/>
      <w:r w:rsidR="004B5AF9" w:rsidRPr="004B5AF9">
        <w:rPr>
          <w:sz w:val="24"/>
          <w:szCs w:val="24"/>
          <w:lang w:val="en-US"/>
        </w:rPr>
        <w:t xml:space="preserve"> </w:t>
      </w:r>
      <w:proofErr w:type="spellStart"/>
      <w:r w:rsidR="004B5AF9" w:rsidRPr="004B5AF9">
        <w:rPr>
          <w:sz w:val="24"/>
          <w:szCs w:val="24"/>
          <w:lang w:val="en-US"/>
        </w:rPr>
        <w:t>förslaget</w:t>
      </w:r>
      <w:proofErr w:type="spellEnd"/>
      <w:r w:rsidR="004B5AF9" w:rsidRPr="004B5AF9">
        <w:rPr>
          <w:sz w:val="24"/>
          <w:szCs w:val="24"/>
          <w:lang w:val="en-US"/>
        </w:rPr>
        <w:t>.</w:t>
      </w:r>
    </w:p>
    <w:p w14:paraId="080148CD" w14:textId="77777777" w:rsidR="004B5AF9" w:rsidRPr="00BE4831" w:rsidRDefault="00C34727" w:rsidP="004B5AF9">
      <w:pPr>
        <w:widowControl w:val="0"/>
        <w:autoSpaceDE w:val="0"/>
        <w:autoSpaceDN w:val="0"/>
        <w:adjustRightInd w:val="0"/>
        <w:spacing w:after="0" w:line="240" w:lineRule="auto"/>
        <w:ind w:left="426"/>
        <w:rPr>
          <w:rFonts w:ascii="Calibri" w:hAnsi="Calibri" w:cs="Calibri"/>
          <w:sz w:val="24"/>
          <w:szCs w:val="24"/>
        </w:rPr>
      </w:pPr>
      <w:r w:rsidRPr="004B5AF9">
        <w:rPr>
          <w:b/>
          <w:sz w:val="24"/>
          <w:szCs w:val="24"/>
        </w:rPr>
        <w:t xml:space="preserve">Bakgrund: </w:t>
      </w:r>
      <w:r w:rsidR="004B5AF9" w:rsidRPr="00BE4831">
        <w:rPr>
          <w:sz w:val="24"/>
          <w:szCs w:val="24"/>
        </w:rPr>
        <w:t xml:space="preserve">Förordningen syftar till en bättre genomlysning av finansieringsåtgärder som baseras på värdepapper inom den s.k. skuggbankssektorn vid sidan av traditionell bankverksamhet. Förordningen inför en bred rapporteringsskyldighet för motparter som lånar upp eller lånar ut pengar mot säkerhet i värdepapper i form av återköpsavtal (s.k. repor), eller som genomför någon annan typ av värdepappersfinansiering. Genom förordningen införs även krav på förvaltare av värdepappersfonder och alternativa investeringsfonder att informera andelsägarna om fondernas användning av värdepappersfinansiering respektive krav på genomlysning som ska gälla vid s.k. </w:t>
      </w:r>
      <w:proofErr w:type="spellStart"/>
      <w:r w:rsidR="004B5AF9" w:rsidRPr="00BE4831">
        <w:rPr>
          <w:sz w:val="24"/>
          <w:szCs w:val="24"/>
        </w:rPr>
        <w:t>återpantsättning</w:t>
      </w:r>
      <w:proofErr w:type="spellEnd"/>
      <w:r w:rsidR="004B5AF9" w:rsidRPr="00BE4831">
        <w:rPr>
          <w:sz w:val="24"/>
          <w:szCs w:val="24"/>
        </w:rPr>
        <w:t>, dvs. när panthavare använder pantsatt egendom för egen eller någon annans räkning.</w:t>
      </w:r>
    </w:p>
    <w:p w14:paraId="5CF77A7C" w14:textId="77777777" w:rsidR="004B5AF9" w:rsidRPr="00BE4831" w:rsidRDefault="004B5AF9" w:rsidP="004B5AF9">
      <w:pPr>
        <w:widowControl w:val="0"/>
        <w:autoSpaceDE w:val="0"/>
        <w:autoSpaceDN w:val="0"/>
        <w:adjustRightInd w:val="0"/>
        <w:spacing w:after="0" w:line="240" w:lineRule="auto"/>
        <w:ind w:left="426"/>
        <w:rPr>
          <w:sz w:val="24"/>
          <w:szCs w:val="24"/>
        </w:rPr>
      </w:pPr>
    </w:p>
    <w:p w14:paraId="2457E052" w14:textId="34528650" w:rsidR="004B5AF9" w:rsidRPr="00BE4831" w:rsidRDefault="004B5AF9" w:rsidP="004B5AF9">
      <w:pPr>
        <w:widowControl w:val="0"/>
        <w:autoSpaceDE w:val="0"/>
        <w:autoSpaceDN w:val="0"/>
        <w:adjustRightInd w:val="0"/>
        <w:spacing w:after="0" w:line="240" w:lineRule="auto"/>
        <w:ind w:left="426"/>
        <w:rPr>
          <w:rFonts w:ascii="Calibri" w:hAnsi="Calibri" w:cs="Calibri"/>
          <w:sz w:val="24"/>
          <w:szCs w:val="24"/>
        </w:rPr>
      </w:pPr>
      <w:r w:rsidRPr="00BE4831">
        <w:rPr>
          <w:sz w:val="24"/>
          <w:szCs w:val="24"/>
        </w:rPr>
        <w:t xml:space="preserve">Regeringen har under förhandlingarna begärt och fått ett undantag från rapporteringsskyldighet för små och medelstora icke-finansiella företag som inte hotar den finansiella stabiliteten och som genom undantaget undgår risken att träffas av sanktioner i enlighet med förordningen. Med små och medelstora företag avses i detta sammanhang företag med en balansomslutning vid högst 20 miljoner euro, vars nettoomsättning inte överstiger 40 miljoner euro och genomsnittligt antal anställda inte överstiger 250 under ett räkenskapsår (minst två av tre kriterier ska vara uppfyllda). Regeringen har även begärt och fått förtydliganden av reglerna om </w:t>
      </w:r>
      <w:proofErr w:type="spellStart"/>
      <w:r w:rsidRPr="00BE4831">
        <w:rPr>
          <w:sz w:val="24"/>
          <w:szCs w:val="24"/>
        </w:rPr>
        <w:t>återpantsättning</w:t>
      </w:r>
      <w:proofErr w:type="spellEnd"/>
      <w:r w:rsidRPr="00BE4831">
        <w:rPr>
          <w:sz w:val="24"/>
          <w:szCs w:val="24"/>
        </w:rPr>
        <w:t>. Det framgår nu tydligt att syftet är förbättrad genomlysning och att reglerna inte påverkar den nationella civilrätten, t.ex. giltigheten av ett avtal.</w:t>
      </w:r>
    </w:p>
    <w:p w14:paraId="275FA9FC" w14:textId="5A457E9C" w:rsidR="00230E82" w:rsidRPr="00230E82" w:rsidRDefault="004B5AF9" w:rsidP="004B5AF9">
      <w:pPr>
        <w:tabs>
          <w:tab w:val="left" w:pos="2835"/>
        </w:tabs>
        <w:spacing w:line="240" w:lineRule="atLeast"/>
        <w:ind w:left="426"/>
        <w:rPr>
          <w:szCs w:val="24"/>
        </w:rPr>
      </w:pPr>
      <w:r w:rsidRPr="00BE4831">
        <w:rPr>
          <w:rFonts w:ascii="Calibri" w:hAnsi="Calibri" w:cs="Calibri"/>
          <w:color w:val="1C3A67"/>
          <w:sz w:val="30"/>
          <w:szCs w:val="30"/>
        </w:rPr>
        <w:t> </w:t>
      </w:r>
    </w:p>
    <w:bookmarkEnd w:id="1"/>
    <w:p w14:paraId="216F39A0" w14:textId="77777777" w:rsidR="00C34727" w:rsidRPr="00C34727" w:rsidRDefault="00C34727" w:rsidP="00C34727">
      <w:pPr>
        <w:ind w:left="1428"/>
        <w:rPr>
          <w:sz w:val="24"/>
          <w:szCs w:val="24"/>
        </w:rPr>
      </w:pPr>
    </w:p>
    <w:sectPr w:rsidR="00C34727" w:rsidRPr="00C34727" w:rsidSect="008B279D">
      <w:headerReference w:type="default" r:id="rId14"/>
      <w:head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01A22" w14:textId="77777777" w:rsidR="00B90D3E" w:rsidRDefault="00B90D3E">
      <w:pPr>
        <w:spacing w:after="0" w:line="240" w:lineRule="auto"/>
      </w:pPr>
      <w:r>
        <w:separator/>
      </w:r>
    </w:p>
  </w:endnote>
  <w:endnote w:type="continuationSeparator" w:id="0">
    <w:p w14:paraId="5B36FCF4" w14:textId="77777777" w:rsidR="00B90D3E" w:rsidRDefault="00B9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Italic"/>
    <w:charset w:val="00"/>
    <w:family w:val="auto"/>
    <w:pitch w:val="variable"/>
    <w:sig w:usb0="00000003" w:usb1="00000000" w:usb2="00000000" w:usb3="00000000" w:csb0="00000001" w:csb1="00000000"/>
  </w:font>
  <w:font w:name="OrigGarmnd BT">
    <w:altName w:val="Constantia Italic"/>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2561F" w14:textId="77777777" w:rsidR="00B90D3E" w:rsidRDefault="00B90D3E">
      <w:pPr>
        <w:spacing w:after="0" w:line="240" w:lineRule="auto"/>
      </w:pPr>
      <w:r>
        <w:separator/>
      </w:r>
    </w:p>
  </w:footnote>
  <w:footnote w:type="continuationSeparator" w:id="0">
    <w:p w14:paraId="5253EB2B" w14:textId="77777777" w:rsidR="00B90D3E" w:rsidRDefault="00B90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337051"/>
      <w:docPartObj>
        <w:docPartGallery w:val="Page Numbers (Top of Page)"/>
        <w:docPartUnique/>
      </w:docPartObj>
    </w:sdtPr>
    <w:sdtEndPr/>
    <w:sdtContent>
      <w:p w14:paraId="325BDC84" w14:textId="4E94099D" w:rsidR="00B90D3E" w:rsidRDefault="00B90D3E">
        <w:pPr>
          <w:pStyle w:val="Sidhuvud"/>
          <w:jc w:val="right"/>
        </w:pPr>
        <w:r>
          <w:fldChar w:fldCharType="begin"/>
        </w:r>
        <w:r>
          <w:instrText>PAGE   \* MERGEFORMAT</w:instrText>
        </w:r>
        <w:r>
          <w:fldChar w:fldCharType="separate"/>
        </w:r>
        <w:r w:rsidR="00BE4831">
          <w:rPr>
            <w:noProof/>
          </w:rPr>
          <w:t>3</w:t>
        </w:r>
        <w:r>
          <w:fldChar w:fldCharType="end"/>
        </w:r>
      </w:p>
    </w:sdtContent>
  </w:sdt>
  <w:p w14:paraId="061572F5" w14:textId="77777777" w:rsidR="00B90D3E" w:rsidRDefault="00B90D3E" w:rsidP="00B90D3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90D3E" w14:paraId="061572FB" w14:textId="77777777" w:rsidTr="00B90D3E">
      <w:tc>
        <w:tcPr>
          <w:tcW w:w="4606" w:type="dxa"/>
        </w:tcPr>
        <w:p w14:paraId="061572F6" w14:textId="77777777" w:rsidR="00B90D3E" w:rsidRDefault="00B90D3E" w:rsidP="00B90D3E">
          <w:pPr>
            <w:pStyle w:val="Sidhuvud"/>
            <w:ind w:left="0"/>
          </w:pPr>
          <w:r>
            <w:rPr>
              <w:noProof/>
              <w:lang w:eastAsia="sv-SE"/>
            </w:rPr>
            <w:drawing>
              <wp:inline distT="0" distB="0" distL="0" distR="0" wp14:anchorId="06157301" wp14:editId="0615730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1572F7" w14:textId="77777777" w:rsidR="00B90D3E" w:rsidRDefault="00B90D3E" w:rsidP="00B90D3E">
          <w:pPr>
            <w:ind w:right="916"/>
            <w:rPr>
              <w:rFonts w:ascii="TradeGothic" w:hAnsi="TradeGothic"/>
              <w:b/>
            </w:rPr>
          </w:pPr>
        </w:p>
        <w:p w14:paraId="061572F8" w14:textId="77777777" w:rsidR="00B90D3E" w:rsidRDefault="00B90D3E" w:rsidP="00B90D3E">
          <w:pPr>
            <w:ind w:right="916"/>
          </w:pPr>
          <w:r>
            <w:rPr>
              <w:rFonts w:ascii="TradeGothic" w:hAnsi="TradeGothic"/>
              <w:b/>
            </w:rPr>
            <w:t>Promemoria</w:t>
          </w:r>
        </w:p>
        <w:p w14:paraId="061572F9" w14:textId="77777777" w:rsidR="00B90D3E" w:rsidRDefault="00B90D3E" w:rsidP="00B90D3E">
          <w:pPr>
            <w:jc w:val="right"/>
          </w:pPr>
        </w:p>
        <w:p w14:paraId="061572FA" w14:textId="369FB4BC" w:rsidR="00B90D3E" w:rsidRDefault="00B90D3E" w:rsidP="00B90D3E">
          <w:pPr>
            <w:ind w:right="916"/>
          </w:pPr>
          <w:r>
            <w:rPr>
              <w:rFonts w:ascii="TradeGothic" w:hAnsi="TradeGothic"/>
              <w:b/>
              <w:noProof/>
            </w:rPr>
            <w:t>2014-11-28</w:t>
          </w:r>
        </w:p>
      </w:tc>
    </w:tr>
  </w:tbl>
  <w:p w14:paraId="061572FC" w14:textId="77777777" w:rsidR="00B90D3E" w:rsidRDefault="00B90D3E" w:rsidP="00B90D3E">
    <w:pPr>
      <w:pStyle w:val="Avsndare"/>
      <w:framePr w:w="0" w:hRule="auto" w:hSpace="0" w:wrap="auto" w:vAnchor="margin" w:hAnchor="text" w:xAlign="left" w:yAlign="inline"/>
      <w:rPr>
        <w:b/>
        <w:i w:val="0"/>
        <w:sz w:val="22"/>
      </w:rPr>
    </w:pPr>
  </w:p>
  <w:p w14:paraId="061572FD" w14:textId="5DC6C129" w:rsidR="00B90D3E" w:rsidRDefault="00B90D3E" w:rsidP="00B90D3E">
    <w:pPr>
      <w:pStyle w:val="Avsndare"/>
      <w:framePr w:w="0" w:hRule="auto" w:hSpace="0" w:wrap="auto" w:vAnchor="margin" w:hAnchor="text" w:xAlign="left" w:yAlign="inline"/>
      <w:rPr>
        <w:b/>
        <w:i w:val="0"/>
        <w:sz w:val="22"/>
      </w:rPr>
    </w:pPr>
    <w:r>
      <w:rPr>
        <w:b/>
        <w:i w:val="0"/>
        <w:sz w:val="22"/>
      </w:rPr>
      <w:t xml:space="preserve">Finansdepartementet </w:t>
    </w:r>
  </w:p>
  <w:p w14:paraId="061572FE" w14:textId="77777777" w:rsidR="00B90D3E" w:rsidRDefault="00B90D3E" w:rsidP="00B90D3E">
    <w:pPr>
      <w:pStyle w:val="Avsndare"/>
      <w:framePr w:w="0" w:hRule="auto" w:hSpace="0" w:wrap="auto" w:vAnchor="margin" w:hAnchor="text" w:xAlign="left" w:yAlign="inline"/>
    </w:pPr>
  </w:p>
  <w:p w14:paraId="06157300" w14:textId="77777777" w:rsidR="00B90D3E" w:rsidRDefault="00B90D3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95F2CBC6">
      <w:start w:val="1"/>
      <w:numFmt w:val="decimal"/>
      <w:pStyle w:val="Rubrik1"/>
      <w:lvlText w:val="%1."/>
      <w:lvlJc w:val="left"/>
      <w:pPr>
        <w:ind w:left="720" w:hanging="360"/>
      </w:pPr>
    </w:lvl>
    <w:lvl w:ilvl="1" w:tplc="F3802DB2" w:tentative="1">
      <w:start w:val="1"/>
      <w:numFmt w:val="lowerLetter"/>
      <w:lvlText w:val="%2."/>
      <w:lvlJc w:val="left"/>
      <w:pPr>
        <w:ind w:left="1440" w:hanging="360"/>
      </w:pPr>
    </w:lvl>
    <w:lvl w:ilvl="2" w:tplc="8E98E7BE" w:tentative="1">
      <w:start w:val="1"/>
      <w:numFmt w:val="lowerRoman"/>
      <w:lvlText w:val="%3."/>
      <w:lvlJc w:val="right"/>
      <w:pPr>
        <w:ind w:left="2160" w:hanging="180"/>
      </w:pPr>
    </w:lvl>
    <w:lvl w:ilvl="3" w:tplc="0A3CF18C" w:tentative="1">
      <w:start w:val="1"/>
      <w:numFmt w:val="decimal"/>
      <w:lvlText w:val="%4."/>
      <w:lvlJc w:val="left"/>
      <w:pPr>
        <w:ind w:left="2880" w:hanging="360"/>
      </w:pPr>
    </w:lvl>
    <w:lvl w:ilvl="4" w:tplc="2DD6DE1C" w:tentative="1">
      <w:start w:val="1"/>
      <w:numFmt w:val="lowerLetter"/>
      <w:lvlText w:val="%5."/>
      <w:lvlJc w:val="left"/>
      <w:pPr>
        <w:ind w:left="3600" w:hanging="360"/>
      </w:pPr>
    </w:lvl>
    <w:lvl w:ilvl="5" w:tplc="89867630" w:tentative="1">
      <w:start w:val="1"/>
      <w:numFmt w:val="lowerRoman"/>
      <w:lvlText w:val="%6."/>
      <w:lvlJc w:val="right"/>
      <w:pPr>
        <w:ind w:left="4320" w:hanging="180"/>
      </w:pPr>
    </w:lvl>
    <w:lvl w:ilvl="6" w:tplc="AF8E7AA8" w:tentative="1">
      <w:start w:val="1"/>
      <w:numFmt w:val="decimal"/>
      <w:lvlText w:val="%7."/>
      <w:lvlJc w:val="left"/>
      <w:pPr>
        <w:ind w:left="5040" w:hanging="360"/>
      </w:pPr>
    </w:lvl>
    <w:lvl w:ilvl="7" w:tplc="E2F8E7FC" w:tentative="1">
      <w:start w:val="1"/>
      <w:numFmt w:val="lowerLetter"/>
      <w:lvlText w:val="%8."/>
      <w:lvlJc w:val="left"/>
      <w:pPr>
        <w:ind w:left="5760" w:hanging="360"/>
      </w:pPr>
    </w:lvl>
    <w:lvl w:ilvl="8" w:tplc="5FAA5420" w:tentative="1">
      <w:start w:val="1"/>
      <w:numFmt w:val="lowerRoman"/>
      <w:lvlText w:val="%9."/>
      <w:lvlJc w:val="right"/>
      <w:pPr>
        <w:ind w:left="6480" w:hanging="180"/>
      </w:pPr>
    </w:lvl>
  </w:abstractNum>
  <w:abstractNum w:abstractNumId="1">
    <w:nsid w:val="73990993"/>
    <w:multiLevelType w:val="hybridMultilevel"/>
    <w:tmpl w:val="3BD822EE"/>
    <w:lvl w:ilvl="0" w:tplc="68C860E2">
      <w:start w:val="1"/>
      <w:numFmt w:val="decimal"/>
      <w:lvlText w:val="%1."/>
      <w:lvlJc w:val="left"/>
      <w:pPr>
        <w:ind w:left="360" w:hanging="360"/>
      </w:pPr>
      <w:rPr>
        <w:b w:val="0"/>
      </w:rPr>
    </w:lvl>
    <w:lvl w:ilvl="1" w:tplc="1E5278B0" w:tentative="1">
      <w:start w:val="1"/>
      <w:numFmt w:val="lowerLetter"/>
      <w:lvlText w:val="%2."/>
      <w:lvlJc w:val="left"/>
      <w:pPr>
        <w:ind w:left="1080" w:hanging="360"/>
      </w:pPr>
    </w:lvl>
    <w:lvl w:ilvl="2" w:tplc="526A4652" w:tentative="1">
      <w:start w:val="1"/>
      <w:numFmt w:val="lowerRoman"/>
      <w:lvlText w:val="%3."/>
      <w:lvlJc w:val="right"/>
      <w:pPr>
        <w:ind w:left="1800" w:hanging="180"/>
      </w:pPr>
    </w:lvl>
    <w:lvl w:ilvl="3" w:tplc="3B6AD39A" w:tentative="1">
      <w:start w:val="1"/>
      <w:numFmt w:val="decimal"/>
      <w:lvlText w:val="%4."/>
      <w:lvlJc w:val="left"/>
      <w:pPr>
        <w:ind w:left="2520" w:hanging="360"/>
      </w:pPr>
    </w:lvl>
    <w:lvl w:ilvl="4" w:tplc="62560480" w:tentative="1">
      <w:start w:val="1"/>
      <w:numFmt w:val="lowerLetter"/>
      <w:lvlText w:val="%5."/>
      <w:lvlJc w:val="left"/>
      <w:pPr>
        <w:ind w:left="3240" w:hanging="360"/>
      </w:pPr>
    </w:lvl>
    <w:lvl w:ilvl="5" w:tplc="FF4484D4" w:tentative="1">
      <w:start w:val="1"/>
      <w:numFmt w:val="lowerRoman"/>
      <w:lvlText w:val="%6."/>
      <w:lvlJc w:val="right"/>
      <w:pPr>
        <w:ind w:left="3960" w:hanging="180"/>
      </w:pPr>
    </w:lvl>
    <w:lvl w:ilvl="6" w:tplc="3D543E1E" w:tentative="1">
      <w:start w:val="1"/>
      <w:numFmt w:val="decimal"/>
      <w:lvlText w:val="%7."/>
      <w:lvlJc w:val="left"/>
      <w:pPr>
        <w:ind w:left="4680" w:hanging="360"/>
      </w:pPr>
    </w:lvl>
    <w:lvl w:ilvl="7" w:tplc="64A448FE" w:tentative="1">
      <w:start w:val="1"/>
      <w:numFmt w:val="lowerLetter"/>
      <w:lvlText w:val="%8."/>
      <w:lvlJc w:val="left"/>
      <w:pPr>
        <w:ind w:left="5400" w:hanging="360"/>
      </w:pPr>
    </w:lvl>
    <w:lvl w:ilvl="8" w:tplc="87F41E06"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1E"/>
    <w:rsid w:val="00091B0E"/>
    <w:rsid w:val="000B0F1E"/>
    <w:rsid w:val="001679A9"/>
    <w:rsid w:val="00230E82"/>
    <w:rsid w:val="002C4EB1"/>
    <w:rsid w:val="002C5BEF"/>
    <w:rsid w:val="002C637E"/>
    <w:rsid w:val="0038713D"/>
    <w:rsid w:val="003A4AAD"/>
    <w:rsid w:val="003C6F87"/>
    <w:rsid w:val="003E2DDF"/>
    <w:rsid w:val="004054F2"/>
    <w:rsid w:val="004B5AF9"/>
    <w:rsid w:val="005F6DDB"/>
    <w:rsid w:val="00601143"/>
    <w:rsid w:val="00650C17"/>
    <w:rsid w:val="008B279D"/>
    <w:rsid w:val="0092388B"/>
    <w:rsid w:val="009857D1"/>
    <w:rsid w:val="009D1521"/>
    <w:rsid w:val="00A627D9"/>
    <w:rsid w:val="00AC3CA0"/>
    <w:rsid w:val="00AD194B"/>
    <w:rsid w:val="00B63FF4"/>
    <w:rsid w:val="00B90D3E"/>
    <w:rsid w:val="00BA1B43"/>
    <w:rsid w:val="00BD4778"/>
    <w:rsid w:val="00BE4831"/>
    <w:rsid w:val="00C34727"/>
    <w:rsid w:val="00CD63DC"/>
    <w:rsid w:val="00D82B21"/>
    <w:rsid w:val="00D871FE"/>
    <w:rsid w:val="00DA1B1D"/>
    <w:rsid w:val="00E10129"/>
    <w:rsid w:val="00E44138"/>
    <w:rsid w:val="00EC7AA9"/>
    <w:rsid w:val="00EF68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571B9"/>
  <w15:docId w15:val="{E18A3302-D3C6-4396-BCDE-7ACF23A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 w:type="paragraph" w:customStyle="1" w:styleId="RKnormal">
    <w:name w:val="RKnormal"/>
    <w:basedOn w:val="Normal"/>
    <w:link w:val="RKnormalChar"/>
    <w:rsid w:val="008B279D"/>
    <w:pPr>
      <w:tabs>
        <w:tab w:val="left" w:pos="2835"/>
      </w:tabs>
      <w:spacing w:after="0" w:line="240" w:lineRule="atLeast"/>
      <w:ind w:left="0"/>
    </w:pPr>
    <w:rPr>
      <w:rFonts w:ascii="OrigGarmnd BT" w:eastAsia="Times New Roman" w:hAnsi="OrigGarmnd BT"/>
      <w:sz w:val="24"/>
      <w:szCs w:val="20"/>
    </w:rPr>
  </w:style>
  <w:style w:type="paragraph" w:customStyle="1" w:styleId="RKrubrik">
    <w:name w:val="RKrubrik"/>
    <w:basedOn w:val="RKnormal"/>
    <w:next w:val="RKnormal"/>
    <w:rsid w:val="00C34727"/>
    <w:pPr>
      <w:keepNext/>
      <w:tabs>
        <w:tab w:val="left" w:pos="709"/>
        <w:tab w:val="left" w:pos="1134"/>
      </w:tabs>
      <w:overflowPunct w:val="0"/>
      <w:autoSpaceDE w:val="0"/>
      <w:autoSpaceDN w:val="0"/>
      <w:adjustRightInd w:val="0"/>
      <w:spacing w:before="360" w:after="120"/>
      <w:textAlignment w:val="baseline"/>
    </w:pPr>
    <w:rPr>
      <w:rFonts w:ascii="TradeGothic" w:hAnsi="TradeGothic"/>
      <w:b/>
      <w:sz w:val="22"/>
    </w:rPr>
  </w:style>
  <w:style w:type="character" w:customStyle="1" w:styleId="RKnormalChar">
    <w:name w:val="RKnormal Char"/>
    <w:link w:val="RKnormal"/>
    <w:locked/>
    <w:rsid w:val="00C34727"/>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75420">
      <w:bodyDiv w:val="1"/>
      <w:marLeft w:val="0"/>
      <w:marRight w:val="0"/>
      <w:marTop w:val="0"/>
      <w:marBottom w:val="0"/>
      <w:divBdr>
        <w:top w:val="none" w:sz="0" w:space="0" w:color="auto"/>
        <w:left w:val="none" w:sz="0" w:space="0" w:color="auto"/>
        <w:bottom w:val="none" w:sz="0" w:space="0" w:color="auto"/>
        <w:right w:val="none" w:sz="0" w:space="0" w:color="auto"/>
      </w:divBdr>
    </w:div>
    <w:div w:id="657000978">
      <w:bodyDiv w:val="1"/>
      <w:marLeft w:val="0"/>
      <w:marRight w:val="0"/>
      <w:marTop w:val="0"/>
      <w:marBottom w:val="0"/>
      <w:divBdr>
        <w:top w:val="none" w:sz="0" w:space="0" w:color="auto"/>
        <w:left w:val="none" w:sz="0" w:space="0" w:color="auto"/>
        <w:bottom w:val="none" w:sz="0" w:space="0" w:color="auto"/>
        <w:right w:val="none" w:sz="0" w:space="0" w:color="auto"/>
      </w:divBdr>
      <w:divsChild>
        <w:div w:id="933787327">
          <w:marLeft w:val="0"/>
          <w:marRight w:val="0"/>
          <w:marTop w:val="0"/>
          <w:marBottom w:val="0"/>
          <w:divBdr>
            <w:top w:val="none" w:sz="0" w:space="0" w:color="auto"/>
            <w:left w:val="none" w:sz="0" w:space="0" w:color="auto"/>
            <w:bottom w:val="none" w:sz="0" w:space="0" w:color="auto"/>
            <w:right w:val="none" w:sz="0" w:space="0" w:color="auto"/>
          </w:divBdr>
          <w:divsChild>
            <w:div w:id="913709092">
              <w:marLeft w:val="0"/>
              <w:marRight w:val="0"/>
              <w:marTop w:val="0"/>
              <w:marBottom w:val="0"/>
              <w:divBdr>
                <w:top w:val="none" w:sz="0" w:space="0" w:color="auto"/>
                <w:left w:val="none" w:sz="0" w:space="0" w:color="auto"/>
                <w:bottom w:val="none" w:sz="0" w:space="0" w:color="auto"/>
                <w:right w:val="none" w:sz="0" w:space="0" w:color="auto"/>
              </w:divBdr>
              <w:divsChild>
                <w:div w:id="1834107236">
                  <w:marLeft w:val="0"/>
                  <w:marRight w:val="0"/>
                  <w:marTop w:val="0"/>
                  <w:marBottom w:val="0"/>
                  <w:divBdr>
                    <w:top w:val="none" w:sz="0" w:space="0" w:color="auto"/>
                    <w:left w:val="none" w:sz="0" w:space="0" w:color="auto"/>
                    <w:bottom w:val="none" w:sz="0" w:space="0" w:color="auto"/>
                    <w:right w:val="none" w:sz="0" w:space="0" w:color="auto"/>
                  </w:divBdr>
                  <w:divsChild>
                    <w:div w:id="1777408725">
                      <w:marLeft w:val="0"/>
                      <w:marRight w:val="0"/>
                      <w:marTop w:val="0"/>
                      <w:marBottom w:val="0"/>
                      <w:divBdr>
                        <w:top w:val="none" w:sz="0" w:space="0" w:color="auto"/>
                        <w:left w:val="none" w:sz="0" w:space="0" w:color="auto"/>
                        <w:bottom w:val="none" w:sz="0" w:space="0" w:color="auto"/>
                        <w:right w:val="none" w:sz="0" w:space="0" w:color="auto"/>
                      </w:divBdr>
                      <w:divsChild>
                        <w:div w:id="60104499">
                          <w:marLeft w:val="2325"/>
                          <w:marRight w:val="0"/>
                          <w:marTop w:val="0"/>
                          <w:marBottom w:val="0"/>
                          <w:divBdr>
                            <w:top w:val="none" w:sz="0" w:space="0" w:color="auto"/>
                            <w:left w:val="none" w:sz="0" w:space="0" w:color="auto"/>
                            <w:bottom w:val="none" w:sz="0" w:space="0" w:color="auto"/>
                            <w:right w:val="none" w:sz="0" w:space="0" w:color="auto"/>
                          </w:divBdr>
                          <w:divsChild>
                            <w:div w:id="1839274586">
                              <w:marLeft w:val="0"/>
                              <w:marRight w:val="0"/>
                              <w:marTop w:val="0"/>
                              <w:marBottom w:val="0"/>
                              <w:divBdr>
                                <w:top w:val="none" w:sz="0" w:space="0" w:color="auto"/>
                                <w:left w:val="none" w:sz="0" w:space="0" w:color="auto"/>
                                <w:bottom w:val="none" w:sz="0" w:space="0" w:color="auto"/>
                                <w:right w:val="none" w:sz="0" w:space="0" w:color="auto"/>
                              </w:divBdr>
                              <w:divsChild>
                                <w:div w:id="1059934116">
                                  <w:marLeft w:val="0"/>
                                  <w:marRight w:val="0"/>
                                  <w:marTop w:val="0"/>
                                  <w:marBottom w:val="0"/>
                                  <w:divBdr>
                                    <w:top w:val="none" w:sz="0" w:space="0" w:color="auto"/>
                                    <w:left w:val="none" w:sz="0" w:space="0" w:color="auto"/>
                                    <w:bottom w:val="none" w:sz="0" w:space="0" w:color="auto"/>
                                    <w:right w:val="none" w:sz="0" w:space="0" w:color="auto"/>
                                  </w:divBdr>
                                  <w:divsChild>
                                    <w:div w:id="2096393265">
                                      <w:marLeft w:val="0"/>
                                      <w:marRight w:val="0"/>
                                      <w:marTop w:val="0"/>
                                      <w:marBottom w:val="0"/>
                                      <w:divBdr>
                                        <w:top w:val="none" w:sz="0" w:space="0" w:color="auto"/>
                                        <w:left w:val="none" w:sz="0" w:space="0" w:color="auto"/>
                                        <w:bottom w:val="none" w:sz="0" w:space="0" w:color="auto"/>
                                        <w:right w:val="none" w:sz="0" w:space="0" w:color="auto"/>
                                      </w:divBdr>
                                      <w:divsChild>
                                        <w:div w:id="1332102359">
                                          <w:marLeft w:val="480"/>
                                          <w:marRight w:val="0"/>
                                          <w:marTop w:val="0"/>
                                          <w:marBottom w:val="0"/>
                                          <w:divBdr>
                                            <w:top w:val="none" w:sz="0" w:space="0" w:color="auto"/>
                                            <w:left w:val="none" w:sz="0" w:space="0" w:color="auto"/>
                                            <w:bottom w:val="none" w:sz="0" w:space="0" w:color="auto"/>
                                            <w:right w:val="none" w:sz="0" w:space="0" w:color="auto"/>
                                          </w:divBdr>
                                          <w:divsChild>
                                            <w:div w:id="1194345732">
                                              <w:marLeft w:val="0"/>
                                              <w:marRight w:val="0"/>
                                              <w:marTop w:val="0"/>
                                              <w:marBottom w:val="0"/>
                                              <w:divBdr>
                                                <w:top w:val="none" w:sz="0" w:space="0" w:color="auto"/>
                                                <w:left w:val="none" w:sz="0" w:space="0" w:color="auto"/>
                                                <w:bottom w:val="none" w:sz="0" w:space="0" w:color="auto"/>
                                                <w:right w:val="none" w:sz="0" w:space="0" w:color="auto"/>
                                              </w:divBdr>
                                              <w:divsChild>
                                                <w:div w:id="1406877642">
                                                  <w:marLeft w:val="0"/>
                                                  <w:marRight w:val="0"/>
                                                  <w:marTop w:val="0"/>
                                                  <w:marBottom w:val="0"/>
                                                  <w:divBdr>
                                                    <w:top w:val="none" w:sz="0" w:space="0" w:color="auto"/>
                                                    <w:left w:val="none" w:sz="0" w:space="0" w:color="auto"/>
                                                    <w:bottom w:val="none" w:sz="0" w:space="0" w:color="auto"/>
                                                    <w:right w:val="none" w:sz="0" w:space="0" w:color="auto"/>
                                                  </w:divBdr>
                                                  <w:divsChild>
                                                    <w:div w:id="600796393">
                                                      <w:marLeft w:val="0"/>
                                                      <w:marRight w:val="0"/>
                                                      <w:marTop w:val="0"/>
                                                      <w:marBottom w:val="0"/>
                                                      <w:divBdr>
                                                        <w:top w:val="none" w:sz="0" w:space="0" w:color="auto"/>
                                                        <w:left w:val="none" w:sz="0" w:space="0" w:color="auto"/>
                                                        <w:bottom w:val="none" w:sz="0" w:space="0" w:color="auto"/>
                                                        <w:right w:val="none" w:sz="0" w:space="0" w:color="auto"/>
                                                      </w:divBdr>
                                                      <w:divsChild>
                                                        <w:div w:id="292366289">
                                                          <w:marLeft w:val="0"/>
                                                          <w:marRight w:val="0"/>
                                                          <w:marTop w:val="0"/>
                                                          <w:marBottom w:val="0"/>
                                                          <w:divBdr>
                                                            <w:top w:val="none" w:sz="0" w:space="0" w:color="auto"/>
                                                            <w:left w:val="none" w:sz="0" w:space="0" w:color="auto"/>
                                                            <w:bottom w:val="none" w:sz="0" w:space="0" w:color="auto"/>
                                                            <w:right w:val="none" w:sz="0" w:space="0" w:color="auto"/>
                                                          </w:divBdr>
                                                          <w:divsChild>
                                                            <w:div w:id="1209031066">
                                                              <w:marLeft w:val="0"/>
                                                              <w:marRight w:val="0"/>
                                                              <w:marTop w:val="0"/>
                                                              <w:marBottom w:val="0"/>
                                                              <w:divBdr>
                                                                <w:top w:val="none" w:sz="0" w:space="0" w:color="auto"/>
                                                                <w:left w:val="none" w:sz="0" w:space="0" w:color="auto"/>
                                                                <w:bottom w:val="none" w:sz="0" w:space="0" w:color="auto"/>
                                                                <w:right w:val="none" w:sz="0" w:space="0" w:color="auto"/>
                                                              </w:divBdr>
                                                              <w:divsChild>
                                                                <w:div w:id="615720097">
                                                                  <w:marLeft w:val="0"/>
                                                                  <w:marRight w:val="0"/>
                                                                  <w:marTop w:val="0"/>
                                                                  <w:marBottom w:val="0"/>
                                                                  <w:divBdr>
                                                                    <w:top w:val="none" w:sz="0" w:space="0" w:color="auto"/>
                                                                    <w:left w:val="none" w:sz="0" w:space="0" w:color="auto"/>
                                                                    <w:bottom w:val="none" w:sz="0" w:space="0" w:color="auto"/>
                                                                    <w:right w:val="none" w:sz="0" w:space="0" w:color="auto"/>
                                                                  </w:divBdr>
                                                                  <w:divsChild>
                                                                    <w:div w:id="1604337336">
                                                                      <w:marLeft w:val="0"/>
                                                                      <w:marRight w:val="0"/>
                                                                      <w:marTop w:val="96"/>
                                                                      <w:marBottom w:val="0"/>
                                                                      <w:divBdr>
                                                                        <w:top w:val="none" w:sz="0" w:space="0" w:color="auto"/>
                                                                        <w:left w:val="none" w:sz="0" w:space="0" w:color="auto"/>
                                                                        <w:bottom w:val="none" w:sz="0" w:space="0" w:color="auto"/>
                                                                        <w:right w:val="none" w:sz="0" w:space="0" w:color="auto"/>
                                                                      </w:divBdr>
                                                                      <w:divsChild>
                                                                        <w:div w:id="1721057007">
                                                                          <w:marLeft w:val="0"/>
                                                                          <w:marRight w:val="0"/>
                                                                          <w:marTop w:val="72"/>
                                                                          <w:marBottom w:val="0"/>
                                                                          <w:divBdr>
                                                                            <w:top w:val="none" w:sz="0" w:space="0" w:color="auto"/>
                                                                            <w:left w:val="none" w:sz="0" w:space="0" w:color="auto"/>
                                                                            <w:bottom w:val="none" w:sz="0" w:space="0" w:color="auto"/>
                                                                            <w:right w:val="none" w:sz="0" w:space="0" w:color="auto"/>
                                                                          </w:divBdr>
                                                                          <w:divsChild>
                                                                            <w:div w:id="818959368">
                                                                              <w:marLeft w:val="0"/>
                                                                              <w:marRight w:val="0"/>
                                                                              <w:marTop w:val="0"/>
                                                                              <w:marBottom w:val="0"/>
                                                                              <w:divBdr>
                                                                                <w:top w:val="none" w:sz="0" w:space="0" w:color="auto"/>
                                                                                <w:left w:val="none" w:sz="0" w:space="0" w:color="auto"/>
                                                                                <w:bottom w:val="none" w:sz="0" w:space="0" w:color="auto"/>
                                                                                <w:right w:val="none" w:sz="0" w:space="0" w:color="auto"/>
                                                                              </w:divBdr>
                                                                              <w:divsChild>
                                                                                <w:div w:id="737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9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JE6N4JFJXNNF-9-64948</_dlc_DocId>
    <_dlc_DocIdUrl xmlns="8b66ae41-1ec6-402e-b662-35d1932ca064">
      <Url>http://rkdhs-sb/enhet/EUKansli/_layouts/DocIdRedir.aspx?ID=JE6N4JFJXNNF-9-64948</Url>
      <Description>JE6N4JFJXNNF-9-64948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6812-BB17-4493-8A73-CB94B31EEDC3}">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4c0beb7-0294-4d25-9600-346807c0961e"/>
    <ds:schemaRef ds:uri="8b66ae41-1ec6-402e-b662-35d1932ca064"/>
  </ds:schemaRefs>
</ds:datastoreItem>
</file>

<file path=customXml/itemProps2.xml><?xml version="1.0" encoding="utf-8"?>
<ds:datastoreItem xmlns:ds="http://schemas.openxmlformats.org/officeDocument/2006/customXml" ds:itemID="{4DE72DBB-87F6-4D79-810A-BA6E1714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0C7A7-1B35-4E4C-A2ED-1753301E5B89}">
  <ds:schemaRefs>
    <ds:schemaRef ds:uri="http://schemas.microsoft.com/sharepoint/events"/>
  </ds:schemaRefs>
</ds:datastoreItem>
</file>

<file path=customXml/itemProps4.xml><?xml version="1.0" encoding="utf-8"?>
<ds:datastoreItem xmlns:ds="http://schemas.openxmlformats.org/officeDocument/2006/customXml" ds:itemID="{4EEA86ED-E11B-4496-864D-3374D53CE5F3}">
  <ds:schemaRefs>
    <ds:schemaRef ds:uri="http://schemas.microsoft.com/office/2006/metadata/customXsn"/>
  </ds:schemaRefs>
</ds:datastoreItem>
</file>

<file path=customXml/itemProps5.xml><?xml version="1.0" encoding="utf-8"?>
<ds:datastoreItem xmlns:ds="http://schemas.openxmlformats.org/officeDocument/2006/customXml" ds:itemID="{B941E795-8E94-4D2D-AE7E-9667B039D085}">
  <ds:schemaRefs>
    <ds:schemaRef ds:uri="http://schemas.microsoft.com/sharepoint/v3/contenttype/forms/url"/>
  </ds:schemaRefs>
</ds:datastoreItem>
</file>

<file path=customXml/itemProps6.xml><?xml version="1.0" encoding="utf-8"?>
<ds:datastoreItem xmlns:ds="http://schemas.openxmlformats.org/officeDocument/2006/customXml" ds:itemID="{48C7A86A-9DCE-4A7A-9CD8-488835C9FA47}">
  <ds:schemaRefs>
    <ds:schemaRef ds:uri="http://schemas.microsoft.com/sharepoint/v3/contenttype/forms"/>
  </ds:schemaRefs>
</ds:datastoreItem>
</file>

<file path=customXml/itemProps7.xml><?xml version="1.0" encoding="utf-8"?>
<ds:datastoreItem xmlns:ds="http://schemas.openxmlformats.org/officeDocument/2006/customXml" ds:itemID="{79D464BE-7519-4967-89A2-BD24D8FE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431</Words>
  <Characters>2285</Characters>
  <Application>Microsoft Office Word</Application>
  <DocSecurity>4</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2014-11-05T10:19:00Z</cp:lastPrinted>
  <dcterms:created xsi:type="dcterms:W3CDTF">2014-11-28T21:59:00Z</dcterms:created>
  <dcterms:modified xsi:type="dcterms:W3CDTF">2014-11-28T21:59:00Z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32a981bc-c425-41fa-a93f-6d96d2142574</vt:lpwstr>
  </property>
</Properties>
</file>